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1BA54">
      <w:pPr>
        <w:ind w:firstLine="0" w:firstLineChars="0"/>
        <w:jc w:val="center"/>
        <w:rPr>
          <w:rFonts w:hint="eastAsia" w:ascii="仿宋_GB2312" w:hAnsi="仿宋_GB2312" w:eastAsia="仿宋_GB2312" w:cs="仿宋_GB2312"/>
          <w:b/>
          <w:bCs/>
          <w:color w:val="auto"/>
          <w:kern w:val="0"/>
          <w:sz w:val="44"/>
          <w:szCs w:val="44"/>
        </w:rPr>
      </w:pPr>
      <w:r>
        <w:rPr>
          <w:rFonts w:hint="eastAsia" w:ascii="仿宋_GB2312" w:hAnsi="仿宋_GB2312" w:eastAsia="仿宋_GB2312" w:cs="仿宋_GB2312"/>
          <w:b/>
          <w:bCs/>
          <w:color w:val="auto"/>
          <w:kern w:val="44"/>
          <w:sz w:val="44"/>
          <w:szCs w:val="44"/>
        </w:rPr>
        <w:t>柳州市工人医院</w:t>
      </w:r>
      <w:r>
        <w:rPr>
          <w:rFonts w:hint="eastAsia" w:ascii="仿宋_GB2312" w:hAnsi="仿宋_GB2312" w:eastAsia="仿宋_GB2312" w:cs="仿宋_GB2312"/>
          <w:b/>
          <w:bCs/>
          <w:color w:val="auto"/>
          <w:kern w:val="0"/>
          <w:sz w:val="44"/>
          <w:szCs w:val="44"/>
        </w:rPr>
        <w:t>基于人工智能的门诊预问诊及</w:t>
      </w:r>
    </w:p>
    <w:p w14:paraId="4B3834D7">
      <w:pPr>
        <w:ind w:firstLine="0" w:firstLineChars="0"/>
        <w:jc w:val="center"/>
        <w:rPr>
          <w:rFonts w:hint="eastAsia" w:ascii="仿宋_GB2312" w:hAnsi="仿宋_GB2312" w:eastAsia="仿宋_GB2312" w:cs="仿宋_GB2312"/>
          <w:b/>
          <w:bCs/>
          <w:color w:val="auto"/>
          <w:kern w:val="44"/>
          <w:sz w:val="44"/>
          <w:szCs w:val="44"/>
        </w:rPr>
      </w:pPr>
      <w:r>
        <w:rPr>
          <w:rFonts w:hint="eastAsia" w:ascii="仿宋_GB2312" w:hAnsi="仿宋_GB2312" w:eastAsia="仿宋_GB2312" w:cs="仿宋_GB2312"/>
          <w:b/>
          <w:bCs/>
          <w:color w:val="auto"/>
          <w:kern w:val="0"/>
          <w:sz w:val="44"/>
          <w:szCs w:val="44"/>
        </w:rPr>
        <w:t>智能导诊应用</w:t>
      </w:r>
      <w:r>
        <w:rPr>
          <w:rFonts w:hint="eastAsia" w:ascii="仿宋_GB2312" w:hAnsi="仿宋_GB2312" w:cs="仿宋_GB2312"/>
          <w:b/>
          <w:bCs/>
          <w:color w:val="auto"/>
          <w:kern w:val="0"/>
          <w:sz w:val="44"/>
          <w:szCs w:val="44"/>
          <w:lang w:val="en-US" w:eastAsia="zh-CN"/>
        </w:rPr>
        <w:t>的</w:t>
      </w:r>
      <w:r>
        <w:rPr>
          <w:rFonts w:hint="eastAsia" w:ascii="仿宋_GB2312" w:hAnsi="仿宋_GB2312" w:eastAsia="仿宋_GB2312" w:cs="仿宋_GB2312"/>
          <w:b/>
          <w:bCs/>
          <w:color w:val="auto"/>
          <w:kern w:val="44"/>
          <w:sz w:val="44"/>
          <w:szCs w:val="44"/>
        </w:rPr>
        <w:t>技术参数</w:t>
      </w:r>
    </w:p>
    <w:p w14:paraId="63AA3AF8">
      <w:pPr>
        <w:widowControl/>
        <w:ind w:firstLine="562"/>
        <w:jc w:val="left"/>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一、项目背景与目的</w:t>
      </w:r>
    </w:p>
    <w:p w14:paraId="5970B6A8">
      <w:pPr>
        <w:keepNext w:val="0"/>
        <w:keepLines w:val="0"/>
        <w:pageBreakBefore w:val="0"/>
        <w:widowControl/>
        <w:kinsoku/>
        <w:wordWrap/>
        <w:overflowPunct/>
        <w:topLinePunct w:val="0"/>
        <w:autoSpaceDE/>
        <w:autoSpaceDN/>
        <w:bidi w:val="0"/>
        <w:adjustRightInd/>
        <w:snapToGrid/>
        <w:spacing w:line="279" w:lineRule="auto"/>
        <w:ind w:firstLine="480" w:firstLineChars="200"/>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当前门诊作为医院服务患者的第一窗口，普遍面临患者流量大、挂错科室、分诊不精准、候诊时间长、医生重复询问病史等突出问题，传统人工导诊与问诊模式已难以满足患者对便捷、高效、精准医疗服务的需求。与此同时，以大语言模型、自然语言处理为代表的人工智能技术日趋成熟，为医疗场景的智能化改造提供了坚实技术支撑。</w:t>
      </w:r>
    </w:p>
    <w:p w14:paraId="3642F243">
      <w:pPr>
        <w:keepNext w:val="0"/>
        <w:keepLines w:val="0"/>
        <w:pageBreakBefore w:val="0"/>
        <w:widowControl/>
        <w:kinsoku/>
        <w:wordWrap/>
        <w:overflowPunct/>
        <w:topLinePunct w:val="0"/>
        <w:autoSpaceDE/>
        <w:autoSpaceDN/>
        <w:bidi w:val="0"/>
        <w:adjustRightInd/>
        <w:snapToGrid/>
        <w:spacing w:line="279" w:lineRule="auto"/>
        <w:ind w:firstLine="480" w:firstLineChars="200"/>
        <w:jc w:val="lef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在此背景下，本项目建设基于人工智能的门诊预问诊及智能导诊应用，通过 AI 智能导诊实现精准分科、预问诊提前采集患者病情信息并同步至医生工作站，构建</w:t>
      </w:r>
      <w:r>
        <w:rPr>
          <w:rFonts w:hint="eastAsia" w:ascii="仿宋_GB2312" w:hAnsi="仿宋_GB2312" w:cs="仿宋_GB2312"/>
          <w:color w:val="auto"/>
          <w:kern w:val="0"/>
          <w:sz w:val="24"/>
          <w:szCs w:val="24"/>
          <w:lang w:eastAsia="zh-CN"/>
        </w:rPr>
        <w:t>“</w:t>
      </w:r>
      <w:r>
        <w:rPr>
          <w:rFonts w:hint="eastAsia" w:ascii="仿宋_GB2312" w:hAnsi="仿宋_GB2312" w:eastAsia="仿宋_GB2312" w:cs="仿宋_GB2312"/>
          <w:color w:val="auto"/>
          <w:kern w:val="0"/>
          <w:sz w:val="24"/>
          <w:szCs w:val="24"/>
        </w:rPr>
        <w:t>先预问诊、后就诊</w:t>
      </w:r>
      <w:r>
        <w:rPr>
          <w:rFonts w:hint="eastAsia" w:ascii="仿宋_GB2312" w:hAnsi="仿宋_GB2312" w:cs="仿宋_GB2312"/>
          <w:color w:val="auto"/>
          <w:kern w:val="0"/>
          <w:sz w:val="24"/>
          <w:szCs w:val="24"/>
          <w:lang w:eastAsia="zh-CN"/>
        </w:rPr>
        <w:t>”</w:t>
      </w:r>
      <w:r>
        <w:rPr>
          <w:rFonts w:hint="eastAsia" w:ascii="仿宋_GB2312" w:hAnsi="仿宋_GB2312" w:eastAsia="仿宋_GB2312" w:cs="仿宋_GB2312"/>
          <w:color w:val="auto"/>
          <w:kern w:val="0"/>
          <w:sz w:val="24"/>
          <w:szCs w:val="24"/>
        </w:rPr>
        <w:t>的智慧服务新模式，可有效分流患者、缩短候诊时间、提升问诊效率、辅助临床决策，切实改善患者就医体验，是落实国家智慧医院建设要求、推动医疗服务模式创新、实现医院精细化管理的必然选择。</w:t>
      </w:r>
    </w:p>
    <w:p w14:paraId="17C8678D">
      <w:pPr>
        <w:widowControl/>
        <w:ind w:firstLine="0" w:firstLineChars="0"/>
        <w:jc w:val="left"/>
        <w:rPr>
          <w:rFonts w:hint="eastAsia" w:ascii="仿宋_GB2312" w:hAnsi="仿宋_GB2312" w:eastAsia="仿宋_GB2312" w:cs="仿宋_GB2312"/>
          <w:b/>
          <w:bCs/>
          <w:color w:val="auto"/>
          <w:kern w:val="0"/>
          <w:sz w:val="28"/>
          <w:szCs w:val="28"/>
        </w:rPr>
      </w:pPr>
      <w:r>
        <w:rPr>
          <w:rFonts w:hint="eastAsia" w:ascii="仿宋_GB2312" w:hAnsi="仿宋_GB2312" w:eastAsia="仿宋_GB2312" w:cs="仿宋_GB2312"/>
          <w:b/>
          <w:bCs/>
          <w:color w:val="auto"/>
          <w:kern w:val="0"/>
          <w:sz w:val="28"/>
          <w:szCs w:val="28"/>
        </w:rPr>
        <w:t>二、项目建设内容及要求</w:t>
      </w:r>
    </w:p>
    <w:p w14:paraId="7C76A4B7">
      <w:pPr>
        <w:pStyle w:val="4"/>
        <w:keepNext w:val="0"/>
        <w:keepLines w:val="0"/>
        <w:widowControl/>
        <w:suppressLineNumbers w:val="0"/>
        <w:rPr>
          <w:rFonts w:hint="eastAsia" w:ascii="仿宋_GB2312" w:hAnsi="仿宋_GB2312" w:eastAsia="仿宋_GB2312" w:cs="仿宋_GB2312"/>
          <w:b/>
          <w:bCs/>
          <w:color w:val="auto"/>
          <w:kern w:val="0"/>
          <w:sz w:val="24"/>
          <w:szCs w:val="24"/>
          <w:lang w:val="en-US" w:eastAsia="zh-CN" w:bidi="ar-SA"/>
          <w14:ligatures w14:val="none"/>
        </w:rPr>
      </w:pPr>
      <w:r>
        <w:rPr>
          <w:rFonts w:hint="eastAsia" w:ascii="仿宋_GB2312" w:hAnsi="仿宋_GB2312" w:cs="仿宋_GB2312"/>
          <w:b/>
          <w:bCs/>
          <w:color w:val="auto"/>
          <w:kern w:val="0"/>
          <w:sz w:val="24"/>
          <w:szCs w:val="24"/>
          <w:lang w:val="en-US" w:eastAsia="zh-CN" w:bidi="ar-SA"/>
          <w14:ligatures w14:val="none"/>
        </w:rPr>
        <w:t>（一）</w:t>
      </w:r>
      <w:r>
        <w:rPr>
          <w:rFonts w:hint="eastAsia" w:ascii="仿宋_GB2312" w:hAnsi="仿宋_GB2312" w:eastAsia="仿宋_GB2312" w:cs="仿宋_GB2312"/>
          <w:b/>
          <w:bCs/>
          <w:color w:val="auto"/>
          <w:kern w:val="0"/>
          <w:sz w:val="24"/>
          <w:szCs w:val="24"/>
          <w:lang w:val="en-US" w:eastAsia="zh-CN" w:bidi="ar-SA"/>
          <w14:ligatures w14:val="none"/>
        </w:rPr>
        <w:t>通用技术要求</w:t>
      </w:r>
    </w:p>
    <w:p w14:paraId="0934BDAD">
      <w:pPr>
        <w:keepNext w:val="0"/>
        <w:keepLines w:val="0"/>
        <w:pageBreakBefore w:val="0"/>
        <w:widowControl/>
        <w:kinsoku/>
        <w:wordWrap/>
        <w:overflowPunct/>
        <w:topLinePunct w:val="0"/>
        <w:autoSpaceDE/>
        <w:autoSpaceDN/>
        <w:bidi w:val="0"/>
        <w:adjustRightInd/>
        <w:snapToGrid/>
        <w:spacing w:line="279" w:lineRule="auto"/>
        <w:ind w:firstLine="480" w:firstLineChars="200"/>
        <w:jc w:val="left"/>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w:t>
      </w:r>
      <w:r>
        <w:rPr>
          <w:rFonts w:hint="eastAsia" w:ascii="仿宋_GB2312" w:hAnsi="仿宋_GB2312" w:eastAsia="仿宋_GB2312" w:cs="仿宋_GB2312"/>
          <w:color w:val="auto"/>
          <w:kern w:val="0"/>
          <w:sz w:val="24"/>
          <w:szCs w:val="24"/>
          <w:lang w:val="en-US" w:eastAsia="zh-CN"/>
        </w:rPr>
        <w:t>口语 / 方言精准识别：支持识别非标准、口语化、方言化的症状描述，自动对齐至标准医学术语，扩大患者覆盖人群。</w:t>
      </w:r>
    </w:p>
    <w:p w14:paraId="1CAADCD2">
      <w:pPr>
        <w:keepNext w:val="0"/>
        <w:keepLines w:val="0"/>
        <w:pageBreakBefore w:val="0"/>
        <w:widowControl/>
        <w:kinsoku/>
        <w:wordWrap/>
        <w:overflowPunct/>
        <w:topLinePunct w:val="0"/>
        <w:autoSpaceDE/>
        <w:autoSpaceDN/>
        <w:bidi w:val="0"/>
        <w:adjustRightInd/>
        <w:snapToGrid/>
        <w:spacing w:line="279" w:lineRule="auto"/>
        <w:ind w:firstLine="480" w:firstLineChars="200"/>
        <w:jc w:val="left"/>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2.</w:t>
      </w:r>
      <w:r>
        <w:rPr>
          <w:rFonts w:hint="eastAsia" w:ascii="仿宋_GB2312" w:hAnsi="仿宋_GB2312" w:eastAsia="仿宋_GB2312" w:cs="仿宋_GB2312"/>
          <w:color w:val="auto"/>
          <w:kern w:val="0"/>
          <w:sz w:val="24"/>
          <w:szCs w:val="24"/>
          <w:lang w:val="en-US" w:eastAsia="zh-CN"/>
        </w:rPr>
        <w:t>医疗内容安全护栏：内置医疗领域内容安全机制，自动拦截违规、诱导性话题，符合医学伦理规范；所有 AI 输出仅作临床参考，不替代医生最终诊断。</w:t>
      </w:r>
    </w:p>
    <w:p w14:paraId="339D9ED2">
      <w:pPr>
        <w:keepNext w:val="0"/>
        <w:keepLines w:val="0"/>
        <w:pageBreakBefore w:val="0"/>
        <w:widowControl/>
        <w:kinsoku/>
        <w:wordWrap/>
        <w:overflowPunct/>
        <w:topLinePunct w:val="0"/>
        <w:autoSpaceDE/>
        <w:autoSpaceDN/>
        <w:bidi w:val="0"/>
        <w:adjustRightInd/>
        <w:snapToGrid/>
        <w:spacing w:line="279" w:lineRule="auto"/>
        <w:ind w:firstLine="480" w:firstLineChars="200"/>
        <w:jc w:val="left"/>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3.</w:t>
      </w:r>
      <w:r>
        <w:rPr>
          <w:rFonts w:hint="eastAsia" w:ascii="仿宋_GB2312" w:hAnsi="仿宋_GB2312" w:eastAsia="仿宋_GB2312" w:cs="仿宋_GB2312"/>
          <w:color w:val="auto"/>
          <w:kern w:val="0"/>
          <w:sz w:val="24"/>
          <w:szCs w:val="24"/>
          <w:lang w:val="en-US" w:eastAsia="zh-CN"/>
        </w:rPr>
        <w:t>会话中断实时保存：全系统会话支持中断后状态实时保存，用户意外退出或主动暂停后，再次进入可从中断处继续，无需重新开始，提升用户体验与业务完成率。</w:t>
      </w:r>
    </w:p>
    <w:p w14:paraId="5F7C6842">
      <w:pPr>
        <w:keepNext w:val="0"/>
        <w:keepLines w:val="0"/>
        <w:pageBreakBefore w:val="0"/>
        <w:widowControl/>
        <w:kinsoku/>
        <w:wordWrap/>
        <w:overflowPunct/>
        <w:topLinePunct w:val="0"/>
        <w:autoSpaceDE/>
        <w:autoSpaceDN/>
        <w:bidi w:val="0"/>
        <w:adjustRightInd/>
        <w:snapToGrid/>
        <w:spacing w:line="279" w:lineRule="auto"/>
        <w:ind w:firstLine="480" w:firstLineChars="200"/>
        <w:jc w:val="left"/>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4.</w:t>
      </w:r>
      <w:r>
        <w:rPr>
          <w:rFonts w:hint="eastAsia" w:ascii="仿宋_GB2312" w:hAnsi="仿宋_GB2312" w:eastAsia="仿宋_GB2312" w:cs="仿宋_GB2312"/>
          <w:color w:val="auto"/>
          <w:kern w:val="0"/>
          <w:sz w:val="24"/>
          <w:szCs w:val="24"/>
          <w:lang w:val="en-US" w:eastAsia="zh-CN"/>
        </w:rPr>
        <w:t>问诊轮次智能管控：支持智能控制大模型问诊轮次，避免无限追问导致对话冗长；可按业务场景、科室、病种配置轮次上限，保障沟通效率与核心信息聚焦。</w:t>
      </w:r>
    </w:p>
    <w:p w14:paraId="3DAB72FC">
      <w:pPr>
        <w:keepNext w:val="0"/>
        <w:keepLines w:val="0"/>
        <w:widowControl/>
        <w:numPr>
          <w:ilvl w:val="0"/>
          <w:numId w:val="0"/>
        </w:numPr>
        <w:suppressLineNumbers w:val="0"/>
        <w:spacing w:before="0" w:beforeAutospacing="1" w:after="0" w:afterAutospacing="1"/>
        <w:rPr>
          <w:rFonts w:hint="default" w:ascii="仿宋_GB2312" w:hAnsi="仿宋_GB2312" w:eastAsia="仿宋_GB2312" w:cs="仿宋_GB2312"/>
          <w:b/>
          <w:bCs/>
          <w:color w:val="auto"/>
          <w:kern w:val="0"/>
          <w:sz w:val="24"/>
          <w:szCs w:val="24"/>
          <w:lang w:val="en-US" w:eastAsia="zh-CN" w:bidi="ar-SA"/>
          <w14:ligatures w14:val="none"/>
        </w:rPr>
      </w:pPr>
      <w:r>
        <w:rPr>
          <w:rFonts w:hint="eastAsia" w:ascii="仿宋_GB2312" w:hAnsi="仿宋_GB2312" w:cs="仿宋_GB2312"/>
          <w:b/>
          <w:bCs/>
          <w:color w:val="auto"/>
          <w:kern w:val="0"/>
          <w:sz w:val="24"/>
          <w:szCs w:val="24"/>
          <w:lang w:val="en-US" w:eastAsia="zh-CN" w:bidi="ar-SA"/>
          <w14:ligatures w14:val="none"/>
        </w:rPr>
        <w:t xml:space="preserve">（二） </w:t>
      </w:r>
      <w:r>
        <w:rPr>
          <w:rFonts w:hint="eastAsia" w:ascii="仿宋_GB2312" w:hAnsi="仿宋_GB2312" w:eastAsia="仿宋_GB2312" w:cs="仿宋_GB2312"/>
          <w:b/>
          <w:bCs/>
          <w:color w:val="auto"/>
          <w:kern w:val="0"/>
          <w:sz w:val="24"/>
          <w:szCs w:val="24"/>
          <w:lang w:val="en-US" w:eastAsia="zh-CN" w:bidi="ar-SA"/>
          <w14:ligatures w14:val="none"/>
        </w:rPr>
        <w:t>数据安全与隐私保护</w:t>
      </w:r>
      <w:r>
        <w:rPr>
          <w:rFonts w:hint="eastAsia" w:ascii="仿宋_GB2312" w:hAnsi="仿宋_GB2312" w:cs="仿宋_GB2312"/>
          <w:b/>
          <w:bCs/>
          <w:color w:val="auto"/>
          <w:kern w:val="0"/>
          <w:sz w:val="24"/>
          <w:szCs w:val="24"/>
          <w:lang w:val="en-US" w:eastAsia="zh-CN" w:bidi="ar-SA"/>
          <w14:ligatures w14:val="none"/>
        </w:rPr>
        <w:t>要求</w:t>
      </w:r>
    </w:p>
    <w:p w14:paraId="7C2EC321">
      <w:pPr>
        <w:keepNext w:val="0"/>
        <w:keepLines w:val="0"/>
        <w:pageBreakBefore w:val="0"/>
        <w:widowControl/>
        <w:kinsoku/>
        <w:wordWrap/>
        <w:overflowPunct/>
        <w:topLinePunct w:val="0"/>
        <w:autoSpaceDE/>
        <w:autoSpaceDN/>
        <w:bidi w:val="0"/>
        <w:adjustRightInd/>
        <w:snapToGrid/>
        <w:spacing w:line="279" w:lineRule="auto"/>
        <w:ind w:firstLine="480" w:firstLineChars="200"/>
        <w:jc w:val="left"/>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1.</w:t>
      </w:r>
      <w:r>
        <w:rPr>
          <w:rFonts w:hint="eastAsia" w:ascii="仿宋_GB2312" w:hAnsi="仿宋_GB2312" w:eastAsia="仿宋_GB2312" w:cs="仿宋_GB2312"/>
          <w:color w:val="auto"/>
          <w:kern w:val="0"/>
          <w:sz w:val="24"/>
          <w:szCs w:val="24"/>
          <w:lang w:val="en-US" w:eastAsia="zh-CN"/>
        </w:rPr>
        <w:t>隐私授权机制：支持设置进入核心功能前的隐私授权确认，满足等保与合规要求；支持自定义隐私协议内容与弹出时机（每日进入确认或首次进入弹窗提示）。</w:t>
      </w:r>
    </w:p>
    <w:p w14:paraId="50AD1288">
      <w:pPr>
        <w:keepNext w:val="0"/>
        <w:keepLines w:val="0"/>
        <w:pageBreakBefore w:val="0"/>
        <w:widowControl/>
        <w:kinsoku/>
        <w:wordWrap/>
        <w:overflowPunct/>
        <w:topLinePunct w:val="0"/>
        <w:autoSpaceDE/>
        <w:autoSpaceDN/>
        <w:bidi w:val="0"/>
        <w:adjustRightInd/>
        <w:snapToGrid/>
        <w:spacing w:line="279" w:lineRule="auto"/>
        <w:ind w:firstLine="480" w:firstLineChars="200"/>
        <w:jc w:val="left"/>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2.</w:t>
      </w:r>
      <w:r>
        <w:rPr>
          <w:rFonts w:hint="eastAsia" w:ascii="仿宋_GB2312" w:hAnsi="仿宋_GB2312" w:eastAsia="仿宋_GB2312" w:cs="仿宋_GB2312"/>
          <w:color w:val="auto"/>
          <w:kern w:val="0"/>
          <w:sz w:val="24"/>
          <w:szCs w:val="24"/>
          <w:lang w:val="en-US" w:eastAsia="zh-CN"/>
        </w:rPr>
        <w:t>敏感数据防护：严格遵守国家医疗数据安全相关法规，对患者个人信息、就诊记录、检查报告等敏感数据采取加密存储与传输措施。</w:t>
      </w:r>
    </w:p>
    <w:p w14:paraId="719B32BE">
      <w:pPr>
        <w:keepNext w:val="0"/>
        <w:keepLines w:val="0"/>
        <w:pageBreakBefore w:val="0"/>
        <w:widowControl/>
        <w:kinsoku/>
        <w:wordWrap/>
        <w:overflowPunct/>
        <w:topLinePunct w:val="0"/>
        <w:autoSpaceDE/>
        <w:autoSpaceDN/>
        <w:bidi w:val="0"/>
        <w:adjustRightInd/>
        <w:snapToGrid/>
        <w:spacing w:line="279" w:lineRule="auto"/>
        <w:ind w:firstLine="560" w:firstLineChars="200"/>
        <w:jc w:val="left"/>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cs="仿宋_GB2312"/>
          <w:color w:val="auto"/>
          <w:kern w:val="0"/>
          <w:sz w:val="28"/>
          <w:szCs w:val="28"/>
          <w:lang w:val="en-US" w:eastAsia="zh-CN"/>
        </w:rPr>
        <w:t>3.</w:t>
      </w:r>
      <w:r>
        <w:rPr>
          <w:rFonts w:hint="eastAsia" w:ascii="仿宋_GB2312" w:hAnsi="仿宋_GB2312" w:eastAsia="仿宋_GB2312" w:cs="仿宋_GB2312"/>
          <w:color w:val="auto"/>
          <w:kern w:val="0"/>
          <w:sz w:val="24"/>
          <w:szCs w:val="24"/>
          <w:lang w:val="en-US" w:eastAsia="zh-CN"/>
        </w:rPr>
        <w:t>前端数据脱敏：前端展示患者敏感信息时进行脱敏处理（如身份证号部分隐藏、手机号中段掩码等），防范信息泄露风险。</w:t>
      </w:r>
    </w:p>
    <w:p w14:paraId="77E905E9">
      <w:pPr>
        <w:keepNext w:val="0"/>
        <w:keepLines w:val="0"/>
        <w:pageBreakBefore w:val="0"/>
        <w:widowControl/>
        <w:kinsoku/>
        <w:wordWrap/>
        <w:overflowPunct/>
        <w:topLinePunct w:val="0"/>
        <w:autoSpaceDE/>
        <w:autoSpaceDN/>
        <w:bidi w:val="0"/>
        <w:adjustRightInd/>
        <w:snapToGrid/>
        <w:spacing w:line="279" w:lineRule="auto"/>
        <w:ind w:firstLine="480" w:firstLineChars="200"/>
        <w:jc w:val="left"/>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4.操作审计日志：完整记录用户操作日志和系统运行日志，支持操作行为追溯与系统运行审计，满足医疗信息系统安全合规要求。</w:t>
      </w:r>
    </w:p>
    <w:p w14:paraId="31A1649F">
      <w:pPr>
        <w:pStyle w:val="31"/>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Style w:val="16"/>
          <w:rFonts w:hint="eastAsia"/>
          <w:b/>
          <w:bCs/>
        </w:rPr>
      </w:pPr>
      <w:r>
        <w:rPr>
          <w:rStyle w:val="16"/>
          <w:rFonts w:hint="eastAsia"/>
          <w:b/>
          <w:bCs/>
        </w:rPr>
        <w:t>（</w:t>
      </w:r>
      <w:r>
        <w:rPr>
          <w:rStyle w:val="16"/>
          <w:rFonts w:hint="eastAsia"/>
          <w:b/>
          <w:bCs/>
          <w:lang w:val="en-US" w:eastAsia="zh-CN"/>
        </w:rPr>
        <w:t>三</w:t>
      </w:r>
      <w:r>
        <w:rPr>
          <w:rStyle w:val="16"/>
          <w:rFonts w:hint="eastAsia"/>
          <w:b/>
          <w:bCs/>
        </w:rPr>
        <w:t>）</w:t>
      </w:r>
      <w:r>
        <w:rPr>
          <w:rStyle w:val="16"/>
          <w:rFonts w:hint="eastAsia"/>
          <w:b/>
          <w:bCs/>
          <w:lang w:val="en-US" w:eastAsia="zh-CN"/>
        </w:rPr>
        <w:t>软件技术</w:t>
      </w:r>
      <w:r>
        <w:rPr>
          <w:rStyle w:val="16"/>
          <w:rFonts w:hint="eastAsia"/>
          <w:b/>
          <w:bCs/>
        </w:rPr>
        <w:t>要求</w:t>
      </w:r>
    </w:p>
    <w:tbl>
      <w:tblPr>
        <w:tblStyle w:val="14"/>
        <w:tblW w:w="97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67"/>
        <w:gridCol w:w="756"/>
        <w:gridCol w:w="1140"/>
        <w:gridCol w:w="1176"/>
        <w:gridCol w:w="6097"/>
      </w:tblGrid>
      <w:tr w14:paraId="0507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567" w:type="dxa"/>
            <w:vAlign w:val="center"/>
          </w:tcPr>
          <w:p w14:paraId="4F105215">
            <w:pPr>
              <w:widowControl/>
              <w:spacing w:line="240" w:lineRule="auto"/>
              <w:ind w:firstLine="0" w:firstLineChars="0"/>
              <w:jc w:val="center"/>
              <w:rPr>
                <w:rFonts w:hint="eastAsia" w:ascii="方正仿宋_GB2312" w:hAnsi="方正仿宋_GB2312" w:eastAsia="方正仿宋_GB2312" w:cs="方正仿宋_GB2312"/>
                <w:b/>
                <w:bCs/>
                <w:color w:val="auto"/>
                <w:kern w:val="0"/>
                <w:sz w:val="24"/>
                <w:szCs w:val="24"/>
              </w:rPr>
            </w:pPr>
            <w:r>
              <w:rPr>
                <w:rFonts w:hint="eastAsia" w:ascii="方正仿宋_GB2312" w:hAnsi="方正仿宋_GB2312" w:eastAsia="方正仿宋_GB2312" w:cs="方正仿宋_GB2312"/>
                <w:b/>
                <w:bCs/>
                <w:color w:val="auto"/>
                <w:kern w:val="0"/>
                <w:sz w:val="24"/>
                <w:szCs w:val="24"/>
              </w:rPr>
              <w:t>序号</w:t>
            </w:r>
          </w:p>
        </w:tc>
        <w:tc>
          <w:tcPr>
            <w:tcW w:w="756" w:type="dxa"/>
            <w:vAlign w:val="center"/>
          </w:tcPr>
          <w:p w14:paraId="4383CDE8">
            <w:pPr>
              <w:widowControl/>
              <w:spacing w:line="240" w:lineRule="auto"/>
              <w:ind w:firstLine="0" w:firstLineChars="0"/>
              <w:jc w:val="center"/>
              <w:rPr>
                <w:rFonts w:hint="eastAsia" w:ascii="方正仿宋_GB2312" w:hAnsi="方正仿宋_GB2312" w:eastAsia="方正仿宋_GB2312" w:cs="方正仿宋_GB2312"/>
                <w:b/>
                <w:bCs/>
                <w:color w:val="auto"/>
                <w:kern w:val="0"/>
                <w:sz w:val="24"/>
                <w:szCs w:val="24"/>
              </w:rPr>
            </w:pPr>
            <w:r>
              <w:rPr>
                <w:rFonts w:hint="eastAsia" w:ascii="方正仿宋_GB2312" w:hAnsi="方正仿宋_GB2312" w:eastAsia="方正仿宋_GB2312" w:cs="方正仿宋_GB2312"/>
                <w:b/>
                <w:bCs/>
                <w:color w:val="auto"/>
                <w:kern w:val="0"/>
                <w:sz w:val="24"/>
                <w:szCs w:val="24"/>
              </w:rPr>
              <w:t>名称</w:t>
            </w:r>
          </w:p>
        </w:tc>
        <w:tc>
          <w:tcPr>
            <w:tcW w:w="1140" w:type="dxa"/>
            <w:vAlign w:val="center"/>
          </w:tcPr>
          <w:p w14:paraId="3543BDBD">
            <w:pPr>
              <w:widowControl/>
              <w:spacing w:line="240" w:lineRule="auto"/>
              <w:ind w:firstLine="0" w:firstLineChars="0"/>
              <w:jc w:val="center"/>
              <w:rPr>
                <w:rFonts w:hint="eastAsia" w:ascii="方正仿宋_GB2312" w:hAnsi="方正仿宋_GB2312" w:eastAsia="方正仿宋_GB2312" w:cs="方正仿宋_GB2312"/>
                <w:b/>
                <w:bCs/>
                <w:color w:val="auto"/>
                <w:kern w:val="0"/>
                <w:sz w:val="24"/>
                <w:szCs w:val="24"/>
              </w:rPr>
            </w:pPr>
            <w:r>
              <w:rPr>
                <w:rFonts w:hint="eastAsia" w:ascii="方正仿宋_GB2312" w:hAnsi="方正仿宋_GB2312" w:eastAsia="方正仿宋_GB2312" w:cs="方正仿宋_GB2312"/>
                <w:b/>
                <w:bCs/>
                <w:color w:val="auto"/>
                <w:kern w:val="0"/>
                <w:sz w:val="24"/>
                <w:szCs w:val="24"/>
              </w:rPr>
              <w:t>模块</w:t>
            </w:r>
          </w:p>
        </w:tc>
        <w:tc>
          <w:tcPr>
            <w:tcW w:w="1176" w:type="dxa"/>
            <w:vAlign w:val="center"/>
          </w:tcPr>
          <w:p w14:paraId="4134820A">
            <w:pPr>
              <w:widowControl/>
              <w:spacing w:line="240" w:lineRule="auto"/>
              <w:ind w:firstLine="0" w:firstLineChars="0"/>
              <w:jc w:val="center"/>
              <w:rPr>
                <w:rFonts w:hint="eastAsia" w:ascii="方正仿宋_GB2312" w:hAnsi="方正仿宋_GB2312" w:eastAsia="方正仿宋_GB2312" w:cs="方正仿宋_GB2312"/>
                <w:b/>
                <w:bCs/>
                <w:color w:val="auto"/>
                <w:kern w:val="0"/>
                <w:sz w:val="24"/>
                <w:szCs w:val="24"/>
              </w:rPr>
            </w:pPr>
            <w:r>
              <w:rPr>
                <w:rFonts w:hint="eastAsia" w:ascii="方正仿宋_GB2312" w:hAnsi="方正仿宋_GB2312" w:eastAsia="方正仿宋_GB2312" w:cs="方正仿宋_GB2312"/>
                <w:b/>
                <w:bCs/>
                <w:color w:val="auto"/>
                <w:kern w:val="0"/>
                <w:sz w:val="24"/>
                <w:szCs w:val="24"/>
              </w:rPr>
              <w:t>功能</w:t>
            </w:r>
          </w:p>
        </w:tc>
        <w:tc>
          <w:tcPr>
            <w:tcW w:w="6097" w:type="dxa"/>
            <w:vAlign w:val="center"/>
          </w:tcPr>
          <w:p w14:paraId="6284BAA8">
            <w:pPr>
              <w:widowControl/>
              <w:spacing w:line="240" w:lineRule="auto"/>
              <w:ind w:firstLine="0" w:firstLineChars="0"/>
              <w:jc w:val="center"/>
              <w:rPr>
                <w:rFonts w:hint="eastAsia" w:ascii="方正仿宋_GB2312" w:hAnsi="方正仿宋_GB2312" w:eastAsia="方正仿宋_GB2312" w:cs="方正仿宋_GB2312"/>
                <w:b/>
                <w:bCs/>
                <w:color w:val="auto"/>
                <w:kern w:val="0"/>
                <w:sz w:val="24"/>
                <w:szCs w:val="24"/>
              </w:rPr>
            </w:pPr>
            <w:r>
              <w:rPr>
                <w:rFonts w:hint="eastAsia" w:ascii="方正仿宋_GB2312" w:hAnsi="方正仿宋_GB2312" w:eastAsia="方正仿宋_GB2312" w:cs="方正仿宋_GB2312"/>
                <w:b/>
                <w:bCs/>
                <w:color w:val="auto"/>
                <w:kern w:val="0"/>
                <w:sz w:val="24"/>
                <w:szCs w:val="24"/>
              </w:rPr>
              <w:t>详情描述</w:t>
            </w:r>
          </w:p>
        </w:tc>
      </w:tr>
      <w:tr w14:paraId="33E26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restart"/>
            <w:vAlign w:val="center"/>
          </w:tcPr>
          <w:p w14:paraId="2B8D66F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1</w:t>
            </w:r>
          </w:p>
        </w:tc>
        <w:tc>
          <w:tcPr>
            <w:tcW w:w="756" w:type="dxa"/>
            <w:vMerge w:val="restart"/>
            <w:vAlign w:val="center"/>
          </w:tcPr>
          <w:p w14:paraId="257EDA7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AI分导诊智能体</w:t>
            </w:r>
          </w:p>
        </w:tc>
        <w:tc>
          <w:tcPr>
            <w:tcW w:w="1140" w:type="dxa"/>
            <w:vMerge w:val="restart"/>
            <w:tcBorders>
              <w:top w:val="single" w:color="auto" w:sz="4" w:space="0"/>
              <w:bottom w:val="single" w:color="auto" w:sz="4" w:space="0"/>
            </w:tcBorders>
            <w:vAlign w:val="center"/>
          </w:tcPr>
          <w:p w14:paraId="09FDD0CA">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多入口与集成能力​</w:t>
            </w:r>
          </w:p>
        </w:tc>
        <w:tc>
          <w:tcPr>
            <w:tcW w:w="1176" w:type="dxa"/>
            <w:vMerge w:val="restart"/>
            <w:vAlign w:val="center"/>
          </w:tcPr>
          <w:p w14:paraId="560B0C6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多渠道统一接入与数据同步</w:t>
            </w:r>
          </w:p>
        </w:tc>
        <w:tc>
          <w:tcPr>
            <w:tcW w:w="6097" w:type="dxa"/>
            <w:vAlign w:val="center"/>
          </w:tcPr>
          <w:p w14:paraId="7DD26D4A">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系统须支持至少3种以上患者接入渠道，包括但不限于微信公众号、小程序、互联网医院APP，满足患者多样化使用习惯。</w:t>
            </w:r>
          </w:p>
        </w:tc>
      </w:tr>
      <w:tr w14:paraId="43C59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C216058">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F55A674">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7A9C28C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Merge w:val="continue"/>
            <w:vAlign w:val="center"/>
          </w:tcPr>
          <w:p w14:paraId="75B3E80F">
            <w:pPr>
              <w:widowControl/>
              <w:ind w:firstLine="0" w:firstLineChars="0"/>
              <w:jc w:val="center"/>
              <w:rPr>
                <w:rFonts w:hint="eastAsia" w:ascii="仿宋_GB2312" w:hAnsi="仿宋_GB2312" w:cs="仿宋_GB2312"/>
                <w:color w:val="auto"/>
                <w:kern w:val="0"/>
                <w:sz w:val="24"/>
                <w:szCs w:val="24"/>
                <w:lang w:val="en-US" w:eastAsia="zh-CN"/>
              </w:rPr>
            </w:pPr>
          </w:p>
        </w:tc>
        <w:tc>
          <w:tcPr>
            <w:tcW w:w="6097" w:type="dxa"/>
            <w:vAlign w:val="center"/>
          </w:tcPr>
          <w:p w14:paraId="1BA6951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系统须保障跨终端数据实时同步：患者在任一终端的历史导诊记录、身份信息须实时互通，确保切换设备后无需重复输入信息，保障就诊服务的连续性与一致性。</w:t>
            </w:r>
          </w:p>
        </w:tc>
      </w:tr>
      <w:tr w14:paraId="0F81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34740FF2">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39AD0977">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722F5D6D">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3AA005DA">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第三方平台对接</w:t>
            </w:r>
          </w:p>
        </w:tc>
        <w:tc>
          <w:tcPr>
            <w:tcW w:w="6097" w:type="dxa"/>
            <w:vAlign w:val="center"/>
          </w:tcPr>
          <w:p w14:paraId="3B5F4E2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系统须支持与第三方平台的快捷接入，患者通过第三方入口可一键跳转至本院导诊系统，实现免二次登录，降低患者使用门槛；</w:t>
            </w:r>
          </w:p>
        </w:tc>
      </w:tr>
      <w:tr w14:paraId="2F27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39DCBA4A">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5168145">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55EBC80B">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0EF9E12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互联网医院入口集成</w:t>
            </w:r>
          </w:p>
        </w:tc>
        <w:tc>
          <w:tcPr>
            <w:tcW w:w="6097" w:type="dxa"/>
            <w:vAlign w:val="center"/>
          </w:tcPr>
          <w:p w14:paraId="034E4FF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系统须支持与医院现有互联网医院平台无感对接，已登录互联网医院的患者可直接进入预问诊流程，无需再次输入信息。</w:t>
            </w:r>
          </w:p>
        </w:tc>
      </w:tr>
      <w:tr w14:paraId="1D79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A23CECB">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6705AEE">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tcBorders>
              <w:top w:val="single" w:color="auto" w:sz="4" w:space="0"/>
              <w:bottom w:val="single" w:color="auto" w:sz="4" w:space="0"/>
            </w:tcBorders>
            <w:vAlign w:val="center"/>
          </w:tcPr>
          <w:p w14:paraId="14372D3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多模态交互​</w:t>
            </w:r>
          </w:p>
        </w:tc>
        <w:tc>
          <w:tcPr>
            <w:tcW w:w="1176" w:type="dxa"/>
            <w:vAlign w:val="center"/>
          </w:tcPr>
          <w:p w14:paraId="4839DD5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文字输入</w:t>
            </w:r>
          </w:p>
        </w:tc>
        <w:tc>
          <w:tcPr>
            <w:tcW w:w="6097" w:type="dxa"/>
            <w:vAlign w:val="center"/>
          </w:tcPr>
          <w:p w14:paraId="7117255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患者须能通过自然语言文字输入方式描述其症状、病史、就诊目的，系统应能理解非结构化、口语化的表述并进行专业追问。</w:t>
            </w:r>
          </w:p>
        </w:tc>
      </w:tr>
      <w:tr w14:paraId="5C44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DEEC212">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A13DCB9">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49CB8699">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EEE4F0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语音输入</w:t>
            </w:r>
          </w:p>
        </w:tc>
        <w:tc>
          <w:tcPr>
            <w:tcW w:w="6097" w:type="dxa"/>
            <w:vAlign w:val="center"/>
          </w:tcPr>
          <w:p w14:paraId="1BD9161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系统须支持语音输入功能，患者可通过语音描述症状，系统能准确将语音转换为文字并进行理解和分析。</w:t>
            </w:r>
          </w:p>
        </w:tc>
      </w:tr>
      <w:tr w14:paraId="0455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36E19B8C">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8137C9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7EB1157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3F44C82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图片上传</w:t>
            </w:r>
          </w:p>
        </w:tc>
        <w:tc>
          <w:tcPr>
            <w:tcW w:w="6097" w:type="dxa"/>
            <w:vAlign w:val="center"/>
          </w:tcPr>
          <w:p w14:paraId="666F9AA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系统须支持图片上传功能，便于患者上传检查检验报告单。</w:t>
            </w:r>
          </w:p>
        </w:tc>
      </w:tr>
      <w:tr w14:paraId="4623F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C5B2D18">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D3388B2">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12D7FB09">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5C4FFD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智能语音播报</w:t>
            </w:r>
          </w:p>
        </w:tc>
        <w:tc>
          <w:tcPr>
            <w:tcW w:w="6097" w:type="dxa"/>
            <w:vAlign w:val="center"/>
          </w:tcPr>
          <w:p w14:paraId="08F65A6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系统需支持将系统应答的文本内容转化为自然流畅的语音进行播报，有效提升就医体验的包容性与适老化水平</w:t>
            </w:r>
          </w:p>
        </w:tc>
      </w:tr>
      <w:tr w14:paraId="1C29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068FD65">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88F3D67">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37E8F206">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26BCE73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OCR识别</w:t>
            </w:r>
          </w:p>
        </w:tc>
        <w:tc>
          <w:tcPr>
            <w:tcW w:w="6097" w:type="dxa"/>
            <w:vAlign w:val="center"/>
          </w:tcPr>
          <w:p w14:paraId="5A04A21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系统须内置高精度OCR文字识别引擎，能对患者上传的图片格式（JPG、PNG等）检查检验报告进行关键信息（如检查日期、项目名称、数值、结论）自动识别并支持写入病历。</w:t>
            </w:r>
          </w:p>
        </w:tc>
      </w:tr>
      <w:tr w14:paraId="6FFD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5AA280F">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48604C8">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0F428497">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57706DD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实时拍照</w:t>
            </w:r>
          </w:p>
        </w:tc>
        <w:tc>
          <w:tcPr>
            <w:tcW w:w="6097" w:type="dxa"/>
            <w:vAlign w:val="center"/>
          </w:tcPr>
          <w:p w14:paraId="53A8196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系统支持相机拍照实时上传功能，方便患者在移动端直接拍摄并上传。</w:t>
            </w:r>
          </w:p>
        </w:tc>
      </w:tr>
      <w:tr w14:paraId="68C6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21088DBD">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B6718AE">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tcBorders>
              <w:top w:val="single" w:color="auto" w:sz="4" w:space="0"/>
              <w:bottom w:val="single" w:color="auto" w:sz="4" w:space="0"/>
            </w:tcBorders>
            <w:vAlign w:val="center"/>
          </w:tcPr>
          <w:p w14:paraId="5CCB1BA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导诊专属问诊逻辑​</w:t>
            </w:r>
          </w:p>
        </w:tc>
        <w:tc>
          <w:tcPr>
            <w:tcW w:w="1176" w:type="dxa"/>
            <w:vAlign w:val="center"/>
          </w:tcPr>
          <w:p w14:paraId="52B6985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主动引导式问诊</w:t>
            </w:r>
          </w:p>
        </w:tc>
        <w:tc>
          <w:tcPr>
            <w:tcW w:w="6097" w:type="dxa"/>
            <w:vAlign w:val="center"/>
          </w:tcPr>
          <w:p w14:paraId="46D067A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根据患者实时反馈判断信息完整性，自动识别缺失的关键导诊要素并开展针对性追问，同时避免重复提问，提升交互体验与问诊效率。</w:t>
            </w:r>
          </w:p>
        </w:tc>
      </w:tr>
      <w:tr w14:paraId="412D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39F6AB70">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FEA727F">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1EBDBB08">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73A987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临床医生思维模拟</w:t>
            </w:r>
          </w:p>
        </w:tc>
        <w:tc>
          <w:tcPr>
            <w:tcW w:w="6097" w:type="dxa"/>
            <w:vAlign w:val="center"/>
          </w:tcPr>
          <w:p w14:paraId="7349B74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模拟临床医生问诊思路，通过智能提示与患者互动，以多轮对话深入收集症状表现、病史详情、伴随症状等关键信息。</w:t>
            </w:r>
          </w:p>
        </w:tc>
      </w:tr>
      <w:tr w14:paraId="4804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42DC684">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051C983">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tcBorders>
              <w:top w:val="single" w:color="auto" w:sz="4" w:space="0"/>
              <w:bottom w:val="single" w:color="auto" w:sz="4" w:space="0"/>
            </w:tcBorders>
            <w:vAlign w:val="center"/>
          </w:tcPr>
          <w:p w14:paraId="0B11DA1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智能科室推荐</w:t>
            </w:r>
          </w:p>
        </w:tc>
        <w:tc>
          <w:tcPr>
            <w:tcW w:w="1176" w:type="dxa"/>
            <w:vAlign w:val="center"/>
          </w:tcPr>
          <w:p w14:paraId="4904676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精准科室推荐引擎</w:t>
            </w:r>
          </w:p>
        </w:tc>
        <w:tc>
          <w:tcPr>
            <w:tcW w:w="6097" w:type="dxa"/>
            <w:vAlign w:val="center"/>
          </w:tcPr>
          <w:p w14:paraId="12A2B27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根据患者输入的症状、病史等信息，结合医院的科室设置和专家资源，运用智能匹配算法，精准推荐就诊科室，帮助患者快速找到合适的就诊科室，减少就医盲目性。</w:t>
            </w:r>
          </w:p>
        </w:tc>
      </w:tr>
      <w:tr w14:paraId="711A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277FC692">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15703F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007A96E1">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01679E4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自定义科室映射匹配</w:t>
            </w:r>
          </w:p>
        </w:tc>
        <w:tc>
          <w:tcPr>
            <w:tcW w:w="6097" w:type="dxa"/>
            <w:vAlign w:val="center"/>
          </w:tcPr>
          <w:p w14:paraId="16EFB45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支持将导诊推荐科室与HIS挂号科室进行1:1或N:1映射。医院可后台手动匹配、Excel批量导入或通过接口自动拉取HIS科室字典。</w:t>
            </w:r>
          </w:p>
        </w:tc>
      </w:tr>
      <w:tr w14:paraId="6806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6F3863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BBD3EA2">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0267E393">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2230D3A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科室开放周期设置</w:t>
            </w:r>
          </w:p>
        </w:tc>
        <w:tc>
          <w:tcPr>
            <w:tcW w:w="6097" w:type="dxa"/>
            <w:vAlign w:val="center"/>
          </w:tcPr>
          <w:p w14:paraId="4DDD0B1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支持按科室配置开放周期（如“心内科仅周一/三/五上午”），不在开放周期内的科室不参与推荐。</w:t>
            </w:r>
          </w:p>
        </w:tc>
      </w:tr>
      <w:tr w14:paraId="0057F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0EB811B">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2102C0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2DC63456">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0000E87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多院区智能推荐</w:t>
            </w:r>
          </w:p>
        </w:tc>
        <w:tc>
          <w:tcPr>
            <w:tcW w:w="6097" w:type="dxa"/>
            <w:vAlign w:val="center"/>
          </w:tcPr>
          <w:p w14:paraId="5A1E2B6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支持集团医院多院区差异化科室与专科特色智能推荐,可设置默认推荐院区,引导患者就近就诊,平衡集团门诊负载。</w:t>
            </w:r>
          </w:p>
        </w:tc>
      </w:tr>
      <w:tr w14:paraId="1EF0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CD7EFD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3C67ADA">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166D3055">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2DE9FAF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推荐依据可视化</w:t>
            </w:r>
          </w:p>
        </w:tc>
        <w:tc>
          <w:tcPr>
            <w:tcW w:w="6097" w:type="dxa"/>
            <w:vAlign w:val="center"/>
          </w:tcPr>
          <w:p w14:paraId="17491E5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系统须在推荐科室时，明确展示推荐依据（例如：“根据您描述的‘胸痛、出汗’，建议优先考虑‘心内科’就诊”），增强患者对推荐结果的信任度与理解。</w:t>
            </w:r>
          </w:p>
        </w:tc>
      </w:tr>
      <w:tr w14:paraId="18C2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26CD8E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1EDD365">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457F32F8">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79CBFCE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科室介绍与指引</w:t>
            </w:r>
          </w:p>
        </w:tc>
        <w:tc>
          <w:tcPr>
            <w:tcW w:w="6097" w:type="dxa"/>
            <w:vAlign w:val="center"/>
          </w:tcPr>
          <w:p w14:paraId="4605D61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系统须在推荐科室时，同步展示科室的详细介绍，内容须涵盖科室特色、诊疗范围及专家团队构成；同时须提供科室的具体位置文字指引（含楼层、诊区等），方便患者提前规划就医路线，做好就诊准备。</w:t>
            </w:r>
          </w:p>
        </w:tc>
      </w:tr>
      <w:tr w14:paraId="1A4C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5FED4D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32BFDB87">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1545040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5B91B5A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科室缓存与同步机制</w:t>
            </w:r>
          </w:p>
        </w:tc>
        <w:tc>
          <w:tcPr>
            <w:tcW w:w="6097" w:type="dxa"/>
            <w:vAlign w:val="center"/>
          </w:tcPr>
          <w:p w14:paraId="0F5CFCB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支持科室映射配置变更后实时生效或按策略刷新，避免推荐错误。</w:t>
            </w:r>
          </w:p>
        </w:tc>
      </w:tr>
      <w:tr w14:paraId="06D45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BAD63C2">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23015EE">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tcBorders>
              <w:top w:val="single" w:color="auto" w:sz="4" w:space="0"/>
              <w:bottom w:val="single" w:color="auto" w:sz="4" w:space="0"/>
            </w:tcBorders>
            <w:vAlign w:val="center"/>
          </w:tcPr>
          <w:p w14:paraId="3C4E651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智能医生推荐</w:t>
            </w:r>
          </w:p>
        </w:tc>
        <w:tc>
          <w:tcPr>
            <w:tcW w:w="1176" w:type="dxa"/>
            <w:vAlign w:val="center"/>
          </w:tcPr>
          <w:p w14:paraId="7D42545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医生标签体系</w:t>
            </w:r>
          </w:p>
        </w:tc>
        <w:tc>
          <w:tcPr>
            <w:tcW w:w="6097" w:type="dxa"/>
            <w:vAlign w:val="center"/>
          </w:tcPr>
          <w:p w14:paraId="6915373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支持为每位医生配置多个标签（如“擅长关节镜”、“小儿癫痫”、“副主任医师”），标签支持后台动态增删改。</w:t>
            </w:r>
          </w:p>
        </w:tc>
      </w:tr>
      <w:tr w14:paraId="31084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21C4231">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229FECE">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22BEAE20">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6212296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科室后医生匹配</w:t>
            </w:r>
          </w:p>
        </w:tc>
        <w:tc>
          <w:tcPr>
            <w:tcW w:w="6097" w:type="dxa"/>
            <w:vAlign w:val="center"/>
          </w:tcPr>
          <w:p w14:paraId="7AE28DE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系统须完成科室推荐后，根据患者病情关键词与医生标签进行二次匹配，输出该科室下的医生推荐列表。</w:t>
            </w:r>
          </w:p>
        </w:tc>
      </w:tr>
      <w:tr w14:paraId="12B1F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3D9BC05">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951FE6A">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1DA2EFA1">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62A8E90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医生开放周期设置</w:t>
            </w:r>
          </w:p>
        </w:tc>
        <w:tc>
          <w:tcPr>
            <w:tcW w:w="6097" w:type="dxa"/>
            <w:vAlign w:val="center"/>
          </w:tcPr>
          <w:p w14:paraId="7E36200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支持按医生配置开放周期（如“张医生仅周一/三/五上午”），不在开放周期内的医生不参与推荐。</w:t>
            </w:r>
          </w:p>
        </w:tc>
      </w:tr>
      <w:tr w14:paraId="2A17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A04A518">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B05DC4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5DCB8C5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4288A99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专家信息库</w:t>
            </w:r>
          </w:p>
        </w:tc>
        <w:tc>
          <w:tcPr>
            <w:tcW w:w="6097" w:type="dxa"/>
            <w:vAlign w:val="center"/>
          </w:tcPr>
          <w:p w14:paraId="74FDE68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建立完善的专家信息库，全面涵盖各科室专家的专业特长、出诊时间等，为推荐医生提供数据基础。</w:t>
            </w:r>
          </w:p>
        </w:tc>
      </w:tr>
      <w:tr w14:paraId="3F0C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4C3B70D">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B271FE7">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37F7A53F">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493F244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医生信息展示</w:t>
            </w:r>
          </w:p>
        </w:tc>
        <w:tc>
          <w:tcPr>
            <w:tcW w:w="6097" w:type="dxa"/>
            <w:vAlign w:val="center"/>
          </w:tcPr>
          <w:p w14:paraId="761A80A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推荐医生时同步展示医生详细档案，至少包含医生简介、擅长领域、学术职称等关键信息，辅助患者全面了解医生情况，提升选择精准度。</w:t>
            </w:r>
          </w:p>
        </w:tc>
      </w:tr>
      <w:tr w14:paraId="7B1F8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CE7FDF8">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5584B05">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tcBorders>
              <w:top w:val="single" w:color="auto" w:sz="4" w:space="0"/>
              <w:bottom w:val="single" w:color="auto" w:sz="4" w:space="0"/>
            </w:tcBorders>
            <w:vAlign w:val="center"/>
          </w:tcPr>
          <w:p w14:paraId="0AEA6BF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导诊策略配置与管理</w:t>
            </w:r>
          </w:p>
        </w:tc>
        <w:tc>
          <w:tcPr>
            <w:tcW w:w="1176" w:type="dxa"/>
            <w:vAlign w:val="center"/>
          </w:tcPr>
          <w:p w14:paraId="2DC5F00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推荐科室/医生数量控制</w:t>
            </w:r>
          </w:p>
        </w:tc>
        <w:tc>
          <w:tcPr>
            <w:tcW w:w="6097" w:type="dxa"/>
            <w:vAlign w:val="center"/>
          </w:tcPr>
          <w:p w14:paraId="783F68D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系统须支持针对推荐科室和推荐医生分别独立设置向前端患者展示的最大数量（例如：科室最多展示3个，医生最多展示5个），防止推荐结果过多导致患者选择困难，确保界面简洁与决策高效。</w:t>
            </w:r>
          </w:p>
        </w:tc>
      </w:tr>
      <w:tr w14:paraId="0031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38B4101A">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7DD47D3">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5C6653DB">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3E0DEC2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推荐结果排序自定义</w:t>
            </w:r>
          </w:p>
        </w:tc>
        <w:tc>
          <w:tcPr>
            <w:tcW w:w="6097" w:type="dxa"/>
            <w:vAlign w:val="center"/>
          </w:tcPr>
          <w:p w14:paraId="549D187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系统须支持管理员自定义调整推荐科室的展示顺序及推荐医生的展示顺序，以满足医院基于专家号源、科室热度或运营策略的个性化排序需求</w:t>
            </w:r>
          </w:p>
        </w:tc>
      </w:tr>
      <w:tr w14:paraId="7879F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3FAF2C8">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1FB7A19">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6CD91474">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66E626B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展示模式配置​</w:t>
            </w:r>
          </w:p>
        </w:tc>
        <w:tc>
          <w:tcPr>
            <w:tcW w:w="6097" w:type="dxa"/>
            <w:vAlign w:val="center"/>
          </w:tcPr>
          <w:p w14:paraId="7FB292B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系统须支持自定义导诊结果的展示模式，须至少提供三种模式供管理员选择：模式一“仅推荐科室”、模式二“仅推荐医生”、模式三“科室与医生联合推荐”，且配置修改后须在前端实时生效</w:t>
            </w:r>
          </w:p>
        </w:tc>
      </w:tr>
      <w:tr w14:paraId="5F48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FFC0E26">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912C4BD">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6EA25A33">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2AA1CBD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问诊模板配置</w:t>
            </w:r>
          </w:p>
        </w:tc>
        <w:tc>
          <w:tcPr>
            <w:tcW w:w="6097" w:type="dxa"/>
            <w:vAlign w:val="center"/>
          </w:tcPr>
          <w:p w14:paraId="18DE1C6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支持配置大模型问诊的初始引导语、推荐提示词。</w:t>
            </w:r>
          </w:p>
        </w:tc>
      </w:tr>
      <w:tr w14:paraId="6099D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2E28312D">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46E948E">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3A1A21EE">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6E42089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批量导入与接口获取</w:t>
            </w:r>
          </w:p>
        </w:tc>
        <w:tc>
          <w:tcPr>
            <w:tcW w:w="6097" w:type="dxa"/>
            <w:vAlign w:val="center"/>
          </w:tcPr>
          <w:p w14:paraId="28BBA6F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科室映射、医生标签、开放周期等支持Excel批量导入，也支持通跟医院对接获取。</w:t>
            </w:r>
          </w:p>
        </w:tc>
      </w:tr>
      <w:tr w14:paraId="336B4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4536DD6">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B0C66CC">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tcBorders>
              <w:top w:val="single" w:color="auto" w:sz="4" w:space="0"/>
              <w:bottom w:val="single" w:color="auto" w:sz="4" w:space="0"/>
            </w:tcBorders>
            <w:vAlign w:val="center"/>
          </w:tcPr>
          <w:p w14:paraId="33E756D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挂号与流程闭环</w:t>
            </w:r>
          </w:p>
        </w:tc>
        <w:tc>
          <w:tcPr>
            <w:tcW w:w="1176" w:type="dxa"/>
            <w:vAlign w:val="center"/>
          </w:tcPr>
          <w:p w14:paraId="29B173D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挂号系统无缝对接</w:t>
            </w:r>
          </w:p>
        </w:tc>
        <w:tc>
          <w:tcPr>
            <w:tcW w:w="6097" w:type="dxa"/>
            <w:vAlign w:val="center"/>
          </w:tcPr>
          <w:p w14:paraId="645898F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系统须与医院现有挂号系统实现无缝对接。患者在完成导诊并确认推荐科室/医生后，可直接通过系统跳转至挂号页面完成操作，无需二次登录。</w:t>
            </w:r>
          </w:p>
        </w:tc>
      </w:tr>
      <w:tr w14:paraId="7150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72E6641">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ECF36AA">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tcBorders>
              <w:top w:val="single" w:color="auto" w:sz="4" w:space="0"/>
              <w:bottom w:val="single" w:color="auto" w:sz="4" w:space="0"/>
            </w:tcBorders>
            <w:vAlign w:val="center"/>
          </w:tcPr>
          <w:p w14:paraId="4F685E54">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3BFB7F2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多入口挂号链接通知</w:t>
            </w:r>
          </w:p>
        </w:tc>
        <w:tc>
          <w:tcPr>
            <w:tcW w:w="6097" w:type="dxa"/>
            <w:vAlign w:val="center"/>
          </w:tcPr>
          <w:p w14:paraId="4CE2496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系统须支持根据患者来源渠道（如公众号、小程序、互联网医院App等）配置不同的挂号链接或跳转路径，确保患者从任何入口进入都能被导向正确的挂号平台。</w:t>
            </w:r>
          </w:p>
        </w:tc>
      </w:tr>
      <w:tr w14:paraId="66D0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8E7418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54E03B7">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4580F2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7FA6141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数据采集</w:t>
            </w:r>
          </w:p>
        </w:tc>
        <w:tc>
          <w:tcPr>
            <w:tcW w:w="6097" w:type="dxa"/>
            <w:vAlign w:val="center"/>
          </w:tcPr>
          <w:p w14:paraId="749E81A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支持患者主动上传检验报告进行分析。</w:t>
            </w:r>
          </w:p>
        </w:tc>
      </w:tr>
      <w:tr w14:paraId="2B2B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039B5BF">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8A2908F">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663A23B9">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3E28EEC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数据清洗</w:t>
            </w:r>
          </w:p>
        </w:tc>
        <w:tc>
          <w:tcPr>
            <w:tcW w:w="6097" w:type="dxa"/>
            <w:vAlign w:val="center"/>
          </w:tcPr>
          <w:p w14:paraId="1F9ABE0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支持对检验标本、检验项、检验单位等字段进行清洗与标准化处理，输出统一、规范的数据集</w:t>
            </w:r>
          </w:p>
        </w:tc>
      </w:tr>
      <w:tr w14:paraId="51AA2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4B82E8F">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94B5D27">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AF04FF9">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0848C9D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数据结构化</w:t>
            </w:r>
          </w:p>
        </w:tc>
        <w:tc>
          <w:tcPr>
            <w:tcW w:w="6097" w:type="dxa"/>
            <w:vAlign w:val="center"/>
          </w:tcPr>
          <w:p w14:paraId="4BAB506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采用结构化处理技术，对检验项参考区间进行智能解析，拆分为参考区间上界与下界，便于后续分析与应用。</w:t>
            </w:r>
          </w:p>
        </w:tc>
      </w:tr>
      <w:tr w14:paraId="6AF38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2DCF146">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16554E8">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E0563B5">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5CC3F59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数据留存</w:t>
            </w:r>
          </w:p>
        </w:tc>
        <w:tc>
          <w:tcPr>
            <w:tcW w:w="6097" w:type="dxa"/>
            <w:vAlign w:val="center"/>
          </w:tcPr>
          <w:p w14:paraId="1A5BF34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在清洗过程中同步保存原始数据与标准化结果，支持数据质量监控与回溯分析。数据中心</w:t>
            </w:r>
          </w:p>
        </w:tc>
      </w:tr>
      <w:tr w14:paraId="5534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7601E9A">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1F7E153">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678F3076">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46193D7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报告列表</w:t>
            </w:r>
          </w:p>
        </w:tc>
        <w:tc>
          <w:tcPr>
            <w:tcW w:w="6097" w:type="dxa"/>
            <w:vAlign w:val="center"/>
          </w:tcPr>
          <w:p w14:paraId="7C0F11E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清晰展示患者基本信息（姓名、性别、年龄、患者ID）及报告列表（报告名称、报告时间、报告类型），便于快速查阅。</w:t>
            </w:r>
          </w:p>
        </w:tc>
      </w:tr>
      <w:tr w14:paraId="6DFB2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0AB6A79">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2E7F5E8">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39FFA5E1">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7622000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检验报告详情</w:t>
            </w:r>
          </w:p>
        </w:tc>
        <w:tc>
          <w:tcPr>
            <w:tcW w:w="6097" w:type="dxa"/>
            <w:vAlign w:val="center"/>
          </w:tcPr>
          <w:p w14:paraId="1E00050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完整呈现检验报告基本信息（报告名称、标本类型、院区、报告时间）及详细内容（检验项目、结果、参考值、单位）。</w:t>
            </w:r>
          </w:p>
        </w:tc>
      </w:tr>
      <w:tr w14:paraId="2A4A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4483CE4">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5A768E8">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37CBCE20">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4A764F4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综合解读</w:t>
            </w:r>
          </w:p>
        </w:tc>
        <w:tc>
          <w:tcPr>
            <w:tcW w:w="6097" w:type="dxa"/>
            <w:vAlign w:val="center"/>
          </w:tcPr>
          <w:p w14:paraId="0F75AD6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基于医疗大模型技术，对患者检验报告结果进行多维度综合分析。自动生成分层建议。</w:t>
            </w:r>
          </w:p>
        </w:tc>
      </w:tr>
      <w:tr w14:paraId="33CBD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F11EF4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EB4287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282B9971">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6691B5A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解读范围</w:t>
            </w:r>
          </w:p>
        </w:tc>
        <w:tc>
          <w:tcPr>
            <w:tcW w:w="6097" w:type="dxa"/>
            <w:vAlign w:val="center"/>
          </w:tcPr>
          <w:p w14:paraId="0A99DD0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支持用户自行选择上传的近一月、近三月、近一年等时间范围内的全部检验检查结果进行综合解读。</w:t>
            </w:r>
          </w:p>
        </w:tc>
      </w:tr>
      <w:tr w14:paraId="2B16C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58258C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521F67A">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03F1370">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524465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推荐就诊与挂号</w:t>
            </w:r>
          </w:p>
        </w:tc>
        <w:tc>
          <w:tcPr>
            <w:tcW w:w="6097" w:type="dxa"/>
            <w:vAlign w:val="center"/>
          </w:tcPr>
          <w:p w14:paraId="6F6904B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根据解读结果智能推荐最适合的就诊科室，支持一键跳转至院内挂号系统，提升就医便捷性。</w:t>
            </w:r>
          </w:p>
        </w:tc>
      </w:tr>
      <w:tr w14:paraId="7A25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30A5710">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268D18F">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vAlign w:val="center"/>
          </w:tcPr>
          <w:p w14:paraId="18EBA24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院内知识中枢</w:t>
            </w:r>
          </w:p>
        </w:tc>
        <w:tc>
          <w:tcPr>
            <w:tcW w:w="1176" w:type="dxa"/>
            <w:vAlign w:val="center"/>
          </w:tcPr>
          <w:p w14:paraId="0E871C7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知识文件上传</w:t>
            </w:r>
          </w:p>
        </w:tc>
        <w:tc>
          <w:tcPr>
            <w:tcW w:w="6097" w:type="dxa"/>
            <w:vAlign w:val="center"/>
          </w:tcPr>
          <w:p w14:paraId="5485C1D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支持本地文件选择与拖拽两种方式批量上传，兼容 PDF、Word、Excel 等主流医疗文档格式，单次批量上传不少于 20 份文件，单份 PDF 支持不小于 50MB；上传时可选择已有分类或即时新建分类，无需先行创建；「医护知识库」与「客服知识库」双库分别独立上传，知识口径互不串库。</w:t>
            </w:r>
          </w:p>
        </w:tc>
      </w:tr>
      <w:tr w14:paraId="7D3DE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46B1FD0">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5BE3F46">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39A60886">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58ABF9B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文件深度解析与向量化</w:t>
            </w:r>
          </w:p>
        </w:tc>
        <w:tc>
          <w:tcPr>
            <w:tcW w:w="6097" w:type="dxa"/>
            <w:vAlign w:val="center"/>
          </w:tcPr>
          <w:p w14:paraId="5EEAFD3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文件上传后自动触发异步解析任务，识别正文、表格与目录结构，按语义与段落结构将长文档切分为细颗粒度知识片段，并逐片段调用嵌入模型生成语义向量；解析过程同步保留每个片段的原文件指针作为引用锚点，为后续答案一键回溯原文提供支撑。</w:t>
            </w:r>
          </w:p>
        </w:tc>
      </w:tr>
      <w:tr w14:paraId="774A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73104DC">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853F2E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2CFDA3A4">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1C9098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解析状态管理</w:t>
            </w:r>
          </w:p>
        </w:tc>
        <w:tc>
          <w:tcPr>
            <w:tcW w:w="6097" w:type="dxa"/>
            <w:vAlign w:val="center"/>
          </w:tcPr>
          <w:p w14:paraId="6F9AC32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列表实时呈现「解析中／解析完成／上传失败／解析失败」全流程状态并支持手动刷新；上传失败文件支持原地重新上传，解析失败文件支持基于已存文件直接重新解析，无需重复上传；医护、客服两库刷新相互独立，避免批量任务相互阻塞。</w:t>
            </w:r>
          </w:p>
        </w:tc>
      </w:tr>
      <w:tr w14:paraId="2877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D973E02">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CF554E4">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0E4DB302">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656912C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知识分类管理</w:t>
            </w:r>
          </w:p>
        </w:tc>
        <w:tc>
          <w:tcPr>
            <w:tcW w:w="6097" w:type="dxa"/>
            <w:vAlign w:val="center"/>
          </w:tcPr>
          <w:p w14:paraId="63D6C76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支持知识分类的新增、重命名、删除与关键词查询，分类与文件双向关联并可统计各分类下的文件数量；系统内置「未分类」默认分类，不可编辑与删除；新建分类即时同步至文件上传的分类选择列表。</w:t>
            </w:r>
          </w:p>
        </w:tc>
      </w:tr>
      <w:tr w14:paraId="7284D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6C7858B">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1E4960A">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4E62B60">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C898FA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知识检索与维护</w:t>
            </w:r>
          </w:p>
        </w:tc>
        <w:tc>
          <w:tcPr>
            <w:tcW w:w="6097" w:type="dxa"/>
            <w:vAlign w:val="center"/>
          </w:tcPr>
          <w:p w14:paraId="2271742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支持按文件名称、上传者关键词模糊查询，按文件格式、解析状态、所属分类组合筛选，并提供查询与重置操作；支持 PDF、Word、Excel 文件在线预览、下载与删除，删除后同步从知识库索引中移除；支持单个文件或批量文件调整所属分类。</w:t>
            </w:r>
          </w:p>
        </w:tc>
      </w:tr>
      <w:tr w14:paraId="6A8A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EE4FC51">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687E3F6">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vAlign w:val="center"/>
          </w:tcPr>
          <w:p w14:paraId="62BAEBE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患者智能客服</w:t>
            </w:r>
          </w:p>
        </w:tc>
        <w:tc>
          <w:tcPr>
            <w:tcW w:w="1176" w:type="dxa"/>
            <w:shd w:val="clear" w:color="auto" w:fill="auto"/>
            <w:vAlign w:val="center"/>
          </w:tcPr>
          <w:p w14:paraId="644CCFCA">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站内知识问答</w:t>
            </w:r>
          </w:p>
        </w:tc>
        <w:tc>
          <w:tcPr>
            <w:tcW w:w="6097" w:type="dxa"/>
            <w:shd w:val="clear" w:color="auto" w:fill="auto"/>
            <w:vAlign w:val="center"/>
          </w:tcPr>
          <w:p w14:paraId="567F69A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基于本院已解析知识库开展 RAG 混合检索，融合语义向量检索与关键词检索双通道，并结合医疗术语词表进行查询改写，精准命中目标知识片段；医疗领域大模型仅在检索结果范围内聚合生成答案，从源头抑制大模型幻觉。答案以流式方式逐字输出，支持多轮连续追问并自动维护上下文。</w:t>
            </w:r>
          </w:p>
        </w:tc>
      </w:tr>
      <w:tr w14:paraId="4E30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67" w:type="dxa"/>
            <w:vMerge w:val="continue"/>
            <w:vAlign w:val="center"/>
          </w:tcPr>
          <w:p w14:paraId="7E70A442">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71A956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58387B7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662A2A8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AI 智能客服</w:t>
            </w:r>
          </w:p>
        </w:tc>
        <w:tc>
          <w:tcPr>
            <w:tcW w:w="6097" w:type="dxa"/>
            <w:shd w:val="clear" w:color="auto" w:fill="auto"/>
            <w:vAlign w:val="center"/>
          </w:tcPr>
          <w:p w14:paraId="77B4949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面向到院及在线患者提供 7×24 小时智能咨询服务，基于客服知识库开展 RAG 检索作答，答案流式输出并自动附带引用来源，支持多轮追问与上下文自动维护；覆盖挂号流程、医保政策、检查须知、院区导航、门诊时间等通用型咨询场景。</w:t>
            </w:r>
          </w:p>
        </w:tc>
      </w:tr>
      <w:tr w14:paraId="747E5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5F91FC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177674B">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34F0CB27">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377C9A1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热门推荐问题</w:t>
            </w:r>
          </w:p>
        </w:tc>
        <w:tc>
          <w:tcPr>
            <w:tcW w:w="6097" w:type="dxa"/>
            <w:shd w:val="clear" w:color="auto" w:fill="auto"/>
            <w:vAlign w:val="center"/>
          </w:tcPr>
          <w:p w14:paraId="6791F5F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后端定时任务自动挖掘高频咨询问题并生成推荐列表，患者点击即可直接发起咨询、无需手动输入，支持「换一换」切换下一批；点击热度实时回流沉淀，为运营人员持续优化客服知识库提供数据依据。</w:t>
            </w:r>
          </w:p>
        </w:tc>
      </w:tr>
      <w:tr w14:paraId="047B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58A9A94">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B8F3A7E">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7C7AB5B">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028991F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转人工服务</w:t>
            </w:r>
          </w:p>
        </w:tc>
        <w:tc>
          <w:tcPr>
            <w:tcW w:w="6097" w:type="dxa"/>
            <w:shd w:val="clear" w:color="auto" w:fill="auto"/>
            <w:vAlign w:val="center"/>
          </w:tcPr>
          <w:p w14:paraId="7A6F9D9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页面提供可拖拽的转人工悬浮入口并醒目展示人工服务时段，点击可跳转至院方人工客服渠道（仅支持外链配置后一键跳转，本产品不提供人工客服本身的功能）；对 AI 无法解答、涉及投诉处理与复杂个案的咨询，实现由智能应答向人工服务的无缝转接。</w:t>
            </w:r>
          </w:p>
        </w:tc>
      </w:tr>
      <w:tr w14:paraId="7F01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32027696">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243F27D">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0BEFDDD2">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423366AA">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移动端交互</w:t>
            </w:r>
          </w:p>
        </w:tc>
        <w:tc>
          <w:tcPr>
            <w:tcW w:w="6097" w:type="dxa"/>
            <w:shd w:val="clear" w:color="auto" w:fill="auto"/>
            <w:vAlign w:val="center"/>
          </w:tcPr>
          <w:p w14:paraId="282975F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提供 H5 全屏沉浸式聊天界面，支持文字输入与语音输入（语音转文字）两种提问方式，键盘弹起时输入区自适应上移避免遮挡，消息列表自动定位至最新消息，网络中断等异常场景具备明确的状态降级提示。此外支持图片类问答交互场景，提供拍照上传、本地相册选取两种图片提交入口；系统可对图片内容进行智能识别与深度分析并输出解答，同时支持用户基于图片上下文进行多轮追问。</w:t>
            </w:r>
          </w:p>
        </w:tc>
      </w:tr>
      <w:tr w14:paraId="1E748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2BDCAB1F">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20F6778">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72B2FAB7">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4125620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答案质量反馈</w:t>
            </w:r>
          </w:p>
        </w:tc>
        <w:tc>
          <w:tcPr>
            <w:tcW w:w="6097" w:type="dxa"/>
            <w:shd w:val="clear" w:color="auto" w:fill="auto"/>
            <w:vAlign w:val="center"/>
          </w:tcPr>
          <w:p w14:paraId="4889125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支持用户对每条答案的准确性与有用性进行反馈，反馈数据统一沉淀，用于知识库治理与问答算法的持续迭代优化。</w:t>
            </w:r>
          </w:p>
        </w:tc>
      </w:tr>
      <w:tr w14:paraId="51294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FE4995C">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3E259D84">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13CF6CB">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08BFABF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咨询记录管理</w:t>
            </w:r>
          </w:p>
        </w:tc>
        <w:tc>
          <w:tcPr>
            <w:tcW w:w="6097" w:type="dxa"/>
            <w:shd w:val="clear" w:color="auto" w:fill="auto"/>
            <w:vAlign w:val="center"/>
          </w:tcPr>
          <w:p w14:paraId="0742CBB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提供「全部记录」与「待办记录」双视图，待办视图实时呈现待处理数量徽标；支持按咨询内容关键词模糊查询、按反馈状态（未反馈／已解决／未解决）多选筛选、按咨询时间升序或降序排序，并支持分页浏览与页容量调整。</w:t>
            </w:r>
          </w:p>
        </w:tc>
      </w:tr>
      <w:tr w14:paraId="286B1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C18E557">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7CC553E">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5FCF74DF">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32836C1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咨询详情与人工跟进</w:t>
            </w:r>
          </w:p>
        </w:tc>
        <w:tc>
          <w:tcPr>
            <w:tcW w:w="6097" w:type="dxa"/>
            <w:shd w:val="clear" w:color="auto" w:fill="auto"/>
            <w:vAlign w:val="center"/>
          </w:tcPr>
          <w:p w14:paraId="585AD47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点击任一咨询记录可查看该次咨询的完整 AI 对话过程，客服人员据此了解患者诉求全貌并给出针对性人工回复，避免患者重复描述问题；每条咨询的处理结果以反馈状态显著标识。</w:t>
            </w:r>
          </w:p>
        </w:tc>
      </w:tr>
      <w:tr w14:paraId="2AF9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8C7F484">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FB5930F">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7DDB8998">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1C44E8DA">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任务处理与跟进</w:t>
            </w:r>
          </w:p>
        </w:tc>
        <w:tc>
          <w:tcPr>
            <w:tcW w:w="6097" w:type="dxa"/>
            <w:shd w:val="clear" w:color="auto" w:fill="auto"/>
            <w:vAlign w:val="center"/>
          </w:tcPr>
          <w:p w14:paraId="1A4D8ED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支持对咨询任务执行、完成、删除等操作，并提供批量执行、批量完成与批量删除能力，删除前弹窗二次确认；任务状态变更后待办计数与记录列表自动联动刷新。</w:t>
            </w:r>
          </w:p>
        </w:tc>
      </w:tr>
      <w:tr w14:paraId="3CEC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F6C906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F0E1E7C">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vAlign w:val="center"/>
          </w:tcPr>
          <w:p w14:paraId="0464F5D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系统管理和安全</w:t>
            </w:r>
          </w:p>
        </w:tc>
        <w:tc>
          <w:tcPr>
            <w:tcW w:w="1176" w:type="dxa"/>
            <w:shd w:val="clear" w:color="auto" w:fill="auto"/>
            <w:vAlign w:val="center"/>
          </w:tcPr>
          <w:p w14:paraId="1B7377D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登录与身份认证</w:t>
            </w:r>
          </w:p>
        </w:tc>
        <w:tc>
          <w:tcPr>
            <w:tcW w:w="6097" w:type="dxa"/>
            <w:shd w:val="clear" w:color="auto" w:fill="auto"/>
            <w:vAlign w:val="center"/>
          </w:tcPr>
          <w:p w14:paraId="2771FB3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同时支持手机号验证码登录与账号密码登录两种模式（任选其一），由系统级配置项决定本院实际启用方式、前端动态适配，同一套系统无需定制改造；登录失败采用统一文案提示，防止账号枚举；登录态基于服务端会话与前端令牌双重校验，同一账号重复登录自动登出旧会话。</w:t>
            </w:r>
          </w:p>
        </w:tc>
      </w:tr>
      <w:tr w14:paraId="1C590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F8F2729">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319A60A">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0E85C233">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3B6DF60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用户管理</w:t>
            </w:r>
          </w:p>
        </w:tc>
        <w:tc>
          <w:tcPr>
            <w:tcW w:w="6097" w:type="dxa"/>
            <w:shd w:val="clear" w:color="auto" w:fill="auto"/>
            <w:vAlign w:val="center"/>
          </w:tcPr>
          <w:p w14:paraId="6D21A87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支持用户账号的新增、信息编辑、密码重置与启用／停用即时切换，实现访问权限的即时管控；支持按姓名、手机号、账号状态组合筛选，列表分页展示、新建后即时回显。</w:t>
            </w:r>
          </w:p>
        </w:tc>
      </w:tr>
      <w:tr w14:paraId="5FF7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40D5714">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1233264">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36914C77">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6E11722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角色与菜单权限</w:t>
            </w:r>
          </w:p>
        </w:tc>
        <w:tc>
          <w:tcPr>
            <w:tcW w:w="6097" w:type="dxa"/>
            <w:shd w:val="clear" w:color="auto" w:fill="auto"/>
            <w:vAlign w:val="center"/>
          </w:tcPr>
          <w:p w14:paraId="56D4CB4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内置管理员、医生等多种角色，角色与菜单通过配置化方式灵活绑定，新增菜单无需修改代码；管理员开放知识库管理、用户管理、客服咨询等全部菜单，医生角色仅开放问答相关菜单，并对越权访问进行强校验拦截。</w:t>
            </w:r>
          </w:p>
        </w:tc>
      </w:tr>
      <w:tr w14:paraId="1FCF7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1174529">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8B2076C">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64891BEA">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1A54240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数据隔离与安全审计</w:t>
            </w:r>
          </w:p>
        </w:tc>
        <w:tc>
          <w:tcPr>
            <w:tcW w:w="6097" w:type="dxa"/>
            <w:shd w:val="clear" w:color="auto" w:fill="auto"/>
            <w:vAlign w:val="center"/>
          </w:tcPr>
          <w:p w14:paraId="54B8C1A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医护知识库与客服知识库相互隔离，面向医护与面向患者的知识口径互不串库；问答会话按会话标识隔离，用户之间互不可见；全部接口统一令牌鉴权并进行细粒度操作权限校验，未授权访问直接拦截；文件上传、解析、问答、反馈等关键操作均留有日志记录，支持运维追溯与责任倒查。</w:t>
            </w:r>
          </w:p>
        </w:tc>
      </w:tr>
      <w:tr w14:paraId="63BF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0C5CD09">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A4552F2">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292E46B2">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0423726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外部智能应用对接</w:t>
            </w:r>
          </w:p>
        </w:tc>
        <w:tc>
          <w:tcPr>
            <w:tcW w:w="6097" w:type="dxa"/>
            <w:shd w:val="clear" w:color="auto" w:fill="auto"/>
            <w:vAlign w:val="center"/>
          </w:tcPr>
          <w:p w14:paraId="772A6EA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1.智能语音客服对接：支持与第三方智能语音客服系统通过标准化协议互通，在语音对话全流程中可实时调用本地知识库，提供知识检索、应答建议与合规校验能力。</w:t>
            </w:r>
          </w:p>
          <w:p w14:paraId="4D59D65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2.第三方 AI 机器人集成：支持外部 AI 机器人以组件化、API 化方式嵌入集成，可复用其意图识别、多轮对话管理与领域问答能力，与系统自身知识库、业务数据能力互补，共同完成全场景智能问答与交互引导服务。</w:t>
            </w:r>
          </w:p>
        </w:tc>
      </w:tr>
      <w:tr w14:paraId="2981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94BDCCB">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49CE920">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vAlign w:val="center"/>
          </w:tcPr>
          <w:p w14:paraId="6C3A56C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智能陪诊</w:t>
            </w:r>
          </w:p>
        </w:tc>
        <w:tc>
          <w:tcPr>
            <w:tcW w:w="1176" w:type="dxa"/>
            <w:shd w:val="clear" w:color="auto" w:fill="auto"/>
            <w:vAlign w:val="center"/>
          </w:tcPr>
          <w:p w14:paraId="58E5A14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全流程陪诊服务框架</w:t>
            </w:r>
          </w:p>
        </w:tc>
        <w:tc>
          <w:tcPr>
            <w:tcW w:w="6097" w:type="dxa"/>
            <w:shd w:val="clear" w:color="auto" w:fill="auto"/>
            <w:vAlign w:val="top"/>
          </w:tcPr>
          <w:p w14:paraId="1F371B5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提供覆盖诊前、诊中、诊后全流程的智能陪诊服务框架，以患者单次就诊为主线，将预约挂号、候诊签到、门诊缴费、检查检验、取药、报告查询等环节串联为统一的就诊旅程视图，实现"服务找患者"的主动式引导模式，替代传统"患者找服务"的分散式入口设计。</w:t>
            </w:r>
          </w:p>
        </w:tc>
      </w:tr>
      <w:tr w14:paraId="5F93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FB8ABC9">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4AAEB52">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3D110052">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66D11E7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就诊待办事项智能聚合</w:t>
            </w:r>
          </w:p>
        </w:tc>
        <w:tc>
          <w:tcPr>
            <w:tcW w:w="6097" w:type="dxa"/>
            <w:shd w:val="clear" w:color="auto" w:fill="auto"/>
            <w:vAlign w:val="top"/>
          </w:tcPr>
          <w:p w14:paraId="671891C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系统须能够以就诊人和就诊日期为双维度，智能聚合当日全部就诊待办事项，形成统一的陪诊视图，使患者无需在多个功能入口间切换，即可一目了然掌握当日就医全貌及各事项进度。</w:t>
            </w:r>
          </w:p>
        </w:tc>
      </w:tr>
      <w:tr w14:paraId="2C35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277B57A">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8322235">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63C0F7B0">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30F1C5F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就诊节点状态管理</w:t>
            </w:r>
          </w:p>
        </w:tc>
        <w:tc>
          <w:tcPr>
            <w:tcW w:w="6097" w:type="dxa"/>
            <w:shd w:val="clear" w:color="auto" w:fill="auto"/>
            <w:vAlign w:val="top"/>
          </w:tcPr>
          <w:p w14:paraId="2D4DCD4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系统须支持对每个就诊环节的状态进行实时跟踪与标记，包括待办、进行中、已完成等状态，每个节点的完成信息按天保留并可回顾查看，便于患者掌握当前就诊进度及已办事项记录。</w:t>
            </w:r>
          </w:p>
        </w:tc>
      </w:tr>
      <w:tr w14:paraId="3C2ED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6345868">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3D263418">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2E72BA94">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414C1BB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诊前诊中诊后路径引导</w:t>
            </w:r>
          </w:p>
        </w:tc>
        <w:tc>
          <w:tcPr>
            <w:tcW w:w="6097" w:type="dxa"/>
            <w:shd w:val="clear" w:color="auto" w:fill="auto"/>
            <w:vAlign w:val="top"/>
          </w:tcPr>
          <w:p w14:paraId="4E1AB83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系统须建立清晰的诊前、诊中、诊后就医路径逻辑，在每个阶段根据患者当前状态智能推送下一步操作指引，避免因功能入口分散、流程不清导致患者就医迷失。</w:t>
            </w:r>
          </w:p>
        </w:tc>
      </w:tr>
      <w:tr w14:paraId="58C6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7" w:hRule="atLeast"/>
          <w:jc w:val="center"/>
        </w:trPr>
        <w:tc>
          <w:tcPr>
            <w:tcW w:w="567" w:type="dxa"/>
            <w:vMerge w:val="continue"/>
            <w:vAlign w:val="center"/>
          </w:tcPr>
          <w:p w14:paraId="7336C259">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457273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77EDCE8">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585F57A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多场景节点预设机制</w:t>
            </w:r>
          </w:p>
        </w:tc>
        <w:tc>
          <w:tcPr>
            <w:tcW w:w="6097" w:type="dxa"/>
            <w:shd w:val="clear" w:color="auto" w:fill="auto"/>
            <w:vAlign w:val="top"/>
          </w:tcPr>
          <w:p w14:paraId="20A6158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系统须预设门诊就诊全流程中的各类陪诊场景节点（如挂号、签到、缴费、检查、取药、报告等），各节点可根据患者实际就诊数据自动触发，形成个性化的就诊引导路径。</w:t>
            </w:r>
          </w:p>
        </w:tc>
      </w:tr>
      <w:tr w14:paraId="35E83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2CB4C3B">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1E6B4FB">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vAlign w:val="center"/>
          </w:tcPr>
          <w:p w14:paraId="459B0B68">
            <w:pPr>
              <w:widowControl/>
              <w:ind w:firstLine="0" w:firstLineChars="0"/>
              <w:jc w:val="center"/>
              <w:rPr>
                <w:rFonts w:hint="eastAsia" w:ascii="仿宋_GB2312" w:hAnsi="仿宋_GB2312" w:cs="仿宋_GB2312"/>
                <w:color w:val="auto"/>
                <w:kern w:val="0"/>
                <w:sz w:val="24"/>
                <w:szCs w:val="24"/>
                <w:lang w:val="en-US" w:eastAsia="zh-CN"/>
              </w:rPr>
            </w:pPr>
          </w:p>
          <w:p w14:paraId="2B778C27">
            <w:pPr>
              <w:widowControl/>
              <w:ind w:firstLine="0" w:firstLineChars="0"/>
              <w:jc w:val="center"/>
              <w:rPr>
                <w:rFonts w:hint="eastAsia" w:ascii="仿宋_GB2312" w:hAnsi="仿宋_GB2312" w:cs="仿宋_GB2312"/>
                <w:color w:val="auto"/>
                <w:kern w:val="0"/>
                <w:sz w:val="24"/>
                <w:szCs w:val="24"/>
                <w:lang w:val="en-US" w:eastAsia="zh-CN"/>
              </w:rPr>
            </w:pPr>
          </w:p>
          <w:p w14:paraId="0247905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用户信息与系统对接</w:t>
            </w:r>
          </w:p>
        </w:tc>
        <w:tc>
          <w:tcPr>
            <w:tcW w:w="1176" w:type="dxa"/>
            <w:shd w:val="clear" w:color="auto" w:fill="auto"/>
            <w:vAlign w:val="center"/>
          </w:tcPr>
          <w:p w14:paraId="2DF0C531">
            <w:pPr>
              <w:widowControl/>
              <w:ind w:firstLine="0" w:firstLineChars="0"/>
              <w:jc w:val="center"/>
              <w:rPr>
                <w:rFonts w:hint="eastAsia" w:ascii="仿宋_GB2312" w:hAnsi="仿宋_GB2312" w:cs="仿宋_GB2312"/>
                <w:color w:val="auto"/>
                <w:kern w:val="0"/>
                <w:sz w:val="24"/>
                <w:szCs w:val="24"/>
                <w:lang w:val="en-US" w:eastAsia="zh-CN"/>
              </w:rPr>
            </w:pPr>
          </w:p>
          <w:p w14:paraId="04F695E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用户体系对接</w:t>
            </w:r>
          </w:p>
        </w:tc>
        <w:tc>
          <w:tcPr>
            <w:tcW w:w="6097" w:type="dxa"/>
            <w:shd w:val="clear" w:color="auto" w:fill="auto"/>
            <w:vAlign w:val="top"/>
          </w:tcPr>
          <w:p w14:paraId="4E2F9AF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系统须支持与医院公众号、小程序等现有用户体系进行对接，实现就诊人身份信息的统一关联，确保患者登录后可直接获取个人的就医待办数据信息，无需重复输入个人资料。</w:t>
            </w:r>
          </w:p>
        </w:tc>
      </w:tr>
      <w:tr w14:paraId="4DA9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A9E6B1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50134D7">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CC8E33A">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43558F8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多就诊人管理</w:t>
            </w:r>
          </w:p>
        </w:tc>
        <w:tc>
          <w:tcPr>
            <w:tcW w:w="6097" w:type="dxa"/>
            <w:shd w:val="clear" w:color="auto" w:fill="auto"/>
            <w:vAlign w:val="top"/>
          </w:tcPr>
          <w:p w14:paraId="40C62AC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系统须支持在同一账户下管理多个就诊人信息（如家属、子女等），可自由切换查看不同就诊人的就医待办和陪诊引导信息，满足家庭就医管理需求。</w:t>
            </w:r>
          </w:p>
        </w:tc>
      </w:tr>
      <w:tr w14:paraId="07FB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2A855713">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50E09AD">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6EFA5E2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21F00B3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就诊数据实时同步</w:t>
            </w:r>
          </w:p>
        </w:tc>
        <w:tc>
          <w:tcPr>
            <w:tcW w:w="6097" w:type="dxa"/>
            <w:shd w:val="clear" w:color="auto" w:fill="auto"/>
            <w:vAlign w:val="top"/>
          </w:tcPr>
          <w:p w14:paraId="2C80A55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系统须能够与医院HIS、检查检验等业务系统进行数据实时同步，确保患者在陪诊页面看到的挂号、缴费、检查、报告等信息为最新状态，避免信息滞后导致误导。</w:t>
            </w:r>
          </w:p>
        </w:tc>
      </w:tr>
      <w:tr w14:paraId="05616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45F70AB">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D32068D">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7AFD126">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1EFC247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就诊行程自动识别</w:t>
            </w:r>
          </w:p>
        </w:tc>
        <w:tc>
          <w:tcPr>
            <w:tcW w:w="6097" w:type="dxa"/>
            <w:shd w:val="clear" w:color="auto" w:fill="auto"/>
            <w:vAlign w:val="top"/>
          </w:tcPr>
          <w:p w14:paraId="434829D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系统须能够根据患者的预约挂号记录、医嘱处方等数据，自动识别并构建患者当日的就诊行程清单，无需患者手动添加或配置。</w:t>
            </w:r>
          </w:p>
        </w:tc>
      </w:tr>
      <w:tr w14:paraId="7949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D82B05A">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A0C1CFB">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vAlign w:val="center"/>
          </w:tcPr>
          <w:p w14:paraId="6E332BD4">
            <w:pPr>
              <w:widowControl/>
              <w:ind w:firstLine="0" w:firstLineChars="0"/>
              <w:jc w:val="center"/>
              <w:rPr>
                <w:rFonts w:hint="eastAsia" w:ascii="仿宋_GB2312" w:hAnsi="仿宋_GB2312" w:cs="仿宋_GB2312"/>
                <w:color w:val="auto"/>
                <w:kern w:val="0"/>
                <w:sz w:val="24"/>
                <w:szCs w:val="24"/>
                <w:lang w:val="en-US" w:eastAsia="zh-CN"/>
              </w:rPr>
            </w:pPr>
          </w:p>
          <w:p w14:paraId="4B2FC23F">
            <w:pPr>
              <w:widowControl/>
              <w:ind w:firstLine="0" w:firstLineChars="0"/>
              <w:jc w:val="center"/>
              <w:rPr>
                <w:rFonts w:hint="eastAsia" w:ascii="仿宋_GB2312" w:hAnsi="仿宋_GB2312" w:cs="仿宋_GB2312"/>
                <w:color w:val="auto"/>
                <w:kern w:val="0"/>
                <w:sz w:val="24"/>
                <w:szCs w:val="24"/>
                <w:lang w:val="en-US" w:eastAsia="zh-CN"/>
              </w:rPr>
            </w:pPr>
          </w:p>
          <w:p w14:paraId="2406F19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线上就医引导</w:t>
            </w:r>
          </w:p>
        </w:tc>
        <w:tc>
          <w:tcPr>
            <w:tcW w:w="1176" w:type="dxa"/>
            <w:shd w:val="clear" w:color="auto" w:fill="auto"/>
            <w:vAlign w:val="center"/>
          </w:tcPr>
          <w:p w14:paraId="283CDBE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挂号系统对接</w:t>
            </w:r>
          </w:p>
        </w:tc>
        <w:tc>
          <w:tcPr>
            <w:tcW w:w="6097" w:type="dxa"/>
            <w:shd w:val="clear" w:color="auto" w:fill="auto"/>
            <w:vAlign w:val="top"/>
          </w:tcPr>
          <w:p w14:paraId="1E817BE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系统须与医院现有挂号系统实现深度对接，在患者当前无就诊行程安排时，系统能够主动提供挂号途径引导，患者可通过陪诊系统直接跳转至挂号功能完成科室选择与挂号操作。</w:t>
            </w:r>
          </w:p>
        </w:tc>
      </w:tr>
      <w:tr w14:paraId="113E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C203541">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7CAD693">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E8B4350">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18CA164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智能导诊集成</w:t>
            </w:r>
          </w:p>
        </w:tc>
        <w:tc>
          <w:tcPr>
            <w:tcW w:w="6097" w:type="dxa"/>
            <w:shd w:val="clear" w:color="auto" w:fill="auto"/>
            <w:vAlign w:val="top"/>
          </w:tcPr>
          <w:p w14:paraId="6795D04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系统须集成智能导诊功能，当患者没有明确就诊科室意向时，可通过症状描述等方式触发智能导诊服务，由系统推荐相应的就诊科室并引导挂号，降低患者自行选科的决策难度。</w:t>
            </w:r>
          </w:p>
        </w:tc>
      </w:tr>
      <w:tr w14:paraId="79DFA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544AE5A">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C44D07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0A785DED">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515360A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首次就医引导流程</w:t>
            </w:r>
          </w:p>
        </w:tc>
        <w:tc>
          <w:tcPr>
            <w:tcW w:w="6097" w:type="dxa"/>
            <w:shd w:val="clear" w:color="auto" w:fill="auto"/>
            <w:vAlign w:val="top"/>
          </w:tcPr>
          <w:p w14:paraId="033CB60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系统须针对首次使用陪诊服务的患者提供新手引导流程，通过简洁的操作指引帮助患者快速了解系统功能布局和核心操作方式，降低首次使用门槛。</w:t>
            </w:r>
          </w:p>
        </w:tc>
      </w:tr>
      <w:tr w14:paraId="74DC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B9CB808">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DE6F12A">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vAlign w:val="center"/>
          </w:tcPr>
          <w:p w14:paraId="3F64F9E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智能流程引导</w:t>
            </w:r>
          </w:p>
        </w:tc>
        <w:tc>
          <w:tcPr>
            <w:tcW w:w="1176" w:type="dxa"/>
            <w:shd w:val="clear" w:color="auto" w:fill="auto"/>
            <w:vAlign w:val="center"/>
          </w:tcPr>
          <w:p w14:paraId="0EB4853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无就诊安排空状态处理</w:t>
            </w:r>
          </w:p>
        </w:tc>
        <w:tc>
          <w:tcPr>
            <w:tcW w:w="6097" w:type="dxa"/>
            <w:shd w:val="clear" w:color="auto" w:fill="auto"/>
            <w:vAlign w:val="top"/>
          </w:tcPr>
          <w:p w14:paraId="0E317CD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系统须在患者当日无就诊安排时提供友好的空状态页面，明确告知无待办事项，并提供预约挂号、智能导诊等常用服务入口，引导患者进行下一步操作。</w:t>
            </w:r>
          </w:p>
        </w:tc>
      </w:tr>
      <w:tr w14:paraId="0F62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CFB47B2">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C99C7C6">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A0692E6">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3E178CC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挂号信息展示</w:t>
            </w:r>
          </w:p>
        </w:tc>
        <w:tc>
          <w:tcPr>
            <w:tcW w:w="6097" w:type="dxa"/>
            <w:shd w:val="clear" w:color="auto" w:fill="auto"/>
            <w:vAlign w:val="top"/>
          </w:tcPr>
          <w:p w14:paraId="57F794A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系统须支持查询并展示医疗机构院内的预约挂号记录信息，包括就诊时间、就诊科室、门诊类型、挂号费用、就诊院区等基本信息，使患者对即将到来的就诊安排一目了然。</w:t>
            </w:r>
          </w:p>
        </w:tc>
      </w:tr>
      <w:tr w14:paraId="5F10D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D0E8748">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5434549">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7EA9C756">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5782F4B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挂号支付引导</w:t>
            </w:r>
          </w:p>
        </w:tc>
        <w:tc>
          <w:tcPr>
            <w:tcW w:w="6097" w:type="dxa"/>
            <w:shd w:val="clear" w:color="auto" w:fill="auto"/>
            <w:vAlign w:val="top"/>
          </w:tcPr>
          <w:p w14:paraId="6FF5530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系统须在到达就诊日时，主动引导患者前往医院已建设的线上挂号功能完成挂号支付操作，支持直接跳转至缴费页面，减少患者自行寻找支付入口的困难。</w:t>
            </w:r>
          </w:p>
        </w:tc>
      </w:tr>
      <w:tr w14:paraId="5808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2F0AE1AC">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DEA6E69">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3EF7013">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1665B32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就诊注意事项提醒</w:t>
            </w:r>
          </w:p>
        </w:tc>
        <w:tc>
          <w:tcPr>
            <w:tcW w:w="6097" w:type="dxa"/>
            <w:shd w:val="clear" w:color="auto" w:fill="auto"/>
            <w:vAlign w:val="top"/>
          </w:tcPr>
          <w:p w14:paraId="05FFF65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系统须支持高亮展示医院需要告知患者的就诊前注意事项，包括但不限于空腹要求、携带证件、特殊准备等提醒内容，确保关键信息有效传达。</w:t>
            </w:r>
          </w:p>
        </w:tc>
      </w:tr>
      <w:tr w14:paraId="5AFF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E3E2676">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1DAD936">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2392124A">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57859B1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预约挂号详情查看</w:t>
            </w:r>
          </w:p>
        </w:tc>
        <w:tc>
          <w:tcPr>
            <w:tcW w:w="6097" w:type="dxa"/>
            <w:shd w:val="clear" w:color="auto" w:fill="auto"/>
            <w:vAlign w:val="top"/>
          </w:tcPr>
          <w:p w14:paraId="46079E3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系统须提供预约挂号详情页面链接跳转功能，患者可通过陪诊页面一键跳转至挂号详情页查看完整的预约信息。</w:t>
            </w:r>
          </w:p>
        </w:tc>
      </w:tr>
      <w:tr w14:paraId="7446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A2C70F0">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90DF250">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2E6BC1C0">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1E8974E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挂号状态实时更新</w:t>
            </w:r>
          </w:p>
        </w:tc>
        <w:tc>
          <w:tcPr>
            <w:tcW w:w="6097" w:type="dxa"/>
            <w:shd w:val="clear" w:color="auto" w:fill="auto"/>
            <w:vAlign w:val="top"/>
          </w:tcPr>
          <w:p w14:paraId="722EBA4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系统须实时同步挂号订单的状态信息（如已预约、已支付、已取消等），在陪诊视图中准确展示当前挂号状态，避免信息不一致。</w:t>
            </w:r>
          </w:p>
        </w:tc>
      </w:tr>
      <w:tr w14:paraId="04486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DDAFE11">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E298A87">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8434D31">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6FB952E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在线签到引导</w:t>
            </w:r>
          </w:p>
        </w:tc>
        <w:tc>
          <w:tcPr>
            <w:tcW w:w="6097" w:type="dxa"/>
            <w:shd w:val="clear" w:color="auto" w:fill="auto"/>
            <w:vAlign w:val="top"/>
          </w:tcPr>
          <w:p w14:paraId="453CBE1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系统须在患者当日挂号支付完成后，主动引导患者前往诊区进行就诊签到，支持跳转至医院已建设的候诊签到功能完成在线签到操作，简化到院后的签到流程。</w:t>
            </w:r>
          </w:p>
        </w:tc>
      </w:tr>
      <w:tr w14:paraId="4103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B77AAE3">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C919504">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3C640275">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44AA30A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排队信息实时展示</w:t>
            </w:r>
          </w:p>
        </w:tc>
        <w:tc>
          <w:tcPr>
            <w:tcW w:w="6097" w:type="dxa"/>
            <w:shd w:val="clear" w:color="auto" w:fill="auto"/>
            <w:vAlign w:val="top"/>
          </w:tcPr>
          <w:p w14:paraId="168E96B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系统须在签到成功后为患者提供实时的排队信息，包括排队号、当前叫号序号、前方排队人数、预计等候时间等，帮助患者合理安排等候时间。</w:t>
            </w:r>
          </w:p>
        </w:tc>
      </w:tr>
      <w:tr w14:paraId="1BFB1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1938C16">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D470BB7">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33A45461">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30E344F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就诊区信息推送</w:t>
            </w:r>
          </w:p>
        </w:tc>
        <w:tc>
          <w:tcPr>
            <w:tcW w:w="6097" w:type="dxa"/>
            <w:shd w:val="clear" w:color="auto" w:fill="auto"/>
            <w:vAlign w:val="top"/>
          </w:tcPr>
          <w:p w14:paraId="2FFAF7F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系统须在签到完成后向患者推送就诊区域位置信息，包括诊区楼层、诊室编号等，便于患者快速定位就诊地点。</w:t>
            </w:r>
          </w:p>
        </w:tc>
      </w:tr>
      <w:tr w14:paraId="0E36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31F3FC0">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8047DCC">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2B2D1340">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2955C86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叫号提醒通知</w:t>
            </w:r>
          </w:p>
        </w:tc>
        <w:tc>
          <w:tcPr>
            <w:tcW w:w="6097" w:type="dxa"/>
            <w:shd w:val="clear" w:color="auto" w:fill="auto"/>
            <w:vAlign w:val="top"/>
          </w:tcPr>
          <w:p w14:paraId="0DDB5BD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系统须支持在即将轮到患者就诊时发送叫号提醒通知，避免患者因离开候诊区域而错过就诊，提升候诊体验。</w:t>
            </w:r>
          </w:p>
        </w:tc>
      </w:tr>
      <w:tr w14:paraId="5EB7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CA7A6A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D736973">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74C5795">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5DCBC64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候诊超时提醒</w:t>
            </w:r>
          </w:p>
        </w:tc>
        <w:tc>
          <w:tcPr>
            <w:tcW w:w="6097" w:type="dxa"/>
            <w:shd w:val="clear" w:color="auto" w:fill="auto"/>
            <w:vAlign w:val="top"/>
          </w:tcPr>
          <w:p w14:paraId="0F3F0E2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系统须支持在患者已签到但长时间未被叫号时进行候诊超时提醒，告知患者当前排队状态并建议后续操作。</w:t>
            </w:r>
          </w:p>
        </w:tc>
      </w:tr>
      <w:tr w14:paraId="06FDE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E06FE17">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5C1DFBB">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61586FFA">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1FAAB07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处方医嘱缴费提醒</w:t>
            </w:r>
          </w:p>
        </w:tc>
        <w:tc>
          <w:tcPr>
            <w:tcW w:w="6097" w:type="dxa"/>
            <w:shd w:val="clear" w:color="auto" w:fill="auto"/>
            <w:vAlign w:val="top"/>
          </w:tcPr>
          <w:p w14:paraId="7497F62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系统须在门诊医生开具医嘱处方后，及时提醒患者有新的待缴费项目，并引导患者前往医院已建设的线上缴费功能完成在线缴费操作。</w:t>
            </w:r>
          </w:p>
        </w:tc>
      </w:tr>
      <w:tr w14:paraId="5471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05AC4E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8CFBB05">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6B09D9E0">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1FAFF15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缴费单明细展示</w:t>
            </w:r>
          </w:p>
        </w:tc>
        <w:tc>
          <w:tcPr>
            <w:tcW w:w="6097" w:type="dxa"/>
            <w:shd w:val="clear" w:color="auto" w:fill="auto"/>
            <w:vAlign w:val="top"/>
          </w:tcPr>
          <w:p w14:paraId="10D3742A">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系统须支持按需展示缴费单的明细信息，包括缴费单名称、开单时间、费用金额、订单号及费用明细等，便于患者核实缴费内容。</w:t>
            </w:r>
          </w:p>
        </w:tc>
      </w:tr>
      <w:tr w14:paraId="24E7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2D653F96">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89504D2">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79B8C3E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715EB59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多笔缴费统一管理</w:t>
            </w:r>
          </w:p>
        </w:tc>
        <w:tc>
          <w:tcPr>
            <w:tcW w:w="6097" w:type="dxa"/>
            <w:shd w:val="clear" w:color="auto" w:fill="auto"/>
            <w:vAlign w:val="top"/>
          </w:tcPr>
          <w:p w14:paraId="0488977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系统须支持同一就诊人在同一次就诊中产生的多笔待缴费项目的统一展示和管理，患者可逐笔确认并完成缴费，避免遗漏。</w:t>
            </w:r>
          </w:p>
        </w:tc>
      </w:tr>
      <w:tr w14:paraId="751A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467CC45">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F45E44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0DD87346">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057533D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缴费状态跟踪</w:t>
            </w:r>
          </w:p>
        </w:tc>
        <w:tc>
          <w:tcPr>
            <w:tcW w:w="6097" w:type="dxa"/>
            <w:shd w:val="clear" w:color="auto" w:fill="auto"/>
            <w:vAlign w:val="top"/>
          </w:tcPr>
          <w:p w14:paraId="24C5365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系统须实时跟踪每笔缴费单的支付状态（待缴费、已缴费等），在陪诊视图中准确更新展示，缴费完成后自动更新节点状态并引导进入下一环节。</w:t>
            </w:r>
          </w:p>
        </w:tc>
      </w:tr>
      <w:tr w14:paraId="189B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234DF30">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E7657A8">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70A819E7">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4C0B907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缴费详情页跳转</w:t>
            </w:r>
          </w:p>
        </w:tc>
        <w:tc>
          <w:tcPr>
            <w:tcW w:w="6097" w:type="dxa"/>
            <w:shd w:val="clear" w:color="auto" w:fill="auto"/>
            <w:vAlign w:val="top"/>
          </w:tcPr>
          <w:p w14:paraId="168E334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系统须提供从陪诊页面到缴费详情页面的便捷跳转功能，患者可一键查看缴费单详细信息并直接进行支付操作。</w:t>
            </w:r>
          </w:p>
        </w:tc>
      </w:tr>
      <w:tr w14:paraId="3270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01B5334">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526B0D0">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BAB3447">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533F221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即到即检项目提醒</w:t>
            </w:r>
          </w:p>
        </w:tc>
        <w:tc>
          <w:tcPr>
            <w:tcW w:w="6097" w:type="dxa"/>
            <w:shd w:val="clear" w:color="auto" w:fill="auto"/>
            <w:vAlign w:val="top"/>
          </w:tcPr>
          <w:p w14:paraId="3C718FF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系统须能够识别并提醒患者哪些检查检验项目属于即到即检类型，无需预约，缴费完成后可直接前往对应检查区域进行检查，提供项目名称、检查地点等引导信息。</w:t>
            </w:r>
          </w:p>
        </w:tc>
      </w:tr>
      <w:tr w14:paraId="40981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65C9654">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C48FDC7">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698B8AAE">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5933943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预约项目预约引导</w:t>
            </w:r>
          </w:p>
        </w:tc>
        <w:tc>
          <w:tcPr>
            <w:tcW w:w="6097" w:type="dxa"/>
            <w:shd w:val="clear" w:color="auto" w:fill="auto"/>
            <w:vAlign w:val="top"/>
          </w:tcPr>
          <w:p w14:paraId="577CD6B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系统须对需要预约的检查检验项目提供预约引导服务，引导患者前往对应预约功能完成检查预约，并展示可预约时间段、注意事项等信息。</w:t>
            </w:r>
          </w:p>
        </w:tc>
      </w:tr>
      <w:tr w14:paraId="3B45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371D2CE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1EFF118">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291B642B">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38ADDF6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取号项目引导</w:t>
            </w:r>
          </w:p>
        </w:tc>
        <w:tc>
          <w:tcPr>
            <w:tcW w:w="6097" w:type="dxa"/>
            <w:shd w:val="clear" w:color="auto" w:fill="auto"/>
            <w:vAlign w:val="top"/>
          </w:tcPr>
          <w:p w14:paraId="671421B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系统须对需要现场取号的检查项目提供线上线下双通道引导，告知患者取号方式及取号地点，支持跳转至线上取号功能或提供线下取号窗口位置指引。</w:t>
            </w:r>
          </w:p>
        </w:tc>
      </w:tr>
      <w:tr w14:paraId="64CE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2D9C514">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BD270A2">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00826412">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15E87F5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检查候诊信息展示</w:t>
            </w:r>
          </w:p>
        </w:tc>
        <w:tc>
          <w:tcPr>
            <w:tcW w:w="6097" w:type="dxa"/>
            <w:shd w:val="clear" w:color="auto" w:fill="auto"/>
            <w:vAlign w:val="top"/>
          </w:tcPr>
          <w:p w14:paraId="6EC3294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系统须为已到达检查区域的患者展示当前检查项目的候诊信息，包括排队等待人数、排队号等，帮助患者了解等候进度。</w:t>
            </w:r>
          </w:p>
        </w:tc>
      </w:tr>
      <w:tr w14:paraId="7CB3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3F239980">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03F194F">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7A9FCE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12ACDF4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已预约项目日程提醒</w:t>
            </w:r>
          </w:p>
        </w:tc>
        <w:tc>
          <w:tcPr>
            <w:tcW w:w="6097" w:type="dxa"/>
            <w:shd w:val="clear" w:color="auto" w:fill="auto"/>
            <w:vAlign w:val="top"/>
          </w:tcPr>
          <w:p w14:paraId="3116709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系统须对患者已预约但尚未到检查日的项目提供日程提醒功能，在检查日前通过智能倒计时等方式提醒患者按时到院完成检查。</w:t>
            </w:r>
          </w:p>
        </w:tc>
      </w:tr>
      <w:tr w14:paraId="5877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FEF219A">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27AB5E8">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0EE4EEF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3AF9E27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多项目并行管理</w:t>
            </w:r>
          </w:p>
        </w:tc>
        <w:tc>
          <w:tcPr>
            <w:tcW w:w="6097" w:type="dxa"/>
            <w:shd w:val="clear" w:color="auto" w:fill="auto"/>
            <w:vAlign w:val="top"/>
          </w:tcPr>
          <w:p w14:paraId="02C2733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系统须支持同一就诊人同时存在多个检查检验项目时的并行展示和引导管理，按照优先级和时间顺序为患者推荐合理的检查顺序。</w:t>
            </w:r>
          </w:p>
        </w:tc>
      </w:tr>
      <w:tr w14:paraId="1E979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540C020">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2E037FA">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D4645ED">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4D45E4F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检查注意事项展示</w:t>
            </w:r>
          </w:p>
        </w:tc>
        <w:tc>
          <w:tcPr>
            <w:tcW w:w="6097" w:type="dxa"/>
            <w:shd w:val="clear" w:color="auto" w:fill="auto"/>
            <w:vAlign w:val="top"/>
          </w:tcPr>
          <w:p w14:paraId="58C5C08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系统须针对不同类型的检查检验项目展示对应的检前注意事项（如空腹、憋尿、停药等），确保患者提前做好相关准备，避免因准备不足导致检查无法进行。</w:t>
            </w:r>
          </w:p>
        </w:tc>
      </w:tr>
      <w:tr w14:paraId="4F80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B5310A0">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DEA94E9">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3662FD0B">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532406D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取药信息引导</w:t>
            </w:r>
          </w:p>
        </w:tc>
        <w:tc>
          <w:tcPr>
            <w:tcW w:w="6097" w:type="dxa"/>
            <w:shd w:val="clear" w:color="auto" w:fill="auto"/>
            <w:vAlign w:val="top"/>
          </w:tcPr>
          <w:p w14:paraId="78642EC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系统须在药品处方缴费完成后，为患者提供取药引导信息，包括取药号、取药药房名称、药房地址、取药窗口号等关键信息，帮助患者快速定位取药地点。</w:t>
            </w:r>
          </w:p>
        </w:tc>
      </w:tr>
      <w:tr w14:paraId="1A41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7697C51">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50147B5">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2FD46C35">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1887196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电子凭证取药支持</w:t>
            </w:r>
          </w:p>
        </w:tc>
        <w:tc>
          <w:tcPr>
            <w:tcW w:w="6097" w:type="dxa"/>
            <w:shd w:val="clear" w:color="auto" w:fill="auto"/>
            <w:vAlign w:val="top"/>
          </w:tcPr>
          <w:p w14:paraId="2CFD995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系统须支持通过对接医院互联网服务，展示院内电子就诊码或医保电子凭证，为患者提供扫码取药服务能力，减少窗口排队和纸质凭证依赖。</w:t>
            </w:r>
          </w:p>
        </w:tc>
      </w:tr>
      <w:tr w14:paraId="2CC4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AC5B686">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7E6D328">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6F4989E5">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0441479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取药排队状态查询</w:t>
            </w:r>
          </w:p>
        </w:tc>
        <w:tc>
          <w:tcPr>
            <w:tcW w:w="6097" w:type="dxa"/>
            <w:shd w:val="clear" w:color="auto" w:fill="auto"/>
            <w:vAlign w:val="top"/>
          </w:tcPr>
          <w:p w14:paraId="1F05BE6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系统须支持查询取药窗口当前排队人数信息，帮助患者合理安排取药时间，避免长时间在药房窗口等候。</w:t>
            </w:r>
          </w:p>
        </w:tc>
      </w:tr>
      <w:tr w14:paraId="26CB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D842544">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7DD8688">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3D3E6DF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3348917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药品清单查看</w:t>
            </w:r>
          </w:p>
        </w:tc>
        <w:tc>
          <w:tcPr>
            <w:tcW w:w="6097" w:type="dxa"/>
            <w:shd w:val="clear" w:color="auto" w:fill="auto"/>
            <w:vAlign w:val="top"/>
          </w:tcPr>
          <w:p w14:paraId="5EA12D8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系统须支持展示本次处方的药品清单信息，便于患者在取药时核对药品名称和数量，确保取药准确无误。</w:t>
            </w:r>
          </w:p>
        </w:tc>
      </w:tr>
      <w:tr w14:paraId="707F7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48C31F7">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EA2D296">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7ECFBA7E">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2056C1B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取药状态更新</w:t>
            </w:r>
          </w:p>
        </w:tc>
        <w:tc>
          <w:tcPr>
            <w:tcW w:w="6097" w:type="dxa"/>
            <w:shd w:val="clear" w:color="auto" w:fill="auto"/>
            <w:vAlign w:val="top"/>
          </w:tcPr>
          <w:p w14:paraId="455A919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系统须在患者完成取药后自动更新取药节点状态，标记为已完成，并引导患者进入后续环节（如复诊签到、离院等）。</w:t>
            </w:r>
          </w:p>
        </w:tc>
      </w:tr>
      <w:tr w14:paraId="0035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EB84115">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6E87FA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5F0A3B9D">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02DED0C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就诊日倒计时提醒</w:t>
            </w:r>
          </w:p>
        </w:tc>
        <w:tc>
          <w:tcPr>
            <w:tcW w:w="6097" w:type="dxa"/>
            <w:shd w:val="clear" w:color="auto" w:fill="auto"/>
            <w:vAlign w:val="top"/>
          </w:tcPr>
          <w:p w14:paraId="2C0B0CD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系统须在门诊预约环节和检查预约环节，对未到就诊日的预约事项通过智能计算生成就诊日倒计时提醒，在指定日期自动推送陪诊信息引导，确保患者不会遗忘预约。</w:t>
            </w:r>
          </w:p>
        </w:tc>
      </w:tr>
      <w:tr w14:paraId="44F0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2E62539">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F1CEC8B">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0464FEBE">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5F753E3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就诊行程时间轴</w:t>
            </w:r>
          </w:p>
        </w:tc>
        <w:tc>
          <w:tcPr>
            <w:tcW w:w="6097" w:type="dxa"/>
            <w:shd w:val="clear" w:color="auto" w:fill="auto"/>
            <w:vAlign w:val="top"/>
          </w:tcPr>
          <w:p w14:paraId="5D1BB74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系统须以时间轴形式呈现患者当日或近期的完整就诊行程，各节点按照时间顺序排列并展示对应状态，使患者能够直观掌握整体就医进度。</w:t>
            </w:r>
          </w:p>
        </w:tc>
      </w:tr>
      <w:tr w14:paraId="63AC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679E3BA">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41C84A3">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432D0A7">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7FBDC25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环节超时预警</w:t>
            </w:r>
          </w:p>
        </w:tc>
        <w:tc>
          <w:tcPr>
            <w:tcW w:w="6097" w:type="dxa"/>
            <w:shd w:val="clear" w:color="auto" w:fill="auto"/>
            <w:vAlign w:val="top"/>
          </w:tcPr>
          <w:p w14:paraId="1C66479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系统须支持对就诊过程中各环节设定合理的时间预期，当某环节等待时间超出预期时向患者发出提醒，并建议相应处理方式。</w:t>
            </w:r>
          </w:p>
        </w:tc>
      </w:tr>
      <w:tr w14:paraId="3E24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5BEA7C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F0C7E86">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3D52F32">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shd w:val="clear" w:color="auto" w:fill="auto"/>
            <w:vAlign w:val="center"/>
          </w:tcPr>
          <w:p w14:paraId="4A2F09F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下一步操作智能推荐</w:t>
            </w:r>
          </w:p>
        </w:tc>
        <w:tc>
          <w:tcPr>
            <w:tcW w:w="6097" w:type="dxa"/>
            <w:shd w:val="clear" w:color="auto" w:fill="auto"/>
            <w:vAlign w:val="top"/>
          </w:tcPr>
          <w:p w14:paraId="0670627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系统须在每个就诊节点完成后，根据患者剩余待办事项和当前状态，智能推荐下一步最优操作，引导患者高效完成全部就诊流程。</w:t>
            </w:r>
          </w:p>
        </w:tc>
      </w:tr>
      <w:tr w14:paraId="37AD9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0" w:hRule="atLeast"/>
          <w:jc w:val="center"/>
        </w:trPr>
        <w:tc>
          <w:tcPr>
            <w:tcW w:w="567" w:type="dxa"/>
            <w:vMerge w:val="restart"/>
            <w:vAlign w:val="center"/>
          </w:tcPr>
          <w:p w14:paraId="33127C1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2</w:t>
            </w:r>
          </w:p>
        </w:tc>
        <w:tc>
          <w:tcPr>
            <w:tcW w:w="756" w:type="dxa"/>
            <w:vMerge w:val="restart"/>
            <w:vAlign w:val="center"/>
          </w:tcPr>
          <w:p w14:paraId="336A4A1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AI智能预问诊</w:t>
            </w:r>
          </w:p>
        </w:tc>
        <w:tc>
          <w:tcPr>
            <w:tcW w:w="1140" w:type="dxa"/>
            <w:vAlign w:val="center"/>
          </w:tcPr>
          <w:p w14:paraId="30A1535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多入口与集成能力​</w:t>
            </w:r>
          </w:p>
        </w:tc>
        <w:tc>
          <w:tcPr>
            <w:tcW w:w="1176" w:type="dxa"/>
            <w:shd w:val="clear" w:color="auto" w:fill="auto"/>
            <w:vAlign w:val="center"/>
          </w:tcPr>
          <w:p w14:paraId="2111588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多渠道部署支持</w:t>
            </w:r>
          </w:p>
        </w:tc>
        <w:tc>
          <w:tcPr>
            <w:tcW w:w="6097" w:type="dxa"/>
            <w:shd w:val="clear" w:color="auto" w:fill="auto"/>
            <w:vAlign w:val="top"/>
          </w:tcPr>
          <w:p w14:paraId="0AA6E7E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系统须支持在医院微信公众号、微信小程序、支付宝小程序、医院App、互联网医院等多种渠道进行部署，满足不同患者群体的使用习惯和就医场景需求。</w:t>
            </w:r>
          </w:p>
        </w:tc>
      </w:tr>
      <w:tr w14:paraId="72778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244AD15">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4DE092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vAlign w:val="center"/>
          </w:tcPr>
          <w:p w14:paraId="7C33B299">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520E98E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临床医生思维全模拟</w:t>
            </w:r>
          </w:p>
        </w:tc>
        <w:tc>
          <w:tcPr>
            <w:tcW w:w="6097" w:type="dxa"/>
            <w:vAlign w:val="center"/>
          </w:tcPr>
          <w:p w14:paraId="3EBE2F8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模拟临床医生问诊思路，智能提示与患者互动，全面采集主诉症状、伴随症状、诊疗情况、既往史、家族史等医疗信息，有效利用患者候诊时间，提高患者对病情认知的同时，也为医生采集更为详细的病史资料。</w:t>
            </w:r>
          </w:p>
        </w:tc>
      </w:tr>
      <w:tr w14:paraId="4242C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26831C7F">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3C89CCC9">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6026B3EF">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42FF318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开放式病史采集</w:t>
            </w:r>
          </w:p>
        </w:tc>
        <w:tc>
          <w:tcPr>
            <w:tcW w:w="6097" w:type="dxa"/>
            <w:vAlign w:val="center"/>
          </w:tcPr>
          <w:p w14:paraId="2BA3D98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系统须支持大模型引导的开放式病史采集，患者可用自然语言表达病情，系统通过大模型的理解能力动态生成追问问题，而非局限于固定选项，提升信息采集的自然度与全面性。</w:t>
            </w:r>
          </w:p>
        </w:tc>
      </w:tr>
      <w:tr w14:paraId="633A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58E2087">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C34E3AB">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FAEBE1B">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6C689AA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追问与个性化引导</w:t>
            </w:r>
          </w:p>
        </w:tc>
        <w:tc>
          <w:tcPr>
            <w:tcW w:w="6097" w:type="dxa"/>
            <w:vAlign w:val="center"/>
          </w:tcPr>
          <w:p w14:paraId="661018E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能够精准理解患者的口语化描述，准确匹配专业医学术语，并根据患者回答智能调整追问问题，提供个性化的问诊体验，确保问诊过程的针对性和有效性，使医生获得准确、有效和完整的信息，提高诊断的准确性。</w:t>
            </w:r>
          </w:p>
        </w:tc>
      </w:tr>
      <w:tr w14:paraId="1921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DC34B56">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C3BAB9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60753F8">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50EC2BF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专科专病能力</w:t>
            </w:r>
          </w:p>
        </w:tc>
        <w:tc>
          <w:tcPr>
            <w:tcW w:w="6097" w:type="dxa"/>
            <w:vAlign w:val="center"/>
          </w:tcPr>
          <w:p w14:paraId="34EAA6E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大模型能够精准识别患者所涉及的专科，并自动切换到自动专科的预问诊问诊式，无论是常见的内科、外科、妇产科、儿科，还是中医科、中西医结合科等专科，都能提供高度专业化和针对性的询问内容。</w:t>
            </w:r>
          </w:p>
        </w:tc>
      </w:tr>
      <w:tr w14:paraId="2D8D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C6CEE6A">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BF2E81E">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Align w:val="center"/>
          </w:tcPr>
          <w:p w14:paraId="738827C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大模型+问卷双模式融合​</w:t>
            </w:r>
          </w:p>
        </w:tc>
        <w:tc>
          <w:tcPr>
            <w:tcW w:w="1176" w:type="dxa"/>
            <w:vAlign w:val="center"/>
          </w:tcPr>
          <w:p w14:paraId="02B2085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双模式协同</w:t>
            </w:r>
          </w:p>
        </w:tc>
        <w:tc>
          <w:tcPr>
            <w:tcW w:w="6097" w:type="dxa"/>
            <w:vAlign w:val="center"/>
          </w:tcPr>
          <w:p w14:paraId="329AEA6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支持大模型问诊与固定问卷模板在同一会话中协同；大模型可前置（信息核对）、后置（量表评分）灵活编排；两者输出统一汇入一诉五史结构化病历，兼顾灵活性模板与信息合规。</w:t>
            </w:r>
          </w:p>
        </w:tc>
      </w:tr>
      <w:tr w14:paraId="66161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038004B">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DA9D66B">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vAlign w:val="center"/>
          </w:tcPr>
          <w:p w14:paraId="58D891B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可视化问卷配置后台（问卷引擎）​</w:t>
            </w:r>
          </w:p>
        </w:tc>
        <w:tc>
          <w:tcPr>
            <w:tcW w:w="1176" w:type="dxa"/>
            <w:vAlign w:val="center"/>
          </w:tcPr>
          <w:p w14:paraId="414D9D6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零代码可视化配置</w:t>
            </w:r>
          </w:p>
        </w:tc>
        <w:tc>
          <w:tcPr>
            <w:tcW w:w="6097" w:type="dxa"/>
            <w:vAlign w:val="center"/>
          </w:tcPr>
          <w:p w14:paraId="6B0DBC9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系统须为院方提供"零代码"可视化配置后台，业务人员通过点选、勾选、填写参数等操作即可独立完成复杂问诊问卷的设计、修改，全程无需编写任何前端或后端代码。</w:t>
            </w:r>
          </w:p>
        </w:tc>
      </w:tr>
      <w:tr w14:paraId="3E25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08A949F">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D317A4B">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57FC8D98">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5FB3FF7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所见即所得编辑画布</w:t>
            </w:r>
          </w:p>
        </w:tc>
        <w:tc>
          <w:tcPr>
            <w:tcW w:w="6097" w:type="dxa"/>
            <w:vAlign w:val="center"/>
          </w:tcPr>
          <w:p w14:paraId="69F92F7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系统须提供所见即所得的问卷编辑画布，在编辑问卷时，支持展示问卷内容属性配置及问卷预览区域。管理员对问卷的任何修改（如拖动排序、修改题干）都应实时在画布上同步更新。</w:t>
            </w:r>
          </w:p>
        </w:tc>
      </w:tr>
      <w:tr w14:paraId="7BDD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F25A925">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9BBDA5E">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73A2F9E9">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3509658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丰富题型组件库</w:t>
            </w:r>
          </w:p>
        </w:tc>
        <w:tc>
          <w:tcPr>
            <w:tcW w:w="6097" w:type="dxa"/>
            <w:vAlign w:val="center"/>
          </w:tcPr>
          <w:p w14:paraId="7CD3B99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提供基础题型组件库，至少包含单选题、多选题、单行文本题、多行文本题、评分题、文件上传题及签名题；支持 “组合题型” 设计，可将多个基础题型组合为一个逻辑单元，在患者端作为整体问题展示。</w:t>
            </w:r>
          </w:p>
          <w:p w14:paraId="63F28BB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单选题：支持配置题干、选项列表，支持 “其他” 选项联动文本输入。</w:t>
            </w:r>
          </w:p>
          <w:p w14:paraId="5CAA318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多选题：支持配置题干、选项列表，支持 “其他” 选项联动文本输入；支持选项互斥管理，可配置一对多、多对多互斥关系，选中指定选项后自动取消其他已选项。</w:t>
            </w:r>
          </w:p>
          <w:p w14:paraId="657559C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计分配置：单选 / 多选题支持选项计分分值配置，系统根据患者选择自动累加得分，适配心理量表、风险评估等场景。</w:t>
            </w:r>
          </w:p>
          <w:p w14:paraId="12C5ED5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下拉选择题：适用于选项数量较多的场景（如省份、城市、血型、职业等），以下拉菜单形式展示选项。</w:t>
            </w:r>
          </w:p>
          <w:p w14:paraId="38D33EC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单行文本题：支持配置字段标题、必填属性；支持日期 / 数值格式校验、数值范围与输入长度限制；支持 “文本自增” 采集模式，可动态添加多条同类文本记录（如多种用药信息）；支持基于患者基础信息自动预填字段，减少手动输入。</w:t>
            </w:r>
          </w:p>
          <w:p w14:paraId="571F2A3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多行文本题：适用于主诉、病情描述等长文本采集场景。</w:t>
            </w:r>
          </w:p>
          <w:p w14:paraId="0AE651C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评分题：支持配置最低分、最高分、量级刻度与两侧提示文字，支持滑块或数字输入交互，得分可自动计入专项评估结果。</w:t>
            </w:r>
          </w:p>
          <w:p w14:paraId="674E5FC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文件上传题：支持配置允许的文件类型、单文件大小限制、最多上传数量。</w:t>
            </w:r>
          </w:p>
          <w:p w14:paraId="56B0DE8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签名题：支持移动端触摸屏手写签名电子确认，生成不可篡改的签名数据。</w:t>
            </w:r>
          </w:p>
          <w:p w14:paraId="5235AA29">
            <w:pPr>
              <w:widowControl/>
              <w:ind w:firstLine="0" w:firstLineChars="0"/>
              <w:jc w:val="center"/>
              <w:rPr>
                <w:rFonts w:hint="eastAsia" w:ascii="仿宋_GB2312" w:hAnsi="仿宋_GB2312" w:cs="仿宋_GB2312"/>
                <w:color w:val="auto"/>
                <w:kern w:val="0"/>
                <w:sz w:val="24"/>
                <w:szCs w:val="24"/>
                <w:lang w:val="en-US" w:eastAsia="zh-CN"/>
              </w:rPr>
            </w:pPr>
          </w:p>
        </w:tc>
      </w:tr>
      <w:tr w14:paraId="7456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4738D2C">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A6AD24B">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vAlign w:val="center"/>
          </w:tcPr>
          <w:p w14:paraId="077FE6F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高级逻辑控制​</w:t>
            </w:r>
          </w:p>
        </w:tc>
        <w:tc>
          <w:tcPr>
            <w:tcW w:w="1176" w:type="dxa"/>
            <w:vAlign w:val="center"/>
          </w:tcPr>
          <w:p w14:paraId="74C84D3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题目显示/隐藏逻辑</w:t>
            </w:r>
          </w:p>
        </w:tc>
        <w:tc>
          <w:tcPr>
            <w:tcW w:w="6097" w:type="dxa"/>
            <w:vAlign w:val="center"/>
          </w:tcPr>
          <w:p w14:paraId="0A6CFCF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支持设置前置题目选择指定选项时，对应题目才显示，提升问诊针对性。</w:t>
            </w:r>
          </w:p>
        </w:tc>
      </w:tr>
      <w:tr w14:paraId="59D41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67" w:type="dxa"/>
            <w:vMerge w:val="continue"/>
            <w:vAlign w:val="center"/>
          </w:tcPr>
          <w:p w14:paraId="4F98B34B">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35883EC0">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F58B53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35937B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选项级显隐逻辑</w:t>
            </w:r>
          </w:p>
        </w:tc>
        <w:tc>
          <w:tcPr>
            <w:tcW w:w="6097" w:type="dxa"/>
            <w:vAlign w:val="center"/>
          </w:tcPr>
          <w:p w14:paraId="5287483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支持精细化到选项的显示 / 隐藏控制。</w:t>
            </w:r>
          </w:p>
        </w:tc>
      </w:tr>
      <w:tr w14:paraId="3779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67" w:type="dxa"/>
            <w:vMerge w:val="continue"/>
            <w:vAlign w:val="center"/>
          </w:tcPr>
          <w:p w14:paraId="25B2E0FF">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7955FAF">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61A6CAA2">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9940B2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选项动态填充逻辑</w:t>
            </w:r>
          </w:p>
        </w:tc>
        <w:tc>
          <w:tcPr>
            <w:tcW w:w="6097" w:type="dxa"/>
            <w:vAlign w:val="center"/>
          </w:tcPr>
          <w:p w14:paraId="1779C2BA">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前置题目选择的内容可自动填充至后续题目选项中，避免重复输入。</w:t>
            </w:r>
          </w:p>
        </w:tc>
      </w:tr>
      <w:tr w14:paraId="44BF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6AC77E9">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66F2BC0">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2D355BDD">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83E045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计算逻辑</w:t>
            </w:r>
          </w:p>
        </w:tc>
        <w:tc>
          <w:tcPr>
            <w:tcW w:w="6097" w:type="dxa"/>
            <w:vAlign w:val="center"/>
          </w:tcPr>
          <w:p w14:paraId="7F9162F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支持设计计算公式，实现题目数值答案自动计算。</w:t>
            </w:r>
          </w:p>
        </w:tc>
      </w:tr>
      <w:tr w14:paraId="00911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3A218AB">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51432CF">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28E22A1E">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73A2D84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患者信息引用</w:t>
            </w:r>
          </w:p>
        </w:tc>
        <w:tc>
          <w:tcPr>
            <w:tcW w:w="6097" w:type="dxa"/>
            <w:vAlign w:val="center"/>
          </w:tcPr>
          <w:p w14:paraId="0167C87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支持引用患者基础信息动态嵌入题目，实现个性化问诊。</w:t>
            </w:r>
          </w:p>
        </w:tc>
      </w:tr>
      <w:tr w14:paraId="43F3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FFC5CC0">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235A7C3">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022702B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47E77B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跳题结束规则</w:t>
            </w:r>
          </w:p>
        </w:tc>
        <w:tc>
          <w:tcPr>
            <w:tcW w:w="6097" w:type="dxa"/>
            <w:vAlign w:val="center"/>
          </w:tcPr>
          <w:p w14:paraId="6C50620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患者选择特定选项时，自动跳过后续未答题目，直接进入问诊结束或报告生成环节。</w:t>
            </w:r>
          </w:p>
        </w:tc>
      </w:tr>
      <w:tr w14:paraId="0256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0B7A914">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A2B903F">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574C5436">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0AF545D2">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专科模版库</w:t>
            </w:r>
          </w:p>
        </w:tc>
        <w:tc>
          <w:tcPr>
            <w:tcW w:w="6097" w:type="dxa"/>
            <w:vAlign w:val="center"/>
          </w:tcPr>
          <w:p w14:paraId="46DFF35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系统须内置一个经过医学验证的“专科预问诊模版库”，至少预置10个主流科室的完整问诊模版，这些模版应包含符合专科诊疗常规的题目、选项和跳转逻辑。</w:t>
            </w:r>
          </w:p>
        </w:tc>
      </w:tr>
      <w:tr w14:paraId="5B1C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5C1B5B0">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E34885E">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87991DB">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9E9C4F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模版复用与差异化配置</w:t>
            </w:r>
          </w:p>
        </w:tc>
        <w:tc>
          <w:tcPr>
            <w:tcW w:w="6097" w:type="dxa"/>
            <w:vAlign w:val="center"/>
          </w:tcPr>
          <w:p w14:paraId="2CD2654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系统须支持“模版复用”与“差异化配置”机制，支持从一个标准模版克隆出新的模版，并支持在此基础上独立修改，而不影响原始模版。</w:t>
            </w:r>
          </w:p>
        </w:tc>
      </w:tr>
      <w:tr w14:paraId="5152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2CA65BCA">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6722DD5">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151C8D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7B4CA61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快捷复用配置</w:t>
            </w:r>
          </w:p>
        </w:tc>
        <w:tc>
          <w:tcPr>
            <w:tcW w:w="6097" w:type="dxa"/>
            <w:vAlign w:val="center"/>
          </w:tcPr>
          <w:p w14:paraId="4762933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系统须支持一键快捷复用已有配置问卷，提升相似科室或问诊的构建效率，减少重复配置工作量。</w:t>
            </w:r>
          </w:p>
        </w:tc>
      </w:tr>
      <w:tr w14:paraId="6E10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5BE9AD4">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7DC9F78">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vAlign w:val="center"/>
          </w:tcPr>
          <w:p w14:paraId="7435385C">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个性化配置与业务适配​</w:t>
            </w:r>
          </w:p>
        </w:tc>
        <w:tc>
          <w:tcPr>
            <w:tcW w:w="1176" w:type="dxa"/>
            <w:vAlign w:val="center"/>
          </w:tcPr>
          <w:p w14:paraId="09A22694">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问诊模式分级配置</w:t>
            </w:r>
          </w:p>
        </w:tc>
        <w:tc>
          <w:tcPr>
            <w:tcW w:w="6097" w:type="dxa"/>
            <w:vAlign w:val="center"/>
          </w:tcPr>
          <w:p w14:paraId="772721E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按科室、医生维度独立配置问诊模式，支持“大模型自由问诊”、“结构化固定问卷”“大模型+问卷融合”三种交互形式，支持针对不同场景灵活定义，例如：儿科/体检中心配置为“大模型+问卷融合”问诊模式，复杂病种配置为“大模型自由问诊+深度追问”模式</w:t>
            </w:r>
          </w:p>
        </w:tc>
      </w:tr>
      <w:tr w14:paraId="4F188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56FE246">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37D394CC">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36035E4">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38FB189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初复诊差异化问诊路径</w:t>
            </w:r>
          </w:p>
        </w:tc>
        <w:tc>
          <w:tcPr>
            <w:tcW w:w="6097" w:type="dxa"/>
            <w:vAlign w:val="center"/>
          </w:tcPr>
          <w:p w14:paraId="635510C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系统须支持针对初诊与复诊场景配置完全分离的问诊逻辑与内容，初诊侧重全面病史采集，复诊侧重用药反馈与症状变化，确保问诊内容与诊疗阶段高度匹配。</w:t>
            </w:r>
          </w:p>
        </w:tc>
      </w:tr>
      <w:tr w14:paraId="3805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25AC6CA6">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788786D">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7D246BB0">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6888A53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VI视觉定制</w:t>
            </w:r>
          </w:p>
        </w:tc>
        <w:tc>
          <w:tcPr>
            <w:tcW w:w="6097" w:type="dxa"/>
            <w:vAlign w:val="center"/>
          </w:tcPr>
          <w:p w14:paraId="29C733D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支持在后台可视化配置页面名称、AI形象、招呼语、引导语、提示词、主色、背景图等品牌全要素，与院方VI一致，提升医院品牌形象和专业感。</w:t>
            </w:r>
          </w:p>
        </w:tc>
      </w:tr>
      <w:tr w14:paraId="3B95C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D5BFAFB">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25C8C77A">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56113301">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63DC567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回答方式个性化</w:t>
            </w:r>
          </w:p>
        </w:tc>
        <w:tc>
          <w:tcPr>
            <w:tcW w:w="6097" w:type="dxa"/>
            <w:vAlign w:val="center"/>
          </w:tcPr>
          <w:p w14:paraId="480488F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系统须支持让患者回答方式个性化：只提供题目、提供选项参考、限制固定题型方式回答，满足不同患者的使用习惯。</w:t>
            </w:r>
          </w:p>
        </w:tc>
      </w:tr>
      <w:tr w14:paraId="0B5B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3B000489">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3AE92D90">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1CC5BB1">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4988459A">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问诊内容修改</w:t>
            </w:r>
          </w:p>
        </w:tc>
        <w:tc>
          <w:tcPr>
            <w:tcW w:w="6097" w:type="dxa"/>
            <w:vAlign w:val="center"/>
          </w:tcPr>
          <w:p w14:paraId="6F65D23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系统须支持问诊内容修改，在预问诊内容未发送医生前，该次预问诊回复内容均支持用户进行修改；支持医生回复后，后续对话根据最新回复内容重新更新。</w:t>
            </w:r>
          </w:p>
        </w:tc>
      </w:tr>
      <w:tr w14:paraId="37E6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632A57F">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0A204FFC">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6589E15C">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39DF46E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修改权限配置</w:t>
            </w:r>
          </w:p>
        </w:tc>
        <w:tc>
          <w:tcPr>
            <w:tcW w:w="6097" w:type="dxa"/>
            <w:vAlign w:val="center"/>
          </w:tcPr>
          <w:p w14:paraId="2467C693">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系统须支持设置发送医生后是否支持修改可自定义配置，满足医院个性化需求，确保问诊记录的严肃性与灵活性平衡。</w:t>
            </w:r>
          </w:p>
        </w:tc>
      </w:tr>
      <w:tr w14:paraId="28441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178A0A2">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F4932FE">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7F7E399F">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3939937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历史记录查询</w:t>
            </w:r>
          </w:p>
        </w:tc>
        <w:tc>
          <w:tcPr>
            <w:tcW w:w="6097" w:type="dxa"/>
            <w:vAlign w:val="center"/>
          </w:tcPr>
          <w:p w14:paraId="1BE97951">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系统须支持患者端展示历次预问诊记录，并支持按科室筛选，便于患者回顾历史症状变化。</w:t>
            </w:r>
          </w:p>
        </w:tc>
      </w:tr>
      <w:tr w14:paraId="3E1E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EE065B1">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BA28CC7">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F7EA7D7">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4EC363A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手动中断问诊</w:t>
            </w:r>
          </w:p>
        </w:tc>
        <w:tc>
          <w:tcPr>
            <w:tcW w:w="6097" w:type="dxa"/>
            <w:vAlign w:val="center"/>
          </w:tcPr>
          <w:p w14:paraId="265BEE5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系统须支持患者主动中断问诊流程，在交互界面提供显眼的“结束”按钮，患者点击后可立即终止当前问诊会话，系统按中断前的采集结果生成报告。</w:t>
            </w:r>
          </w:p>
        </w:tc>
      </w:tr>
      <w:tr w14:paraId="0ADB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44577131">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5F5FA70A">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B2E3913">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479FA42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结束引导文案自定义</w:t>
            </w:r>
          </w:p>
        </w:tc>
        <w:tc>
          <w:tcPr>
            <w:tcW w:w="6097" w:type="dxa"/>
            <w:vAlign w:val="center"/>
          </w:tcPr>
          <w:p w14:paraId="66EFF63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系统须支持自定义配置提前结束问诊的引导语，管理员可在后台灵活设置信息采集结束时的文案内容，引导患者主动完成问卷，提高信息收集完成率。</w:t>
            </w:r>
          </w:p>
        </w:tc>
      </w:tr>
      <w:tr w14:paraId="6ED22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39B55042">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25667DF">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8C211A1">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606AABB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超时自动结束策略</w:t>
            </w:r>
          </w:p>
        </w:tc>
        <w:tc>
          <w:tcPr>
            <w:tcW w:w="6097" w:type="dxa"/>
            <w:vAlign w:val="center"/>
          </w:tcPr>
          <w:p w14:paraId="3847F9EA">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系统须支持配置会话超时自动结束机制，支持自定义设置无操作超时阈值（如5分钟、10分钟）；当患者在设定时间内未作答复时，系统自动提交已采集信息并结束会话，防止会话长期挂起，确保数据及时回收。</w:t>
            </w:r>
          </w:p>
        </w:tc>
      </w:tr>
      <w:tr w14:paraId="3BF3B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67CD0339">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DD5FD0E">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3E64BED2">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0CAFCE0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问诊进度可视化</w:t>
            </w:r>
          </w:p>
        </w:tc>
        <w:tc>
          <w:tcPr>
            <w:tcW w:w="6097" w:type="dxa"/>
            <w:vAlign w:val="center"/>
          </w:tcPr>
          <w:p w14:paraId="3EF38E4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系统须提供可视化的问诊进度条，实时反馈当前完成度，降低患者中途放弃率。</w:t>
            </w:r>
          </w:p>
        </w:tc>
      </w:tr>
      <w:tr w14:paraId="1430A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6CB81F5">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C0F39FF">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restart"/>
            <w:vAlign w:val="center"/>
          </w:tcPr>
          <w:p w14:paraId="7094074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预问诊报告生成​及回写</w:t>
            </w:r>
          </w:p>
        </w:tc>
        <w:tc>
          <w:tcPr>
            <w:tcW w:w="1176" w:type="dxa"/>
            <w:vAlign w:val="center"/>
          </w:tcPr>
          <w:p w14:paraId="25189FF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预问诊报告</w:t>
            </w:r>
          </w:p>
        </w:tc>
        <w:tc>
          <w:tcPr>
            <w:tcW w:w="6097" w:type="dxa"/>
            <w:vAlign w:val="center"/>
          </w:tcPr>
          <w:p w14:paraId="117D8B7A">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系统须遵循门诊电子病历书写规范，自动生成结构化预问诊报告，包括主诉、现病史、既往史、过敏史、家族史等信息，确保病历内容的规范性和完整性。</w:t>
            </w:r>
          </w:p>
        </w:tc>
      </w:tr>
      <w:tr w14:paraId="43CD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25746AC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581C9F2">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5AF1A967">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4CD1E8C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报告内容结构化</w:t>
            </w:r>
          </w:p>
        </w:tc>
        <w:tc>
          <w:tcPr>
            <w:tcW w:w="6097" w:type="dxa"/>
            <w:vAlign w:val="center"/>
          </w:tcPr>
          <w:p w14:paraId="66A9F72D">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系统须将生成的预问诊报告进行结构化处理，字段须与医院EMR系统对接标准一致，确保数据可直接导入EMR，减少医生手动录入工作量。</w:t>
            </w:r>
          </w:p>
        </w:tc>
      </w:tr>
      <w:tr w14:paraId="3E73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78E74CFD">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1B69DC6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3270B887">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7F896AB0">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口语化映射</w:t>
            </w:r>
          </w:p>
        </w:tc>
        <w:tc>
          <w:tcPr>
            <w:tcW w:w="6097" w:type="dxa"/>
            <w:vAlign w:val="center"/>
          </w:tcPr>
          <w:p w14:paraId="034078F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系统须支持将患者口语化表述自动映射为标准医学术语，并标注在预问诊报告中，提升病历专业度。</w:t>
            </w:r>
          </w:p>
        </w:tc>
      </w:tr>
      <w:tr w14:paraId="76A08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3B09813C">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C2256F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2C2AA06D">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38F0117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疑似诊断提示</w:t>
            </w:r>
          </w:p>
        </w:tc>
        <w:tc>
          <w:tcPr>
            <w:tcW w:w="6097" w:type="dxa"/>
            <w:vAlign w:val="center"/>
          </w:tcPr>
          <w:p w14:paraId="387CBC8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系统须支持生成"疑似诊断"功能，基于患者描述的症状、病史等信息，大模型应能分析并提示可能的疾病方向，辅助基层医生拓宽诊断思路，降低漏诊率。</w:t>
            </w:r>
          </w:p>
        </w:tc>
      </w:tr>
      <w:tr w14:paraId="1C0B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D6B2AFE">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353666E">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1FF84698">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15073E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报告字段差异化配置</w:t>
            </w:r>
          </w:p>
        </w:tc>
        <w:tc>
          <w:tcPr>
            <w:tcW w:w="6097" w:type="dxa"/>
            <w:vAlign w:val="center"/>
          </w:tcPr>
          <w:p w14:paraId="43BF258E">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系统须支持生成的预问诊报告字段按科室、医生维度独立配置调整，支持自定义字段名称、字段的显示/隐藏、排序，满足不同医生或科室对病历书写规范的个性化需求。</w:t>
            </w:r>
          </w:p>
        </w:tc>
      </w:tr>
      <w:tr w14:paraId="65548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0C106CBD">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38E37C06">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06F3B73D">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2A4F82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量表总分自动计算</w:t>
            </w:r>
          </w:p>
        </w:tc>
        <w:tc>
          <w:tcPr>
            <w:tcW w:w="6097" w:type="dxa"/>
            <w:vAlign w:val="center"/>
          </w:tcPr>
          <w:p w14:paraId="63886386">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根据固定问卷作答结果自动生成量表总分，辅助医生快速完成疼痛量化、抑郁量表等专科评估，系统能对问卷结果进行结构化固定，自动计算量表得分量表总分，针对疼痛量化评估、抑郁量表等专科评估，系统能对问卷结果进行结构化固定，自动作答生成量表总分。</w:t>
            </w:r>
          </w:p>
        </w:tc>
      </w:tr>
      <w:tr w14:paraId="6FC5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1A6CAFD4">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4A6175B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4AD4DEDB">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0BC6FF47">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预问诊报告回写</w:t>
            </w:r>
          </w:p>
        </w:tc>
        <w:tc>
          <w:tcPr>
            <w:tcW w:w="6097" w:type="dxa"/>
            <w:vAlign w:val="center"/>
          </w:tcPr>
          <w:p w14:paraId="199657B9">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实时同步至医生工作站，生成的预问诊报告能实时同步至医生工作站，使得医生在接诊时能直接查看患者的详细病史资料，减少重复询问和记录的时间，支持确认无误后可对接EMR系统，有效节省医生书写病历时间，保证病历的完整性和规范性。</w:t>
            </w:r>
          </w:p>
        </w:tc>
      </w:tr>
      <w:tr w14:paraId="6E34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5C8134D9">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781828E1">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58E9736B">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D02B79B">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结构化问卷回写与量表对接</w:t>
            </w:r>
          </w:p>
        </w:tc>
        <w:tc>
          <w:tcPr>
            <w:tcW w:w="6097" w:type="dxa"/>
            <w:vAlign w:val="center"/>
          </w:tcPr>
          <w:p w14:paraId="2098DAAF">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系统须支持将患者填写的结构化问卷（含固定选项及量表得分）回写至医院EMR系统，针对康复科、心理科等特殊科室的量表问卷场景，支持将量表得分、选项结果等数据按标准格式封装并回传，确保量表数据在EMR中可直接用于疗效评估与科研分析。</w:t>
            </w:r>
          </w:p>
        </w:tc>
      </w:tr>
      <w:tr w14:paraId="0B5E0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67" w:type="dxa"/>
            <w:vMerge w:val="continue"/>
            <w:vAlign w:val="center"/>
          </w:tcPr>
          <w:p w14:paraId="37CB7F23">
            <w:pPr>
              <w:widowControl/>
              <w:ind w:firstLine="0" w:firstLineChars="0"/>
              <w:jc w:val="center"/>
              <w:rPr>
                <w:rFonts w:hint="eastAsia" w:ascii="仿宋_GB2312" w:hAnsi="仿宋_GB2312" w:cs="仿宋_GB2312"/>
                <w:color w:val="auto"/>
                <w:kern w:val="0"/>
                <w:sz w:val="24"/>
                <w:szCs w:val="24"/>
                <w:lang w:val="en-US" w:eastAsia="zh-CN"/>
              </w:rPr>
            </w:pPr>
          </w:p>
        </w:tc>
        <w:tc>
          <w:tcPr>
            <w:tcW w:w="756" w:type="dxa"/>
            <w:vMerge w:val="continue"/>
            <w:vAlign w:val="center"/>
          </w:tcPr>
          <w:p w14:paraId="60F633B0">
            <w:pPr>
              <w:widowControl/>
              <w:ind w:firstLine="0" w:firstLineChars="0"/>
              <w:jc w:val="center"/>
              <w:rPr>
                <w:rFonts w:hint="eastAsia" w:ascii="仿宋_GB2312" w:hAnsi="仿宋_GB2312" w:cs="仿宋_GB2312"/>
                <w:color w:val="auto"/>
                <w:kern w:val="0"/>
                <w:sz w:val="24"/>
                <w:szCs w:val="24"/>
                <w:lang w:val="en-US" w:eastAsia="zh-CN"/>
              </w:rPr>
            </w:pPr>
          </w:p>
        </w:tc>
        <w:tc>
          <w:tcPr>
            <w:tcW w:w="1140" w:type="dxa"/>
            <w:vMerge w:val="continue"/>
            <w:vAlign w:val="center"/>
          </w:tcPr>
          <w:p w14:paraId="7F9071CE">
            <w:pPr>
              <w:widowControl/>
              <w:ind w:firstLine="0" w:firstLineChars="0"/>
              <w:jc w:val="center"/>
              <w:rPr>
                <w:rFonts w:hint="eastAsia" w:ascii="仿宋_GB2312" w:hAnsi="仿宋_GB2312" w:cs="仿宋_GB2312"/>
                <w:color w:val="auto"/>
                <w:kern w:val="0"/>
                <w:sz w:val="24"/>
                <w:szCs w:val="24"/>
                <w:lang w:val="en-US" w:eastAsia="zh-CN"/>
              </w:rPr>
            </w:pPr>
          </w:p>
        </w:tc>
        <w:tc>
          <w:tcPr>
            <w:tcW w:w="1176" w:type="dxa"/>
            <w:vAlign w:val="center"/>
          </w:tcPr>
          <w:p w14:paraId="1ACC9768">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门诊病历贯通</w:t>
            </w:r>
          </w:p>
        </w:tc>
        <w:tc>
          <w:tcPr>
            <w:tcW w:w="6097" w:type="dxa"/>
            <w:vAlign w:val="center"/>
          </w:tcPr>
          <w:p w14:paraId="02A4B5D5">
            <w:pPr>
              <w:widowControl/>
              <w:ind w:firstLine="0" w:firstLineChars="0"/>
              <w:jc w:val="center"/>
              <w:rPr>
                <w:rFonts w:hint="eastAsia" w:ascii="仿宋_GB2312" w:hAnsi="仿宋_GB2312" w:cs="仿宋_GB2312"/>
                <w:color w:val="auto"/>
                <w:kern w:val="0"/>
                <w:sz w:val="24"/>
                <w:szCs w:val="24"/>
                <w:lang w:val="en-US" w:eastAsia="zh-CN"/>
              </w:rPr>
            </w:pPr>
            <w:r>
              <w:rPr>
                <w:rFonts w:hint="eastAsia" w:ascii="仿宋_GB2312" w:hAnsi="仿宋_GB2312" w:cs="仿宋_GB2312"/>
                <w:color w:val="auto"/>
                <w:kern w:val="0"/>
                <w:sz w:val="24"/>
                <w:szCs w:val="24"/>
                <w:lang w:val="en-US" w:eastAsia="zh-CN"/>
              </w:rPr>
              <w:t>预问诊内容支持结构化输出作为门诊病历生成业务线初稿上下文直接传入，避免患者重复描述，确保病历生成自动化、标准化。</w:t>
            </w:r>
          </w:p>
        </w:tc>
      </w:tr>
    </w:tbl>
    <w:p w14:paraId="4CD03951">
      <w:pPr>
        <w:pStyle w:val="31"/>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仿宋_GB2312" w:hAnsi="仿宋_GB2312" w:eastAsia="仿宋_GB2312" w:cs="仿宋_GB2312"/>
          <w:b/>
          <w:sz w:val="24"/>
          <w:szCs w:val="24"/>
        </w:rPr>
      </w:pPr>
    </w:p>
    <w:p w14:paraId="7A2123B4">
      <w:pPr>
        <w:pStyle w:val="31"/>
        <w:pageBreakBefore w:val="0"/>
        <w:widowControl w:val="0"/>
        <w:numPr>
          <w:ilvl w:val="0"/>
          <w:numId w:val="0"/>
        </w:numPr>
        <w:kinsoku/>
        <w:wordWrap/>
        <w:overflowPunct/>
        <w:topLinePunct w:val="0"/>
        <w:autoSpaceDE/>
        <w:autoSpaceDN/>
        <w:bidi w:val="0"/>
        <w:adjustRightInd/>
        <w:snapToGrid/>
        <w:spacing w:line="312" w:lineRule="auto"/>
        <w:ind w:leftChars="0"/>
        <w:textAlignment w:val="auto"/>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w:t>
      </w:r>
      <w:r>
        <w:rPr>
          <w:rFonts w:hint="eastAsia" w:ascii="仿宋_GB2312" w:hAnsi="仿宋_GB2312" w:eastAsia="仿宋_GB2312" w:cs="仿宋_GB2312"/>
          <w:b/>
          <w:sz w:val="24"/>
          <w:szCs w:val="24"/>
          <w:lang w:val="en-US" w:eastAsia="zh-CN"/>
        </w:rPr>
        <w:t>二</w:t>
      </w:r>
      <w:r>
        <w:rPr>
          <w:rFonts w:hint="eastAsia" w:ascii="仿宋_GB2312" w:hAnsi="仿宋_GB2312" w:eastAsia="仿宋_GB2312" w:cs="仿宋_GB2312"/>
          <w:b/>
          <w:sz w:val="24"/>
          <w:szCs w:val="24"/>
        </w:rPr>
        <w:t>）配套硬件技术要求</w:t>
      </w:r>
    </w:p>
    <w:tbl>
      <w:tblPr>
        <w:tblStyle w:val="14"/>
        <w:tblW w:w="8947" w:type="dxa"/>
        <w:tblInd w:w="9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00"/>
        <w:gridCol w:w="1472"/>
        <w:gridCol w:w="4445"/>
        <w:gridCol w:w="1165"/>
        <w:gridCol w:w="1165"/>
      </w:tblGrid>
      <w:tr w14:paraId="5630F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0" w:hRule="atLeast"/>
        </w:trPr>
        <w:tc>
          <w:tcPr>
            <w:tcW w:w="700" w:type="dxa"/>
            <w:tcBorders>
              <w:tl2br w:val="nil"/>
              <w:tr2bl w:val="nil"/>
            </w:tcBorders>
            <w:shd w:val="clear" w:color="auto" w:fill="auto"/>
            <w:vAlign w:val="center"/>
          </w:tcPr>
          <w:p w14:paraId="7B07E93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472" w:type="dxa"/>
            <w:tcBorders>
              <w:tl2br w:val="nil"/>
              <w:tr2bl w:val="nil"/>
            </w:tcBorders>
            <w:shd w:val="clear" w:color="auto" w:fill="auto"/>
            <w:vAlign w:val="center"/>
          </w:tcPr>
          <w:p w14:paraId="6AD20C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硬件名称</w:t>
            </w:r>
          </w:p>
        </w:tc>
        <w:tc>
          <w:tcPr>
            <w:tcW w:w="4445" w:type="dxa"/>
            <w:tcBorders>
              <w:tl2br w:val="nil"/>
              <w:tr2bl w:val="nil"/>
            </w:tcBorders>
            <w:shd w:val="clear" w:color="auto" w:fill="auto"/>
            <w:vAlign w:val="center"/>
          </w:tcPr>
          <w:p w14:paraId="4E2D2C1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技术要求</w:t>
            </w:r>
          </w:p>
        </w:tc>
        <w:tc>
          <w:tcPr>
            <w:tcW w:w="1165" w:type="dxa"/>
            <w:tcBorders>
              <w:tl2br w:val="nil"/>
              <w:tr2bl w:val="nil"/>
            </w:tcBorders>
            <w:shd w:val="clear" w:color="auto" w:fill="auto"/>
            <w:vAlign w:val="center"/>
          </w:tcPr>
          <w:p w14:paraId="7CD30F4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数量</w:t>
            </w:r>
          </w:p>
        </w:tc>
        <w:tc>
          <w:tcPr>
            <w:tcW w:w="1165" w:type="dxa"/>
            <w:tcBorders>
              <w:tl2br w:val="nil"/>
              <w:tr2bl w:val="nil"/>
            </w:tcBorders>
            <w:shd w:val="clear" w:color="auto" w:fill="auto"/>
            <w:vAlign w:val="center"/>
          </w:tcPr>
          <w:p w14:paraId="42F9A72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单位</w:t>
            </w:r>
          </w:p>
        </w:tc>
      </w:tr>
      <w:tr w14:paraId="755CD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86" w:hRule="atLeast"/>
        </w:trPr>
        <w:tc>
          <w:tcPr>
            <w:tcW w:w="700" w:type="dxa"/>
            <w:tcBorders>
              <w:tl2br w:val="nil"/>
              <w:tr2bl w:val="nil"/>
            </w:tcBorders>
            <w:shd w:val="clear" w:color="auto" w:fill="auto"/>
            <w:vAlign w:val="center"/>
          </w:tcPr>
          <w:p w14:paraId="4526F6CC">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2"/>
                <w:sz w:val="24"/>
                <w:szCs w:val="24"/>
                <w:lang w:val="en-US" w:eastAsia="zh-CN" w:bidi="ar-SA"/>
              </w:rPr>
              <w:t>1</w:t>
            </w:r>
          </w:p>
        </w:tc>
        <w:tc>
          <w:tcPr>
            <w:tcW w:w="1472" w:type="dxa"/>
            <w:tcBorders>
              <w:tl2br w:val="nil"/>
              <w:tr2bl w:val="nil"/>
            </w:tcBorders>
            <w:shd w:val="clear" w:color="auto" w:fill="auto"/>
            <w:vAlign w:val="center"/>
          </w:tcPr>
          <w:p w14:paraId="1C14BCF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算力服务器</w:t>
            </w:r>
          </w:p>
        </w:tc>
        <w:tc>
          <w:tcPr>
            <w:tcW w:w="4445" w:type="dxa"/>
            <w:tcBorders>
              <w:tl2br w:val="nil"/>
              <w:tr2bl w:val="nil"/>
            </w:tcBorders>
            <w:shd w:val="clear" w:color="auto" w:fill="auto"/>
            <w:vAlign w:val="center"/>
          </w:tcPr>
          <w:p w14:paraId="1D9AA11B">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eastAsia="仿宋_GB2312" w:cs="仿宋_GB2312"/>
                <w:i w:val="0"/>
                <w:iCs w:val="0"/>
                <w:color w:val="000000"/>
                <w:kern w:val="0"/>
                <w:sz w:val="24"/>
                <w:szCs w:val="24"/>
                <w:u w:val="none"/>
                <w:lang w:val="en-US" w:eastAsia="zh-CN" w:bidi="ar"/>
              </w:rPr>
              <w:t>处理器：配置2颗国产服务器处理器，单颗物理核心数≥48核</w:t>
            </w:r>
            <w:r>
              <w:rPr>
                <w:rFonts w:hint="eastAsia" w:ascii="仿宋_GB2312" w:hAnsi="仿宋_GB2312" w:cs="仿宋_GB2312"/>
                <w:i w:val="0"/>
                <w:iCs w:val="0"/>
                <w:color w:val="000000"/>
                <w:kern w:val="0"/>
                <w:sz w:val="24"/>
                <w:szCs w:val="24"/>
                <w:u w:val="none"/>
                <w:lang w:val="en-US" w:eastAsia="zh-CN" w:bidi="ar"/>
              </w:rPr>
              <w:t>,主频</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仿宋_GB2312" w:hAnsi="仿宋_GB2312" w:cs="仿宋_GB2312"/>
                <w:i w:val="0"/>
                <w:iCs w:val="0"/>
                <w:color w:val="000000"/>
                <w:kern w:val="0"/>
                <w:sz w:val="24"/>
                <w:szCs w:val="24"/>
                <w:u w:val="none"/>
                <w:lang w:val="en-US" w:eastAsia="zh-CN" w:bidi="ar"/>
              </w:rPr>
              <w:t>2.6GHz</w:t>
            </w:r>
          </w:p>
          <w:p w14:paraId="7DFEAE0C">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eastAsia="仿宋_GB2312" w:cs="仿宋_GB2312"/>
                <w:i w:val="0"/>
                <w:iCs w:val="0"/>
                <w:color w:val="000000"/>
                <w:kern w:val="0"/>
                <w:sz w:val="24"/>
                <w:szCs w:val="24"/>
                <w:u w:val="none"/>
                <w:lang w:val="en-US" w:eastAsia="zh-CN" w:bidi="ar"/>
              </w:rPr>
              <w:t>内存</w:t>
            </w:r>
            <w:r>
              <w:rPr>
                <w:rFonts w:hint="eastAsia" w:ascii="仿宋_GB2312" w:hAnsi="仿宋_GB2312" w:cs="仿宋_GB2312"/>
                <w:i w:val="0"/>
                <w:iCs w:val="0"/>
                <w:color w:val="000000"/>
                <w:kern w:val="0"/>
                <w:sz w:val="24"/>
                <w:szCs w:val="24"/>
                <w:u w:val="none"/>
                <w:lang w:val="en-US" w:eastAsia="zh-CN" w:bidi="ar"/>
              </w:rPr>
              <w:t xml:space="preserve">:DDR4 32GB×8，总容量 </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仿宋_GB2312" w:hAnsi="仿宋_GB2312" w:cs="仿宋_GB2312"/>
                <w:i w:val="0"/>
                <w:iCs w:val="0"/>
                <w:color w:val="000000"/>
                <w:kern w:val="0"/>
                <w:sz w:val="24"/>
                <w:szCs w:val="24"/>
                <w:u w:val="none"/>
                <w:lang w:val="en-US" w:eastAsia="zh-CN" w:bidi="ar"/>
              </w:rPr>
              <w:t>256GB</w:t>
            </w:r>
          </w:p>
          <w:p w14:paraId="7459F1C5">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cs="仿宋_GB2312"/>
                <w:i w:val="0"/>
                <w:iCs w:val="0"/>
                <w:color w:val="000000"/>
                <w:kern w:val="0"/>
                <w:sz w:val="24"/>
                <w:szCs w:val="24"/>
                <w:u w:val="none"/>
                <w:lang w:val="en-US" w:eastAsia="zh-CN" w:bidi="ar"/>
              </w:rPr>
              <w:t>AI加速卡（NPU）:</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仿宋_GB2312" w:hAnsi="仿宋_GB2312" w:cs="仿宋_GB2312"/>
                <w:i w:val="0"/>
                <w:iCs w:val="0"/>
                <w:color w:val="000000"/>
                <w:kern w:val="0"/>
                <w:sz w:val="24"/>
                <w:szCs w:val="24"/>
                <w:u w:val="none"/>
                <w:lang w:val="en-US" w:eastAsia="zh-CN" w:bidi="ar"/>
              </w:rPr>
              <w:t>256GB 显存</w:t>
            </w:r>
          </w:p>
          <w:p w14:paraId="75929B71">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cs="仿宋_GB2312"/>
                <w:i w:val="0"/>
                <w:iCs w:val="0"/>
                <w:color w:val="000000"/>
                <w:kern w:val="0"/>
                <w:sz w:val="24"/>
                <w:szCs w:val="24"/>
                <w:u w:val="none"/>
                <w:lang w:val="en-US" w:eastAsia="zh-CN" w:bidi="ar"/>
              </w:rPr>
              <w:t>系统盘:</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仿宋_GB2312" w:hAnsi="仿宋_GB2312" w:cs="仿宋_GB2312"/>
                <w:i w:val="0"/>
                <w:iCs w:val="0"/>
                <w:color w:val="000000"/>
                <w:kern w:val="0"/>
                <w:sz w:val="24"/>
                <w:szCs w:val="24"/>
                <w:u w:val="none"/>
                <w:lang w:val="en-US" w:eastAsia="zh-CN" w:bidi="ar"/>
              </w:rPr>
              <w:t>960GB  SSD</w:t>
            </w:r>
          </w:p>
          <w:p w14:paraId="4E6581A3">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cs="仿宋_GB2312"/>
                <w:i w:val="0"/>
                <w:iCs w:val="0"/>
                <w:color w:val="000000"/>
                <w:kern w:val="0"/>
                <w:sz w:val="24"/>
                <w:szCs w:val="24"/>
                <w:u w:val="none"/>
                <w:lang w:val="en-US" w:eastAsia="zh-CN" w:bidi="ar"/>
              </w:rPr>
              <w:t>数据盘:</w:t>
            </w:r>
            <w:r>
              <w:rPr>
                <w:rFonts w:hint="eastAsia" w:ascii="仿宋_GB2312" w:hAnsi="仿宋_GB2312" w:eastAsia="仿宋_GB2312" w:cs="仿宋_GB2312"/>
                <w:i w:val="0"/>
                <w:iCs w:val="0"/>
                <w:color w:val="000000"/>
                <w:kern w:val="0"/>
                <w:sz w:val="24"/>
                <w:szCs w:val="24"/>
                <w:u w:val="none"/>
                <w:lang w:val="en-US" w:eastAsia="zh-CN" w:bidi="ar"/>
              </w:rPr>
              <w:t>≥3.8</w:t>
            </w:r>
            <w:r>
              <w:rPr>
                <w:rFonts w:hint="eastAsia" w:ascii="仿宋_GB2312" w:hAnsi="仿宋_GB2312" w:cs="仿宋_GB2312"/>
                <w:i w:val="0"/>
                <w:iCs w:val="0"/>
                <w:color w:val="000000"/>
                <w:kern w:val="0"/>
                <w:sz w:val="24"/>
                <w:szCs w:val="24"/>
                <w:u w:val="none"/>
                <w:lang w:val="en-US" w:eastAsia="zh-CN" w:bidi="ar"/>
              </w:rPr>
              <w:t>4</w:t>
            </w:r>
            <w:r>
              <w:rPr>
                <w:rFonts w:hint="eastAsia" w:ascii="仿宋_GB2312" w:hAnsi="仿宋_GB2312" w:eastAsia="仿宋_GB2312" w:cs="仿宋_GB2312"/>
                <w:i w:val="0"/>
                <w:iCs w:val="0"/>
                <w:color w:val="000000"/>
                <w:kern w:val="0"/>
                <w:sz w:val="24"/>
                <w:szCs w:val="24"/>
                <w:u w:val="none"/>
                <w:lang w:val="en-US" w:eastAsia="zh-CN" w:bidi="ar"/>
              </w:rPr>
              <w:t>TB</w:t>
            </w:r>
            <w:r>
              <w:rPr>
                <w:rFonts w:hint="eastAsia" w:ascii="仿宋_GB2312" w:hAnsi="仿宋_GB2312" w:cs="仿宋_GB2312"/>
                <w:i w:val="0"/>
                <w:iCs w:val="0"/>
                <w:color w:val="000000"/>
                <w:kern w:val="0"/>
                <w:sz w:val="24"/>
                <w:szCs w:val="24"/>
                <w:u w:val="none"/>
                <w:lang w:val="en-US" w:eastAsia="zh-CN" w:bidi="ar"/>
              </w:rPr>
              <w:t xml:space="preserve"> NVMe </w:t>
            </w:r>
          </w:p>
          <w:p w14:paraId="2544F57B">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cs="仿宋_GB2312"/>
                <w:i w:val="0"/>
                <w:iCs w:val="0"/>
                <w:color w:val="000000"/>
                <w:kern w:val="0"/>
                <w:sz w:val="24"/>
                <w:szCs w:val="24"/>
                <w:u w:val="none"/>
                <w:lang w:val="en-US" w:eastAsia="zh-CN" w:bidi="ar"/>
              </w:rPr>
              <w:t>网卡:4×GE接口卡</w:t>
            </w:r>
          </w:p>
          <w:p w14:paraId="55CC66E5">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cs="仿宋_GB2312"/>
                <w:i w:val="0"/>
                <w:iCs w:val="0"/>
                <w:color w:val="000000"/>
                <w:kern w:val="0"/>
                <w:sz w:val="24"/>
                <w:szCs w:val="24"/>
                <w:u w:val="none"/>
                <w:lang w:val="en-US" w:eastAsia="zh-CN" w:bidi="ar"/>
              </w:rPr>
              <w:t>电源:4×2000W，支持冗余</w:t>
            </w:r>
          </w:p>
          <w:p w14:paraId="77D47A8B">
            <w:pPr>
              <w:keepNext w:val="0"/>
              <w:keepLines w:val="0"/>
              <w:pageBreakBefore w:val="0"/>
              <w:widowControl/>
              <w:numPr>
                <w:ilvl w:val="0"/>
                <w:numId w:val="2"/>
              </w:numPr>
              <w:suppressLineNumbers w:val="0"/>
              <w:kinsoku/>
              <w:wordWrap/>
              <w:overflowPunct/>
              <w:topLinePunct w:val="0"/>
              <w:autoSpaceDE/>
              <w:autoSpaceDN/>
              <w:bidi w:val="0"/>
              <w:adjustRightInd/>
              <w:snapToGrid/>
              <w:ind w:firstLine="0" w:firstLineChars="0"/>
              <w:jc w:val="left"/>
              <w:textAlignment w:val="center"/>
              <w:rPr>
                <w:rFonts w:hint="eastAsia"/>
              </w:rPr>
            </w:pPr>
            <w:r>
              <w:rPr>
                <w:rFonts w:hint="eastAsia" w:ascii="仿宋_GB2312" w:hAnsi="仿宋_GB2312" w:cs="仿宋_GB2312"/>
                <w:i w:val="0"/>
                <w:iCs w:val="0"/>
                <w:color w:val="000000"/>
                <w:kern w:val="0"/>
                <w:sz w:val="24"/>
                <w:szCs w:val="24"/>
                <w:u w:val="none"/>
                <w:lang w:val="en-US" w:eastAsia="zh-CN" w:bidi="ar"/>
              </w:rPr>
              <w:t>扩展能力:整机最多可扩展至 8 张全高全长双宽 AI 加速卡，满足后续模型与并发规模增长需要</w:t>
            </w:r>
            <w:bookmarkStart w:id="3" w:name="_GoBack"/>
            <w:bookmarkEnd w:id="3"/>
          </w:p>
        </w:tc>
        <w:tc>
          <w:tcPr>
            <w:tcW w:w="1165" w:type="dxa"/>
            <w:tcBorders>
              <w:tl2br w:val="nil"/>
              <w:tr2bl w:val="nil"/>
            </w:tcBorders>
            <w:shd w:val="clear" w:color="auto" w:fill="auto"/>
            <w:vAlign w:val="center"/>
          </w:tcPr>
          <w:p w14:paraId="24D9FD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cs="仿宋_GB2312"/>
                <w:i w:val="0"/>
                <w:iCs w:val="0"/>
                <w:color w:val="000000"/>
                <w:kern w:val="0"/>
                <w:sz w:val="24"/>
                <w:szCs w:val="24"/>
                <w:u w:val="none"/>
                <w:lang w:val="en-US" w:eastAsia="zh-CN" w:bidi="ar"/>
              </w:rPr>
              <w:t>1</w:t>
            </w:r>
          </w:p>
        </w:tc>
        <w:tc>
          <w:tcPr>
            <w:tcW w:w="1165" w:type="dxa"/>
            <w:tcBorders>
              <w:tl2br w:val="nil"/>
              <w:tr2bl w:val="nil"/>
            </w:tcBorders>
            <w:shd w:val="clear" w:color="auto" w:fill="auto"/>
            <w:vAlign w:val="center"/>
          </w:tcPr>
          <w:p w14:paraId="2A20F5F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台</w:t>
            </w:r>
          </w:p>
        </w:tc>
      </w:tr>
      <w:tr w14:paraId="364C9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86" w:hRule="atLeast"/>
        </w:trPr>
        <w:tc>
          <w:tcPr>
            <w:tcW w:w="700" w:type="dxa"/>
            <w:tcBorders>
              <w:tl2br w:val="nil"/>
              <w:tr2bl w:val="nil"/>
            </w:tcBorders>
            <w:shd w:val="clear" w:color="auto" w:fill="auto"/>
            <w:vAlign w:val="center"/>
          </w:tcPr>
          <w:p w14:paraId="00244D95">
            <w:pPr>
              <w:keepNext w:val="0"/>
              <w:keepLines w:val="0"/>
              <w:pageBreakBefore w:val="0"/>
              <w:widowControl/>
              <w:numPr>
                <w:ilvl w:val="0"/>
                <w:numId w:val="0"/>
              </w:numPr>
              <w:suppressLineNumbers w:val="0"/>
              <w:kinsoku/>
              <w:wordWrap/>
              <w:overflowPunct/>
              <w:topLinePunct w:val="0"/>
              <w:autoSpaceDE/>
              <w:autoSpaceDN/>
              <w:bidi w:val="0"/>
              <w:adjustRightInd/>
              <w:snapToGrid/>
              <w:ind w:left="425" w:leftChars="0" w:hanging="425" w:firstLineChars="0"/>
              <w:jc w:val="center"/>
              <w:textAlignment w:val="center"/>
              <w:rPr>
                <w:rFonts w:hint="default" w:ascii="仿宋_GB2312" w:hAnsi="仿宋_GB2312" w:eastAsia="仿宋_GB2312" w:cs="仿宋_GB2312"/>
                <w:i w:val="0"/>
                <w:iCs w:val="0"/>
                <w:color w:val="000000"/>
                <w:kern w:val="2"/>
                <w:sz w:val="24"/>
                <w:szCs w:val="24"/>
                <w:lang w:val="en-US" w:eastAsia="zh-CN" w:bidi="ar-SA"/>
              </w:rPr>
            </w:pPr>
            <w:r>
              <w:rPr>
                <w:rFonts w:hint="eastAsia" w:ascii="仿宋_GB2312" w:hAnsi="仿宋_GB2312" w:cs="仿宋_GB2312"/>
                <w:i w:val="0"/>
                <w:iCs w:val="0"/>
                <w:color w:val="000000"/>
                <w:kern w:val="2"/>
                <w:sz w:val="24"/>
                <w:szCs w:val="24"/>
                <w:lang w:val="en-US" w:eastAsia="zh-CN" w:bidi="ar-SA"/>
              </w:rPr>
              <w:t>2</w:t>
            </w:r>
          </w:p>
        </w:tc>
        <w:tc>
          <w:tcPr>
            <w:tcW w:w="1472" w:type="dxa"/>
            <w:tcBorders>
              <w:tl2br w:val="nil"/>
              <w:tr2bl w:val="nil"/>
            </w:tcBorders>
            <w:shd w:val="clear" w:color="auto" w:fill="auto"/>
            <w:vAlign w:val="center"/>
          </w:tcPr>
          <w:p w14:paraId="45BC2B60">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三防</w:t>
            </w:r>
            <w:r>
              <w:rPr>
                <w:rFonts w:hint="eastAsia" w:ascii="仿宋_GB2312" w:hAnsi="仿宋_GB2312" w:cs="仿宋_GB2312"/>
                <w:i w:val="0"/>
                <w:iCs w:val="0"/>
                <w:color w:val="000000"/>
                <w:kern w:val="0"/>
                <w:sz w:val="24"/>
                <w:szCs w:val="24"/>
                <w:u w:val="none"/>
                <w:lang w:val="en-US" w:eastAsia="zh-CN" w:bidi="ar"/>
              </w:rPr>
              <w:t>便携工作站</w:t>
            </w:r>
          </w:p>
        </w:tc>
        <w:tc>
          <w:tcPr>
            <w:tcW w:w="4445" w:type="dxa"/>
            <w:tcBorders>
              <w:tl2br w:val="nil"/>
              <w:tr2bl w:val="nil"/>
            </w:tcBorders>
            <w:shd w:val="clear" w:color="auto" w:fill="auto"/>
            <w:vAlign w:val="center"/>
          </w:tcPr>
          <w:p w14:paraId="157DF1C2">
            <w:pPr>
              <w:pStyle w:val="2"/>
              <w:numPr>
                <w:ilvl w:val="0"/>
                <w:numId w:val="3"/>
              </w:numPr>
              <w:ind w:left="425" w:leftChars="0" w:hanging="425" w:firstLineChars="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屏幕尺寸：≥</w:t>
            </w:r>
            <w:r>
              <w:rPr>
                <w:rFonts w:hint="eastAsia" w:ascii="仿宋_GB2312" w:hAnsi="仿宋_GB2312" w:eastAsia="仿宋_GB2312" w:cs="仿宋_GB2312"/>
                <w:sz w:val="24"/>
                <w:szCs w:val="24"/>
                <w:lang w:val="en-US" w:eastAsia="zh-CN"/>
              </w:rPr>
              <w:t>10英寸</w:t>
            </w:r>
          </w:p>
          <w:p w14:paraId="5F92B3BE">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显示屏</w:t>
            </w:r>
            <w:r>
              <w:rPr>
                <w:rFonts w:hint="eastAsia" w:ascii="仿宋_GB2312" w:hAnsi="仿宋_GB2312" w:eastAsia="仿宋_GB2312" w:cs="仿宋_GB2312"/>
                <w:sz w:val="24"/>
                <w:szCs w:val="24"/>
                <w:lang w:eastAsia="zh-CN"/>
              </w:rPr>
              <w:t>：高清IPS显示屏，分辨率1280×1920</w:t>
            </w:r>
          </w:p>
          <w:p w14:paraId="06D4B3AD">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触摸屏</w:t>
            </w:r>
            <w:r>
              <w:rPr>
                <w:rFonts w:hint="eastAsia" w:ascii="仿宋_GB2312" w:hAnsi="仿宋_GB2312" w:eastAsia="仿宋_GB2312" w:cs="仿宋_GB2312"/>
                <w:sz w:val="24"/>
                <w:szCs w:val="24"/>
                <w:lang w:eastAsia="zh-CN"/>
              </w:rPr>
              <w:t>：多点触摸，G+G防爆玻璃触摸屏，全贴合总成屏幕</w:t>
            </w:r>
          </w:p>
          <w:p w14:paraId="6742C420">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电磁手写</w:t>
            </w:r>
            <w:r>
              <w:rPr>
                <w:rFonts w:hint="eastAsia" w:ascii="仿宋_GB2312" w:hAnsi="仿宋_GB2312" w:eastAsia="仿宋_GB2312" w:cs="仿宋_GB2312"/>
                <w:sz w:val="24"/>
                <w:szCs w:val="24"/>
                <w:lang w:eastAsia="zh-CN"/>
              </w:rPr>
              <w:t>：2048-8192级电磁原笔迹传感器+被动式手写电磁笔</w:t>
            </w:r>
          </w:p>
          <w:p w14:paraId="1E945B74">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电池</w:t>
            </w:r>
            <w:r>
              <w:rPr>
                <w:rFonts w:hint="eastAsia" w:ascii="仿宋_GB2312" w:hAnsi="仿宋_GB2312" w:eastAsia="仿宋_GB2312" w:cs="仿宋_GB2312"/>
                <w:sz w:val="24"/>
                <w:szCs w:val="24"/>
                <w:lang w:eastAsia="zh-CN"/>
              </w:rPr>
              <w:t>：容量</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10000mAh</w:t>
            </w:r>
          </w:p>
          <w:p w14:paraId="262C7A9B">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核心配置</w:t>
            </w:r>
            <w:r>
              <w:rPr>
                <w:rFonts w:hint="eastAsia" w:ascii="仿宋_GB2312" w:hAnsi="仿宋_GB2312" w:eastAsia="仿宋_GB2312" w:cs="仿宋_GB2312"/>
                <w:sz w:val="24"/>
                <w:szCs w:val="24"/>
                <w:lang w:eastAsia="zh-CN"/>
              </w:rPr>
              <w:t xml:space="preserve">：CPU </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8核、内存</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6GB、存储</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64GB</w:t>
            </w:r>
          </w:p>
          <w:p w14:paraId="6EBA0009">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摄像头</w:t>
            </w:r>
            <w:r>
              <w:rPr>
                <w:rFonts w:hint="eastAsia" w:ascii="仿宋_GB2312" w:hAnsi="仿宋_GB2312" w:eastAsia="仿宋_GB2312" w:cs="仿宋_GB2312"/>
                <w:sz w:val="24"/>
                <w:szCs w:val="24"/>
                <w:lang w:eastAsia="zh-CN"/>
              </w:rPr>
              <w:t>：前置</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500万像素、后置</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1300万像素，视频分辨率1920×1080</w:t>
            </w:r>
          </w:p>
          <w:p w14:paraId="25A6A70E">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传感器与指纹</w:t>
            </w:r>
            <w:r>
              <w:rPr>
                <w:rFonts w:hint="eastAsia" w:ascii="仿宋_GB2312" w:hAnsi="仿宋_GB2312" w:eastAsia="仿宋_GB2312" w:cs="仿宋_GB2312"/>
                <w:sz w:val="24"/>
                <w:szCs w:val="24"/>
                <w:lang w:eastAsia="zh-CN"/>
              </w:rPr>
              <w:t>：内置重力传感器；半导体电容指纹识别模块，指纹分辨率500dpi，识读速度毫秒级</w:t>
            </w:r>
            <w:r>
              <w:rPr>
                <w:rFonts w:hint="eastAsia" w:ascii="仿宋_GB2312" w:hAnsi="仿宋_GB2312" w:eastAsia="仿宋_GB2312" w:cs="仿宋_GB2312"/>
                <w:sz w:val="24"/>
                <w:szCs w:val="24"/>
              </w:rPr>
              <w:tab/>
            </w:r>
          </w:p>
          <w:p w14:paraId="3EA91691">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网络： 支持以太网、WiFi、蓝牙 5.0 及 4G 全网通连接</w:t>
            </w:r>
            <w:r>
              <w:rPr>
                <w:rFonts w:hint="eastAsia" w:ascii="仿宋_GB2312" w:hAnsi="仿宋_GB2312" w:eastAsia="仿宋_GB2312" w:cs="仿宋_GB2312"/>
                <w:sz w:val="24"/>
                <w:szCs w:val="24"/>
              </w:rPr>
              <w:t>以太网接口</w:t>
            </w:r>
            <w:r>
              <w:rPr>
                <w:rFonts w:hint="eastAsia" w:ascii="仿宋_GB2312" w:hAnsi="仿宋_GB2312" w:eastAsia="仿宋_GB2312" w:cs="仿宋_GB2312"/>
                <w:sz w:val="24"/>
                <w:szCs w:val="24"/>
              </w:rPr>
              <w:tab/>
            </w:r>
          </w:p>
          <w:p w14:paraId="7D7E4958">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接口与扩展： 配备 TF 卡槽（最高 256GB）、Nano SIM 卡槽、Type-C 2.0、3.5mm 耳机接口、RJ45 网口</w:t>
            </w:r>
            <w:r>
              <w:rPr>
                <w:rFonts w:hint="eastAsia" w:ascii="仿宋_GB2312" w:hAnsi="仿宋_GB2312" w:eastAsia="仿宋_GB2312" w:cs="仿宋_GB2312"/>
                <w:sz w:val="24"/>
                <w:szCs w:val="24"/>
              </w:rPr>
              <w:tab/>
            </w:r>
          </w:p>
          <w:p w14:paraId="1B925686">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配件</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配套硬件保护套、DC 5V/2A充电器及Type-C USB 2.0数据线</w:t>
            </w:r>
          </w:p>
          <w:p w14:paraId="1F3D73C8">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签名笔迹与指纹采集</w:t>
            </w:r>
            <w:r>
              <w:rPr>
                <w:rFonts w:hint="eastAsia" w:ascii="仿宋_GB2312" w:hAnsi="仿宋_GB2312" w:eastAsia="仿宋_GB2312" w:cs="仿宋_GB2312"/>
                <w:sz w:val="24"/>
                <w:szCs w:val="24"/>
                <w:lang w:eastAsia="zh-CN"/>
              </w:rPr>
              <w:t>：支持采集签名人签名笔迹、采集签名人指纹数据</w:t>
            </w:r>
          </w:p>
          <w:p w14:paraId="7F2B0B55">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文件获取与推送</w:t>
            </w:r>
            <w:r>
              <w:rPr>
                <w:rFonts w:hint="eastAsia" w:ascii="仿宋_GB2312" w:hAnsi="仿宋_GB2312" w:eastAsia="仿宋_GB2312" w:cs="仿宋_GB2312"/>
                <w:sz w:val="24"/>
                <w:szCs w:val="24"/>
                <w:lang w:eastAsia="zh-CN"/>
              </w:rPr>
              <w:t>：支持获取并显示待签署文件，支持将已签署的文件推送至业务平台</w:t>
            </w:r>
          </w:p>
          <w:p w14:paraId="3EFC1CF0">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同屏显示与批注合成</w:t>
            </w:r>
            <w:r>
              <w:rPr>
                <w:rFonts w:hint="eastAsia" w:ascii="仿宋_GB2312" w:hAnsi="仿宋_GB2312" w:eastAsia="仿宋_GB2312" w:cs="仿宋_GB2312"/>
                <w:sz w:val="24"/>
                <w:szCs w:val="24"/>
                <w:lang w:eastAsia="zh-CN"/>
              </w:rPr>
              <w:t>：支持手写屏PDF内容在主屏幕做同屏显示；主屏PDF上使用鼠标批注划线，手写屏同步显示批注划线部分，最终将批注划线部分合成到PDF中</w:t>
            </w:r>
            <w:r>
              <w:rPr>
                <w:rFonts w:hint="eastAsia" w:ascii="仿宋_GB2312" w:hAnsi="仿宋_GB2312" w:eastAsia="仿宋_GB2312" w:cs="仿宋_GB2312"/>
                <w:sz w:val="24"/>
                <w:szCs w:val="24"/>
              </w:rPr>
              <w:tab/>
            </w:r>
          </w:p>
          <w:p w14:paraId="6883B7FB">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电磁压感响应</w:t>
            </w:r>
            <w:r>
              <w:rPr>
                <w:rFonts w:hint="eastAsia" w:ascii="仿宋_GB2312" w:hAnsi="仿宋_GB2312" w:eastAsia="仿宋_GB2312" w:cs="仿宋_GB2312"/>
                <w:sz w:val="24"/>
                <w:szCs w:val="24"/>
                <w:lang w:eastAsia="zh-CN"/>
              </w:rPr>
              <w:t>：支持电磁压感响应技术，精准采集手写笔迹每一点的坐标、压力与速度，实现对签名人手写生物特征的完整采集</w:t>
            </w:r>
          </w:p>
          <w:p w14:paraId="11F9B889">
            <w:pPr>
              <w:pStyle w:val="2"/>
              <w:numPr>
                <w:ilvl w:val="0"/>
                <w:numId w:val="3"/>
              </w:numPr>
              <w:ind w:left="425" w:leftChars="0" w:hanging="425"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指纹同步采集</w:t>
            </w:r>
            <w:r>
              <w:rPr>
                <w:rFonts w:hint="eastAsia" w:ascii="仿宋_GB2312" w:hAnsi="仿宋_GB2312" w:eastAsia="仿宋_GB2312" w:cs="仿宋_GB2312"/>
                <w:sz w:val="24"/>
                <w:szCs w:val="24"/>
                <w:lang w:eastAsia="zh-CN"/>
              </w:rPr>
              <w:t>：集成电容指纹采集模块，可在手写签名同时记录签名人指纹数据，从而提高签名身份鉴别能力和应用安全性</w:t>
            </w:r>
          </w:p>
          <w:p w14:paraId="2296F4DC">
            <w:pPr>
              <w:pStyle w:val="2"/>
              <w:numPr>
                <w:ilvl w:val="0"/>
                <w:numId w:val="3"/>
              </w:numPr>
              <w:ind w:left="425" w:leftChars="0" w:hanging="425" w:firstLineChars="0"/>
              <w:rPr>
                <w:rFonts w:hint="eastAsia"/>
              </w:rPr>
            </w:pPr>
            <w:r>
              <w:rPr>
                <w:rFonts w:hint="eastAsia" w:ascii="仿宋_GB2312" w:hAnsi="仿宋_GB2312" w:eastAsia="仿宋_GB2312" w:cs="仿宋_GB2312"/>
                <w:sz w:val="24"/>
                <w:szCs w:val="24"/>
              </w:rPr>
              <w:t>页面推送与播放</w:t>
            </w:r>
            <w:r>
              <w:rPr>
                <w:rFonts w:hint="eastAsia" w:ascii="仿宋_GB2312" w:hAnsi="仿宋_GB2312" w:eastAsia="仿宋_GB2312" w:cs="仿宋_GB2312"/>
                <w:sz w:val="24"/>
                <w:szCs w:val="24"/>
                <w:lang w:eastAsia="zh-CN"/>
              </w:rPr>
              <w:t>：支持静态、动态页面推送，支持视频播放</w:t>
            </w:r>
          </w:p>
        </w:tc>
        <w:tc>
          <w:tcPr>
            <w:tcW w:w="1165" w:type="dxa"/>
            <w:tcBorders>
              <w:tl2br w:val="nil"/>
              <w:tr2bl w:val="nil"/>
            </w:tcBorders>
            <w:shd w:val="clear" w:color="auto" w:fill="auto"/>
            <w:vAlign w:val="center"/>
          </w:tcPr>
          <w:p w14:paraId="008946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cs="仿宋_GB2312"/>
                <w:i w:val="0"/>
                <w:iCs w:val="0"/>
                <w:color w:val="000000"/>
                <w:kern w:val="0"/>
                <w:sz w:val="24"/>
                <w:szCs w:val="24"/>
                <w:u w:val="none"/>
                <w:lang w:val="en-US" w:eastAsia="zh-CN" w:bidi="ar"/>
              </w:rPr>
            </w:pPr>
            <w:r>
              <w:rPr>
                <w:rFonts w:hint="eastAsia" w:ascii="仿宋_GB2312" w:hAnsi="仿宋_GB2312" w:cs="仿宋_GB2312"/>
                <w:i w:val="0"/>
                <w:iCs w:val="0"/>
                <w:color w:val="000000"/>
                <w:kern w:val="0"/>
                <w:sz w:val="24"/>
                <w:szCs w:val="24"/>
                <w:u w:val="none"/>
                <w:lang w:val="en-US" w:eastAsia="zh-CN" w:bidi="ar"/>
              </w:rPr>
              <w:t>44</w:t>
            </w:r>
          </w:p>
        </w:tc>
        <w:tc>
          <w:tcPr>
            <w:tcW w:w="1165" w:type="dxa"/>
            <w:tcBorders>
              <w:tl2br w:val="nil"/>
              <w:tr2bl w:val="nil"/>
            </w:tcBorders>
            <w:shd w:val="clear" w:color="auto" w:fill="auto"/>
            <w:vAlign w:val="center"/>
          </w:tcPr>
          <w:p w14:paraId="2208ACA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cs="仿宋_GB2312"/>
                <w:i w:val="0"/>
                <w:iCs w:val="0"/>
                <w:color w:val="000000"/>
                <w:kern w:val="0"/>
                <w:sz w:val="24"/>
                <w:szCs w:val="24"/>
                <w:u w:val="none"/>
                <w:lang w:val="en-US" w:eastAsia="zh-CN" w:bidi="ar"/>
              </w:rPr>
              <w:t>台</w:t>
            </w:r>
          </w:p>
        </w:tc>
      </w:tr>
    </w:tbl>
    <w:p w14:paraId="518FB418">
      <w:pPr>
        <w:ind w:firstLine="0" w:firstLineChars="0"/>
        <w:rPr>
          <w:rFonts w:hint="eastAsia" w:ascii="仿宋_GB2312" w:hAnsi="仿宋_GB2312" w:eastAsia="仿宋_GB2312" w:cs="仿宋_GB2312"/>
          <w:b/>
          <w:bCs/>
          <w:sz w:val="28"/>
          <w:szCs w:val="28"/>
        </w:rPr>
      </w:pPr>
    </w:p>
    <w:p w14:paraId="14702E88">
      <w:pPr>
        <w:pStyle w:val="2"/>
        <w:spacing w:after="0" w:line="312" w:lineRule="auto"/>
        <w:rPr>
          <w:rFonts w:hint="eastAsia" w:ascii="仿宋_GB2312" w:hAnsi="仿宋_GB2312" w:eastAsia="仿宋_GB2312" w:cs="仿宋_GB2312"/>
          <w:b/>
          <w:bCs/>
          <w:sz w:val="28"/>
          <w:lang w:val="en-US"/>
        </w:rPr>
      </w:pPr>
      <w:bookmarkStart w:id="0" w:name="_Toc507405799"/>
      <w:bookmarkStart w:id="1" w:name="_Toc507405800"/>
      <w:r>
        <w:rPr>
          <w:rFonts w:hint="eastAsia" w:ascii="仿宋_GB2312" w:hAnsi="仿宋_GB2312" w:eastAsia="仿宋_GB2312" w:cs="仿宋_GB2312"/>
          <w:b/>
          <w:bCs/>
          <w:sz w:val="28"/>
          <w:lang w:val="en-US"/>
        </w:rPr>
        <w:t>三、对接口及系统改造的要求</w:t>
      </w:r>
    </w:p>
    <w:p w14:paraId="14702E89">
      <w:pPr>
        <w:spacing w:line="312" w:lineRule="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ab/>
      </w:r>
      <w:r>
        <w:rPr>
          <w:rFonts w:hint="eastAsia" w:ascii="仿宋_GB2312" w:hAnsi="仿宋_GB2312" w:eastAsia="仿宋_GB2312" w:cs="仿宋_GB2312"/>
          <w:b/>
          <w:bCs/>
          <w:sz w:val="24"/>
          <w:szCs w:val="24"/>
        </w:rPr>
        <w:t>质保期和维保期内免费实现以下要求：</w:t>
      </w:r>
    </w:p>
    <w:p w14:paraId="10C203D7">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3.1提供全面的接口技术，与第三方系统共享数据和功能，这些接口技术包括中间件技术接口、WEBSEVICE通用接口、数据库级接口、文件文本接口等。</w:t>
      </w:r>
    </w:p>
    <w:p w14:paraId="72F2A1E2">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3.2提供与医院第三方系统统一接口的维护与管理，与HIS、电子病历、LIS、PACS、心电系统、体检系统、集成平台、智慧运营平台、成本管理系统、排班系统、人力资源管理系统、财务管理系统、互联网医院、OA平台、自助服务平台、DRG管理、绩效管理、电子发票、短信平台、财务电子档案等其他所有医院相关业务系统（包括以上医院系统但不仅限于以上系统）进行免费接口对接，实现数据交换。</w:t>
      </w:r>
    </w:p>
    <w:p w14:paraId="662D6BA9">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3.3满足医院电子病历系统功能应用水平分级评价达到6级以上评审、医院信息互联互通标准化成熟度测评达到五级乙等以上水平评审、信息系统安全等级保护三级测评、三甲医院评审、医院智慧服务分级评估标准体系达到4级以上相关的功能要求、医院智慧管理分级评估标准体系达到4级以上相关的功能要求、网络攻防演练中的安全防护要求以及医院其他需要评审的信息化技术改造服务要求；</w:t>
      </w:r>
    </w:p>
    <w:p w14:paraId="1DD20D8B">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3.4提供软件免费升级及个性化修改服务，免费实现院方的个性化需求；软件自身错误类问题提供永久性免费修改服务；</w:t>
      </w:r>
    </w:p>
    <w:p w14:paraId="59354AF4">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3.5免费提供医院新增业务信息系统的对接、免费实现医院上级管理部门要求的系统接口对接要求。</w:t>
      </w:r>
    </w:p>
    <w:p w14:paraId="5311D4AA">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3.6若医院更换已对接的业务系统、乙方须免费提供与新业务系统的对接及联调服务。</w:t>
      </w:r>
    </w:p>
    <w:p w14:paraId="14702E90">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3.7项目软硬件系统不限定用户数、并发数、不限定医疗集团内部及院区使用。</w:t>
      </w:r>
    </w:p>
    <w:p w14:paraId="14702E91">
      <w:pPr>
        <w:pStyle w:val="3"/>
        <w:numPr>
          <w:ilvl w:val="0"/>
          <w:numId w:val="0"/>
        </w:numPr>
        <w:spacing w:before="0" w:after="0" w:line="312" w:lineRule="auto"/>
        <w:rPr>
          <w:rFonts w:hint="eastAsia" w:ascii="仿宋_GB2312" w:hAnsi="仿宋_GB2312" w:eastAsia="仿宋_GB2312" w:cs="仿宋_GB2312"/>
          <w:bCs w:val="0"/>
          <w:sz w:val="32"/>
          <w:szCs w:val="32"/>
        </w:rPr>
      </w:pPr>
      <w:r>
        <w:rPr>
          <w:rFonts w:hint="eastAsia" w:ascii="仿宋_GB2312" w:hAnsi="仿宋_GB2312" w:eastAsia="仿宋_GB2312" w:cs="仿宋_GB2312"/>
          <w:bCs w:val="0"/>
          <w:sz w:val="32"/>
          <w:szCs w:val="32"/>
        </w:rPr>
        <w:t>四、项目实施要求</w:t>
      </w:r>
    </w:p>
    <w:p w14:paraId="14702E92">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4.1驻场、实施工期要求：合同签订后，7个工作日内项目实施人员必须进场，系统需在90天内完成项目实施上线，请分别列出每个系统实施的工作计划及周期。</w:t>
      </w:r>
    </w:p>
    <w:p w14:paraId="14702E93">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4.2驻场人员要求：</w:t>
      </w:r>
    </w:p>
    <w:p w14:paraId="14702E94">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实施工程师：项目驻场实施工程师需有2年以上本厂商同等项目实施经验。项目实施阶段，驻场实施工程师不得少于1名。</w:t>
      </w:r>
    </w:p>
    <w:p w14:paraId="14702E95">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如需更换实施工程师，厂商需提交书面申请，经院方同意才可更换。</w:t>
      </w:r>
    </w:p>
    <w:p w14:paraId="14702E96">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竞标文件中需提供软件提供商项目驻场人员清单（含项目开发和项目实施人员），清单中标明驻场人员详细信息，如姓名、联系方式、技术职称等。</w:t>
      </w:r>
    </w:p>
    <w:p w14:paraId="14702E97">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4.3因厂商与院方存在对需求理解有差异的可能性，要求所有软件功能需求的响应以院方意见为准。</w:t>
      </w:r>
    </w:p>
    <w:p w14:paraId="14702E98">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4.4培训要求：</w:t>
      </w:r>
    </w:p>
    <w:p w14:paraId="14702E99">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培训应至少包括但不限于：软硬件系统的安装、部署、维护方法、系统的功能使用培训；</w:t>
      </w:r>
    </w:p>
    <w:p w14:paraId="14702E9A">
      <w:pPr>
        <w:pStyle w:val="3"/>
        <w:numPr>
          <w:ilvl w:val="0"/>
          <w:numId w:val="0"/>
        </w:numPr>
        <w:spacing w:before="0" w:after="0" w:line="312" w:lineRule="auto"/>
        <w:rPr>
          <w:rFonts w:hint="eastAsia" w:ascii="仿宋_GB2312" w:hAnsi="仿宋_GB2312" w:eastAsia="仿宋_GB2312" w:cs="仿宋_GB2312"/>
          <w:bCs w:val="0"/>
          <w:sz w:val="32"/>
          <w:szCs w:val="32"/>
        </w:rPr>
      </w:pPr>
      <w:r>
        <w:rPr>
          <w:rFonts w:hint="eastAsia" w:ascii="仿宋_GB2312" w:hAnsi="仿宋_GB2312" w:eastAsia="仿宋_GB2312" w:cs="仿宋_GB2312"/>
          <w:bCs w:val="0"/>
          <w:sz w:val="32"/>
          <w:szCs w:val="32"/>
        </w:rPr>
        <w:t>五、售后服务及其他要求</w:t>
      </w:r>
    </w:p>
    <w:p w14:paraId="14702E9B">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5.1自本项目整体最终验收之日起，所有产品要求提供三年的免费质保服务。含软硬件维护和系统软件升级、系统BUG及漏洞修复、技术支持服务、系统管理及操作培训服务，免费提供系统个性化修改需求。请详细说明售后服务的内容。</w:t>
      </w:r>
    </w:p>
    <w:p w14:paraId="14702E9C">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5.2安装调试要求：免费送货上门、安装调试、提供完善的设备及软件系统使用中文操作手册、图纸、网络详细拓扑图、系统配置、功能配置、设备配置及互联记录。</w:t>
      </w:r>
    </w:p>
    <w:p w14:paraId="14702E9D">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5.3原厂技术人员免费提供售后服务，含电话支持、现场响应、远程操作、网上客服中心等多种方式服务，应做到7×24小时全天候电话或微信等常用联系方式响应。</w:t>
      </w:r>
      <w:bookmarkStart w:id="2" w:name="_Toc507405798"/>
      <w:r>
        <w:rPr>
          <w:rFonts w:hint="eastAsia" w:ascii="仿宋_GB2312" w:hAnsi="仿宋_GB2312" w:eastAsia="仿宋_GB2312" w:cs="仿宋_GB2312"/>
          <w:color w:val="auto"/>
          <w:kern w:val="0"/>
          <w:sz w:val="24"/>
          <w:szCs w:val="24"/>
          <w:lang w:val="en-US" w:eastAsia="zh-CN" w:bidi="ar-SA"/>
        </w:rPr>
        <w:t>当出现故障时，接到故障通知后，原厂技术人员应在30分钟内响应，远程技术支持无法解决的，6小时内需到达现场处理修复，并调查分析事故原因，如现场仍不能解决问题，需24小时内免费提供同档次或更高档次的备用设备解决问题。</w:t>
      </w:r>
    </w:p>
    <w:p w14:paraId="14702E9E">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5.4供应商提供原厂技术人员巡检服务，通过电话或其他方式访问用户，了解产品使用情况及网络安全情况：按院方要求巡检（国家法定节假日前巡检），并形成巡检报告（内容涉及此产品服务器\相关设备的运行情况）反馈给我院。</w:t>
      </w:r>
    </w:p>
    <w:p w14:paraId="14702E9F">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auto"/>
          <w:kern w:val="0"/>
          <w:sz w:val="24"/>
          <w:szCs w:val="24"/>
          <w:lang w:val="en-US" w:eastAsia="zh-CN" w:bidi="ar-SA"/>
        </w:rPr>
        <w:t>5.5免费系统改造，支持信创电脑和服务器。</w:t>
      </w:r>
    </w:p>
    <w:p w14:paraId="14702EA0">
      <w:pPr>
        <w:pStyle w:val="2"/>
        <w:spacing w:after="0" w:line="312" w:lineRule="auto"/>
        <w:rPr>
          <w:rFonts w:hint="eastAsia" w:ascii="仿宋_GB2312" w:hAnsi="仿宋_GB2312" w:eastAsia="仿宋_GB2312" w:cs="仿宋_GB2312"/>
          <w:b/>
          <w:bCs/>
          <w:sz w:val="28"/>
          <w:lang w:val="en-US"/>
        </w:rPr>
      </w:pPr>
      <w:r>
        <w:rPr>
          <w:rFonts w:hint="eastAsia" w:ascii="仿宋_GB2312" w:hAnsi="仿宋_GB2312" w:eastAsia="仿宋_GB2312" w:cs="仿宋_GB2312"/>
          <w:b/>
          <w:bCs/>
          <w:sz w:val="28"/>
          <w:lang w:val="en-US"/>
        </w:rPr>
        <w:t>六、违约责任</w:t>
      </w:r>
    </w:p>
    <w:p w14:paraId="14702EA1">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6.1投标方所提供的软/硬件规格、技术标准、材料等质量不合格的，应及时更换，更换不及时的按逾期交付处罚；因质量问题我院不同意接收，投标方应向我院支付违约货款额5%违约金并赔偿我院经济损失。</w:t>
      </w:r>
    </w:p>
    <w:p w14:paraId="14702EA2">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6.2若投标方提供的产品或软件侵犯了第三方合法权益而引发的任何纠纷或诉讼，均由投标方负责交涉并承担全部责任。</w:t>
      </w:r>
    </w:p>
    <w:p w14:paraId="14702EA3">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6.3投标方逾期交付的，每天向甲方偿付违约货款额3‰违约金，但违约金累计不得超过违约货款额 5%，超过30天对方有权解除合同，违约方承担因此给对方造成的经济损失；</w:t>
      </w:r>
    </w:p>
    <w:p w14:paraId="14702EA4">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6.4售后服务违约：</w:t>
      </w:r>
    </w:p>
    <w:p w14:paraId="14702EA5">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6.4.1不能按本技术参数文档第5.3要求中按时提供设备备件的，故障上报24小时不能免费提供同档次或更高档次的备用设备解决问题，每超期一天，按500元/天向甲方支付违约金；</w:t>
      </w:r>
    </w:p>
    <w:p w14:paraId="14702EA6">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6.4.2 投标方未按本技术要求和响应文件中规定的其他服务承诺提供售后服务的，每次投标方应按合同合计金额的5% 向甲方支付违约金。</w:t>
      </w:r>
    </w:p>
    <w:p w14:paraId="14702EA7">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6.5合同签订后7个工作日内进场实施，每个模块计划实施周期需在合同内写明。因软件提供商原因逾期不进场实施的，需按每天向院方支付合同款金额3‰作为违约金，超过30天，甲有权解除合同，乙方需承担因此给院方造成的经济损失；不能按照合同约定上线期限完成，需要书面申请说明原因，得到医院书面同意后最多延期一个月，否则（或者延期一个月后）按每超期7天（一周）从总合同金额扣除5%的违约金。扣除比例达到总合同金额的50%及以上的，视为乙方违约，甲方有权单方面解除合同，并要求乙方退回所有医院已支付款项，同时按合同总金额的20%做为违约金支付给甲方。</w:t>
      </w:r>
    </w:p>
    <w:p w14:paraId="14702EA8">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6.6任何一方违反本技术要求中“保密、廉洁条款”要求的，应承担相应的违约责任并赔偿由此造成的损失，损失累计金额超过合同款项的5%的，损失方同时有权终止合同并收回已付款项。</w:t>
      </w:r>
    </w:p>
    <w:p w14:paraId="14702EA9">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6.7厂商方未按本技术要求和响应文件中规定的其他服务承诺提供售后服务的，按损失情况，每次应按合同合计金额的0.1‰-0.1%由乙方向甲方支付违约金，损失累计金额超过合同款项的5%的，损失方同时有权终止合同并收回已付款项。</w:t>
      </w:r>
    </w:p>
    <w:p w14:paraId="14702EAA">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6.8厂商不得在提供的硬件及软件系统中设置包括且不限于如：软硬件加密狗、加密软件、时间锁、授权码等限制硬件及软件系统正常运行的措施，如有特殊需要必须提交纸质文件说明，经过我院签字同意才可设置，否则视为乙方违约，乙方需要支付医院违约金</w:t>
      </w:r>
      <w:r>
        <w:rPr>
          <w:rFonts w:hint="eastAsia" w:ascii="仿宋_GB2312" w:hAnsi="仿宋_GB2312" w:cs="仿宋_GB2312"/>
          <w:color w:val="auto"/>
          <w:kern w:val="0"/>
          <w:sz w:val="24"/>
          <w:szCs w:val="24"/>
          <w:lang w:val="en-US" w:eastAsia="zh-CN" w:bidi="ar-SA"/>
        </w:rPr>
        <w:t>50</w:t>
      </w:r>
      <w:r>
        <w:rPr>
          <w:rFonts w:hint="eastAsia" w:ascii="仿宋_GB2312" w:hAnsi="仿宋_GB2312" w:eastAsia="仿宋_GB2312" w:cs="仿宋_GB2312"/>
          <w:color w:val="auto"/>
          <w:kern w:val="0"/>
          <w:sz w:val="24"/>
          <w:szCs w:val="24"/>
          <w:lang w:val="en-US" w:eastAsia="zh-CN" w:bidi="ar-SA"/>
        </w:rPr>
        <w:t>0000元（伍拾万元</w:t>
      </w:r>
      <w:r>
        <w:rPr>
          <w:rFonts w:hint="eastAsia" w:ascii="仿宋_GB2312" w:hAnsi="仿宋_GB2312" w:cs="仿宋_GB2312"/>
          <w:color w:val="auto"/>
          <w:kern w:val="0"/>
          <w:sz w:val="24"/>
          <w:szCs w:val="24"/>
          <w:lang w:val="en-US" w:eastAsia="zh-CN" w:bidi="ar-SA"/>
        </w:rPr>
        <w:t>整</w:t>
      </w:r>
      <w:r>
        <w:rPr>
          <w:rFonts w:hint="eastAsia" w:ascii="仿宋_GB2312" w:hAnsi="仿宋_GB2312" w:eastAsia="仿宋_GB2312" w:cs="仿宋_GB2312"/>
          <w:color w:val="auto"/>
          <w:kern w:val="0"/>
          <w:sz w:val="24"/>
          <w:szCs w:val="24"/>
          <w:lang w:val="en-US" w:eastAsia="zh-CN" w:bidi="ar-SA"/>
        </w:rPr>
        <w:t>），在此基础上医院有权要求乙方退回甲方已支付的所有款项。如对医院造成损失的，甲方有权要求乙方赔偿。</w:t>
      </w:r>
    </w:p>
    <w:p w14:paraId="14702EAB">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6.9厂商驻场工程师人员变更必须得到医院书面同意，否则视为乙方违约，甲方有权按5000元/人/次从合同总款中扣除。</w:t>
      </w:r>
    </w:p>
    <w:p w14:paraId="14702EAC">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6.10如合同乙方非软件提供商，软件提供商需承担连带责任，即本技术参数中对乙方的所有约束要求、违约条件均等同于对软件提供商的要求，甲方在追究乙方违约责任的同时可以同步追究软件提供商同等责任，乙方在投标时必须提供软件提供商的售后服务承诺书原件（须加盖软件提供商公章）。</w:t>
      </w:r>
    </w:p>
    <w:bookmarkEnd w:id="2"/>
    <w:p w14:paraId="14702EAD">
      <w:pPr>
        <w:pStyle w:val="2"/>
        <w:spacing w:after="0" w:line="312" w:lineRule="auto"/>
        <w:rPr>
          <w:rFonts w:hint="eastAsia" w:ascii="仿宋_GB2312" w:hAnsi="仿宋_GB2312" w:eastAsia="仿宋_GB2312" w:cs="仿宋_GB2312"/>
          <w:b/>
          <w:bCs/>
          <w:sz w:val="28"/>
          <w:lang w:val="en-US"/>
        </w:rPr>
      </w:pPr>
      <w:r>
        <w:rPr>
          <w:rFonts w:hint="eastAsia" w:ascii="仿宋_GB2312" w:hAnsi="仿宋_GB2312" w:eastAsia="仿宋_GB2312" w:cs="仿宋_GB2312"/>
          <w:b/>
          <w:bCs/>
          <w:sz w:val="28"/>
          <w:lang w:val="en-US"/>
        </w:rPr>
        <w:t>七、保密、廉洁协议</w:t>
      </w:r>
    </w:p>
    <w:p w14:paraId="14702EAE">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7.1 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14:paraId="14702EAF">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7.2 双方不得以任何方式向第三方泄露本项目的软件技术、设计方案以及功能配置等内容。</w:t>
      </w:r>
    </w:p>
    <w:p w14:paraId="14702EB0">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7.3不以任何方式向第三方泄露在本协议开发实施过程中获取的经济、技术、数据以及双方其他非公开的信息。</w:t>
      </w:r>
    </w:p>
    <w:p w14:paraId="14702EB1">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7.4 不从事商业贿赂行为，遵守廉洁协议或相关规定。甲方发现乙方有违反廉洁协议或相关规定采用不正当手段进行不正当竞争行为的，或被有关部门生效文书认定有行贿或者受贿行为的，甲方有权解除该业务合同，由此给甲方造成的损失以及发生的一切费用均由乙方承担，甲方有权对乙方实施商业贿赂不良记录，列入“黑名单”，并三年内取消其业务往来资格。</w:t>
      </w:r>
    </w:p>
    <w:p w14:paraId="14702EB2">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7.5保密期限自本合同生效之日起永久有效，如乙方需解除保密协议需向甲方提出书面申请，双方协商同意签字确认后方可解除。</w:t>
      </w:r>
    </w:p>
    <w:p w14:paraId="14702EB3">
      <w:pPr>
        <w:pStyle w:val="2"/>
        <w:spacing w:after="0" w:line="312" w:lineRule="auto"/>
        <w:rPr>
          <w:rFonts w:hint="eastAsia" w:ascii="仿宋_GB2312" w:hAnsi="仿宋_GB2312" w:eastAsia="仿宋_GB2312" w:cs="仿宋_GB2312"/>
          <w:lang w:val="en-US"/>
        </w:rPr>
      </w:pPr>
    </w:p>
    <w:p w14:paraId="14702EB4">
      <w:pPr>
        <w:pStyle w:val="2"/>
        <w:spacing w:after="0" w:line="312" w:lineRule="auto"/>
        <w:rPr>
          <w:rFonts w:hint="eastAsia" w:ascii="仿宋_GB2312" w:hAnsi="仿宋_GB2312" w:eastAsia="仿宋_GB2312" w:cs="仿宋_GB2312"/>
          <w:b/>
          <w:bCs/>
          <w:sz w:val="28"/>
          <w:lang w:val="en-US"/>
        </w:rPr>
      </w:pPr>
      <w:r>
        <w:rPr>
          <w:rFonts w:hint="eastAsia" w:ascii="仿宋_GB2312" w:hAnsi="仿宋_GB2312" w:eastAsia="仿宋_GB2312" w:cs="仿宋_GB2312"/>
          <w:b/>
          <w:bCs/>
          <w:sz w:val="28"/>
          <w:lang w:val="en-US"/>
        </w:rPr>
        <w:t>八、报价</w:t>
      </w:r>
    </w:p>
    <w:p w14:paraId="14702EB5">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8.1竞标文件提供技术偏离表、服务偏离表，并标明详细的技术和服务内容。竞标文件按系统模块报价，报价表价格包含系统软硬件费用、产品安装、调试实施、培训费用、产品升级费用、接口费（包括第三方厂家的接口费）等费用，以及明示所有责任、义务和一切风险。</w:t>
      </w:r>
    </w:p>
    <w:p w14:paraId="14702EB6">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8.2竞标文件需提供维保期方案及报价。</w:t>
      </w:r>
    </w:p>
    <w:p w14:paraId="14702EB7">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8.3竞标文件需提供系统详细图文介绍。系统实施验收参照本技术文档及竞标文件提供的图文介绍为依据。</w:t>
      </w:r>
    </w:p>
    <w:p w14:paraId="14702EB8">
      <w:pPr>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8.4如项目功能二次开发内容涉及我院采购的第三方产品，请在标书内标明哪些功能的实现需要二次开发接口。</w:t>
      </w:r>
    </w:p>
    <w:p w14:paraId="14702EB9">
      <w:pPr>
        <w:pStyle w:val="3"/>
        <w:numPr>
          <w:ilvl w:val="0"/>
          <w:numId w:val="0"/>
        </w:numPr>
        <w:spacing w:before="0" w:after="0" w:line="312" w:lineRule="auto"/>
        <w:rPr>
          <w:rFonts w:hint="eastAsia" w:ascii="仿宋_GB2312" w:hAnsi="仿宋_GB2312" w:eastAsia="仿宋_GB2312" w:cs="仿宋_GB2312"/>
          <w:bCs w:val="0"/>
          <w:sz w:val="32"/>
          <w:szCs w:val="32"/>
        </w:rPr>
      </w:pPr>
      <w:r>
        <w:rPr>
          <w:rFonts w:hint="eastAsia" w:ascii="仿宋_GB2312" w:hAnsi="仿宋_GB2312" w:eastAsia="仿宋_GB2312" w:cs="仿宋_GB2312"/>
          <w:bCs w:val="0"/>
          <w:sz w:val="32"/>
          <w:szCs w:val="32"/>
        </w:rPr>
        <w:t>九、付款方式</w:t>
      </w:r>
    </w:p>
    <w:bookmarkEnd w:id="0"/>
    <w:bookmarkEnd w:id="1"/>
    <w:p w14:paraId="1DAB8A97">
      <w:pPr>
        <w:ind w:firstLine="0" w:firstLineChars="0"/>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（一）付款方式</w:t>
      </w:r>
    </w:p>
    <w:p w14:paraId="7F5D8861">
      <w:pPr>
        <w:numPr>
          <w:ilvl w:val="0"/>
          <w:numId w:val="4"/>
        </w:numPr>
        <w:ind w:left="845" w:leftChars="0" w:hanging="425" w:firstLineChars="0"/>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项目合同签订</w:t>
      </w:r>
      <w:r>
        <w:rPr>
          <w:rFonts w:hint="eastAsia" w:ascii="仿宋_GB2312" w:hAnsi="仿宋_GB2312" w:cs="仿宋_GB2312"/>
          <w:color w:val="auto"/>
          <w:kern w:val="0"/>
          <w:sz w:val="24"/>
          <w:szCs w:val="24"/>
          <w:lang w:val="en-US" w:eastAsia="zh-CN" w:bidi="ar-SA"/>
        </w:rPr>
        <w:t>，全部硬件到货且安装调试完成</w:t>
      </w:r>
      <w:r>
        <w:rPr>
          <w:rFonts w:hint="eastAsia" w:ascii="仿宋_GB2312" w:hAnsi="仿宋_GB2312" w:eastAsia="仿宋_GB2312" w:cs="仿宋_GB2312"/>
          <w:color w:val="auto"/>
          <w:kern w:val="0"/>
          <w:sz w:val="24"/>
          <w:szCs w:val="24"/>
          <w:lang w:val="en-US" w:eastAsia="zh-CN" w:bidi="ar-SA"/>
        </w:rPr>
        <w:t>，甲方支付</w:t>
      </w:r>
      <w:r>
        <w:rPr>
          <w:rFonts w:hint="eastAsia" w:ascii="仿宋_GB2312" w:hAnsi="仿宋_GB2312" w:cs="仿宋_GB2312"/>
          <w:color w:val="auto"/>
          <w:kern w:val="0"/>
          <w:sz w:val="24"/>
          <w:szCs w:val="24"/>
          <w:lang w:val="en-US" w:eastAsia="zh-CN" w:bidi="ar-SA"/>
        </w:rPr>
        <w:t>合同</w:t>
      </w:r>
      <w:r>
        <w:rPr>
          <w:rFonts w:hint="eastAsia" w:ascii="仿宋_GB2312" w:hAnsi="仿宋_GB2312" w:eastAsia="仿宋_GB2312" w:cs="仿宋_GB2312"/>
          <w:color w:val="auto"/>
          <w:kern w:val="0"/>
          <w:sz w:val="24"/>
          <w:szCs w:val="24"/>
          <w:lang w:val="en-US" w:eastAsia="zh-CN" w:bidi="ar-SA"/>
        </w:rPr>
        <w:t>款项30%；</w:t>
      </w:r>
    </w:p>
    <w:p w14:paraId="3F8AE5EF">
      <w:pPr>
        <w:numPr>
          <w:ilvl w:val="0"/>
          <w:numId w:val="4"/>
        </w:numPr>
        <w:ind w:left="845" w:leftChars="0" w:hanging="425" w:firstLineChars="0"/>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合同约定的所有模块实施完毕，系统上线稳定运行满 3 个月后，启动项目验收；验收合格后，乙方开具合同金额 100% 的发票，甲方向乙方支付合同款项的70%。</w:t>
      </w:r>
    </w:p>
    <w:p w14:paraId="2486D553">
      <w:pPr>
        <w:ind w:firstLine="0" w:firstLineChars="0"/>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（二）特别说明（财政资金支付）</w:t>
      </w:r>
    </w:p>
    <w:p w14:paraId="527C39FE">
      <w:pPr>
        <w:keepNext w:val="0"/>
        <w:keepLines w:val="0"/>
        <w:pageBreakBefore w:val="0"/>
        <w:widowControl w:val="0"/>
        <w:kinsoku/>
        <w:wordWrap/>
        <w:overflowPunct/>
        <w:topLinePunct w:val="0"/>
        <w:autoSpaceDE/>
        <w:autoSpaceDN/>
        <w:bidi w:val="0"/>
        <w:adjustRightInd/>
        <w:snapToGrid/>
        <w:spacing w:line="279" w:lineRule="auto"/>
        <w:ind w:firstLine="480" w:firstLineChars="200"/>
        <w:textAlignment w:val="auto"/>
        <w:rPr>
          <w:rFonts w:hint="eastAsia" w:ascii="仿宋_GB2312" w:hAnsi="仿宋_GB2312" w:eastAsia="仿宋_GB2312" w:cs="仿宋_GB2312"/>
          <w:b/>
          <w:bCs/>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bidi="ar-SA"/>
        </w:rPr>
        <w:t>若甲方使用财政资金支付，合同约定的付款时间为甲方向政府采购支付部门提出办理财政支付申请手续的时间（不含政府财政支付部门审核的时间）；甲方在规定时间内提出支付申请手续后，即视为甲方已按期支付。资金到账时间以财政部门资金审批进度为准，若有其他特殊情况，由双方共同协商解决。</w:t>
      </w:r>
    </w:p>
    <w:sectPr>
      <w:pgSz w:w="11906" w:h="16838"/>
      <w:pgMar w:top="1440" w:right="1080" w:bottom="1440" w:left="108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C0201328-038C-4FA5-B2EB-F8B8C956C9DB}"/>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embedRegular r:id="rId2" w:fontKey="{0452E219-C4D2-4E40-A79D-7E6C4D3802A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ind w:firstLine="480"/>
      </w:pPr>
      <w:r>
        <w:separator/>
      </w:r>
    </w:p>
  </w:footnote>
  <w:footnote w:type="continuationSeparator" w:id="1">
    <w:p>
      <w:pPr>
        <w:spacing w:before="0" w:after="0" w:line="278"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FB8F58"/>
    <w:multiLevelType w:val="singleLevel"/>
    <w:tmpl w:val="8BFB8F58"/>
    <w:lvl w:ilvl="0" w:tentative="0">
      <w:start w:val="1"/>
      <w:numFmt w:val="decimal"/>
      <w:suff w:val="nothing"/>
      <w:lvlText w:val="%1）"/>
      <w:lvlJc w:val="left"/>
    </w:lvl>
  </w:abstractNum>
  <w:abstractNum w:abstractNumId="1">
    <w:nsid w:val="C1BA373E"/>
    <w:multiLevelType w:val="singleLevel"/>
    <w:tmpl w:val="C1BA373E"/>
    <w:lvl w:ilvl="0" w:tentative="0">
      <w:start w:val="1"/>
      <w:numFmt w:val="decimal"/>
      <w:lvlText w:val="%1)"/>
      <w:lvlJc w:val="left"/>
      <w:pPr>
        <w:ind w:left="425" w:hanging="425"/>
      </w:pPr>
      <w:rPr>
        <w:rFonts w:hint="default"/>
      </w:rPr>
    </w:lvl>
  </w:abstractNum>
  <w:abstractNum w:abstractNumId="2">
    <w:nsid w:val="366D1052"/>
    <w:multiLevelType w:val="singleLevel"/>
    <w:tmpl w:val="366D1052"/>
    <w:lvl w:ilvl="0" w:tentative="0">
      <w:start w:val="1"/>
      <w:numFmt w:val="decimal"/>
      <w:lvlText w:val="%1."/>
      <w:lvlJc w:val="left"/>
      <w:pPr>
        <w:tabs>
          <w:tab w:val="left" w:pos="420"/>
        </w:tabs>
        <w:ind w:left="845" w:hanging="425"/>
      </w:pPr>
      <w:rPr>
        <w:rFonts w:hint="default"/>
      </w:rPr>
    </w:lvl>
  </w:abstractNum>
  <w:abstractNum w:abstractNumId="3">
    <w:nsid w:val="46433B6D"/>
    <w:multiLevelType w:val="multilevel"/>
    <w:tmpl w:val="46433B6D"/>
    <w:lvl w:ilvl="0" w:tentative="0">
      <w:start w:val="1"/>
      <w:numFmt w:val="decimal"/>
      <w:pStyle w:val="5"/>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871"/>
    <w:rsid w:val="000575B9"/>
    <w:rsid w:val="000A0F00"/>
    <w:rsid w:val="00124511"/>
    <w:rsid w:val="00191C9D"/>
    <w:rsid w:val="0021377D"/>
    <w:rsid w:val="00255A82"/>
    <w:rsid w:val="0028524D"/>
    <w:rsid w:val="002F4006"/>
    <w:rsid w:val="003352BD"/>
    <w:rsid w:val="00363BEC"/>
    <w:rsid w:val="003918C1"/>
    <w:rsid w:val="003F7D7D"/>
    <w:rsid w:val="00411BC5"/>
    <w:rsid w:val="00457A72"/>
    <w:rsid w:val="00511459"/>
    <w:rsid w:val="00547765"/>
    <w:rsid w:val="00596820"/>
    <w:rsid w:val="005C4856"/>
    <w:rsid w:val="00791204"/>
    <w:rsid w:val="00822BCC"/>
    <w:rsid w:val="00841187"/>
    <w:rsid w:val="00843E9B"/>
    <w:rsid w:val="00865B20"/>
    <w:rsid w:val="00885135"/>
    <w:rsid w:val="008A2C5C"/>
    <w:rsid w:val="008D03B2"/>
    <w:rsid w:val="008D6D01"/>
    <w:rsid w:val="00913BB2"/>
    <w:rsid w:val="009147B8"/>
    <w:rsid w:val="00982F8C"/>
    <w:rsid w:val="009A00F8"/>
    <w:rsid w:val="00A9728B"/>
    <w:rsid w:val="00B82898"/>
    <w:rsid w:val="00BB57BD"/>
    <w:rsid w:val="00BE7481"/>
    <w:rsid w:val="00C04871"/>
    <w:rsid w:val="00C56678"/>
    <w:rsid w:val="00CD1C6A"/>
    <w:rsid w:val="00D11A53"/>
    <w:rsid w:val="00D66938"/>
    <w:rsid w:val="00D92EE5"/>
    <w:rsid w:val="00DD2BBD"/>
    <w:rsid w:val="00EF1B80"/>
    <w:rsid w:val="00F54C14"/>
    <w:rsid w:val="00FB0176"/>
    <w:rsid w:val="00FC0582"/>
    <w:rsid w:val="00FE1B7F"/>
    <w:rsid w:val="00FF1CFA"/>
    <w:rsid w:val="018C095E"/>
    <w:rsid w:val="01AB5939"/>
    <w:rsid w:val="02633605"/>
    <w:rsid w:val="02913D1B"/>
    <w:rsid w:val="045F49E7"/>
    <w:rsid w:val="04854128"/>
    <w:rsid w:val="061A5470"/>
    <w:rsid w:val="06470303"/>
    <w:rsid w:val="064B2CB0"/>
    <w:rsid w:val="07434BE5"/>
    <w:rsid w:val="076601A7"/>
    <w:rsid w:val="0778608B"/>
    <w:rsid w:val="07E31550"/>
    <w:rsid w:val="09CF49A2"/>
    <w:rsid w:val="0A530C4F"/>
    <w:rsid w:val="0B974E6D"/>
    <w:rsid w:val="0BAC3645"/>
    <w:rsid w:val="0DEE7D08"/>
    <w:rsid w:val="115F04EC"/>
    <w:rsid w:val="15D1541F"/>
    <w:rsid w:val="17F70CE0"/>
    <w:rsid w:val="183F5345"/>
    <w:rsid w:val="18934C0E"/>
    <w:rsid w:val="1A55661F"/>
    <w:rsid w:val="1B1F6C2C"/>
    <w:rsid w:val="1E54610B"/>
    <w:rsid w:val="20F84CC6"/>
    <w:rsid w:val="230A5C9B"/>
    <w:rsid w:val="235C0EC3"/>
    <w:rsid w:val="244F4611"/>
    <w:rsid w:val="24AA0F8C"/>
    <w:rsid w:val="26B172D2"/>
    <w:rsid w:val="279938C3"/>
    <w:rsid w:val="28445183"/>
    <w:rsid w:val="29852351"/>
    <w:rsid w:val="2AD91DF4"/>
    <w:rsid w:val="2C636685"/>
    <w:rsid w:val="2CCC5957"/>
    <w:rsid w:val="2E1B3283"/>
    <w:rsid w:val="2F0913C9"/>
    <w:rsid w:val="2F48454C"/>
    <w:rsid w:val="300761B5"/>
    <w:rsid w:val="31610B38"/>
    <w:rsid w:val="31961AB9"/>
    <w:rsid w:val="33D47A42"/>
    <w:rsid w:val="343B743F"/>
    <w:rsid w:val="34D16D92"/>
    <w:rsid w:val="350E5DAF"/>
    <w:rsid w:val="365437D6"/>
    <w:rsid w:val="3A7B57D6"/>
    <w:rsid w:val="3B367055"/>
    <w:rsid w:val="3D361B23"/>
    <w:rsid w:val="3E8250E7"/>
    <w:rsid w:val="3F47037C"/>
    <w:rsid w:val="40111499"/>
    <w:rsid w:val="409F6214"/>
    <w:rsid w:val="40F2256A"/>
    <w:rsid w:val="41AE7F1F"/>
    <w:rsid w:val="446D64D7"/>
    <w:rsid w:val="44D0671E"/>
    <w:rsid w:val="45877724"/>
    <w:rsid w:val="45FF375F"/>
    <w:rsid w:val="46753A21"/>
    <w:rsid w:val="46AF05B5"/>
    <w:rsid w:val="471E3F3B"/>
    <w:rsid w:val="48730BE1"/>
    <w:rsid w:val="49F21B95"/>
    <w:rsid w:val="49F90AA3"/>
    <w:rsid w:val="4BC6087B"/>
    <w:rsid w:val="4BDF193C"/>
    <w:rsid w:val="4C133AD8"/>
    <w:rsid w:val="4F4240F9"/>
    <w:rsid w:val="4FFF262E"/>
    <w:rsid w:val="50445303"/>
    <w:rsid w:val="51621046"/>
    <w:rsid w:val="51C615D4"/>
    <w:rsid w:val="526A6404"/>
    <w:rsid w:val="56243368"/>
    <w:rsid w:val="57821E15"/>
    <w:rsid w:val="57B41ECF"/>
    <w:rsid w:val="581E443B"/>
    <w:rsid w:val="5BE24954"/>
    <w:rsid w:val="5D5A7075"/>
    <w:rsid w:val="5E2112AD"/>
    <w:rsid w:val="60A56859"/>
    <w:rsid w:val="613F2044"/>
    <w:rsid w:val="61812E22"/>
    <w:rsid w:val="62A44938"/>
    <w:rsid w:val="64242E1E"/>
    <w:rsid w:val="64AE7DCD"/>
    <w:rsid w:val="65186AA8"/>
    <w:rsid w:val="66CA77F2"/>
    <w:rsid w:val="67BB4BB4"/>
    <w:rsid w:val="680C56FF"/>
    <w:rsid w:val="69C253FB"/>
    <w:rsid w:val="6A0E629C"/>
    <w:rsid w:val="6A626A69"/>
    <w:rsid w:val="6B100BEE"/>
    <w:rsid w:val="6B1860D6"/>
    <w:rsid w:val="6B4E646B"/>
    <w:rsid w:val="6BE40B7D"/>
    <w:rsid w:val="6C24541E"/>
    <w:rsid w:val="6CD3462C"/>
    <w:rsid w:val="6CDE3BFC"/>
    <w:rsid w:val="6D016025"/>
    <w:rsid w:val="6D301BA0"/>
    <w:rsid w:val="71D0222D"/>
    <w:rsid w:val="72501BF8"/>
    <w:rsid w:val="72A72905"/>
    <w:rsid w:val="73C117A4"/>
    <w:rsid w:val="74560DC5"/>
    <w:rsid w:val="7B4A6691"/>
    <w:rsid w:val="7CF91FAF"/>
    <w:rsid w:val="7F121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line="278" w:lineRule="auto"/>
      <w:ind w:firstLine="200" w:firstLineChars="200"/>
      <w:jc w:val="both"/>
    </w:pPr>
    <w:rPr>
      <w:rFonts w:ascii="Times New Roman" w:hAnsi="Times New Roman" w:eastAsia="仿宋_GB2312" w:cstheme="minorBidi"/>
      <w:kern w:val="2"/>
      <w:sz w:val="24"/>
      <w:szCs w:val="24"/>
      <w:lang w:val="en-US" w:eastAsia="zh-CN" w:bidi="ar-SA"/>
      <w14:ligatures w14:val="none"/>
    </w:rPr>
  </w:style>
  <w:style w:type="paragraph" w:styleId="3">
    <w:name w:val="heading 1"/>
    <w:basedOn w:val="1"/>
    <w:next w:val="1"/>
    <w:link w:val="18"/>
    <w:qFormat/>
    <w:uiPriority w:val="9"/>
    <w:pPr>
      <w:spacing w:before="50" w:beforeLines="50" w:after="50" w:afterLines="50"/>
      <w:jc w:val="left"/>
      <w:outlineLvl w:val="0"/>
    </w:pPr>
    <w:rPr>
      <w:rFonts w:ascii="宋体" w:hAnsi="宋体" w:eastAsia="方正小标宋简体" w:cs="Times New Roman"/>
      <w:b/>
      <w:bCs/>
      <w:kern w:val="44"/>
      <w:sz w:val="32"/>
      <w:szCs w:val="48"/>
    </w:rPr>
  </w:style>
  <w:style w:type="paragraph" w:styleId="4">
    <w:name w:val="heading 2"/>
    <w:basedOn w:val="1"/>
    <w:next w:val="1"/>
    <w:link w:val="19"/>
    <w:unhideWhenUsed/>
    <w:qFormat/>
    <w:uiPriority w:val="9"/>
    <w:pPr>
      <w:tabs>
        <w:tab w:val="left" w:pos="426"/>
        <w:tab w:val="left" w:pos="993"/>
      </w:tabs>
      <w:spacing w:before="50" w:beforeLines="50" w:after="50" w:afterLines="50"/>
      <w:ind w:firstLine="0" w:firstLineChars="0"/>
      <w:jc w:val="left"/>
      <w:outlineLvl w:val="1"/>
    </w:pPr>
    <w:rPr>
      <w:rFonts w:ascii="宋体" w:hAnsi="宋体"/>
      <w:b/>
      <w:bCs/>
      <w:sz w:val="28"/>
      <w:szCs w:val="36"/>
      <w14:ligatures w14:val="standardContextual"/>
    </w:rPr>
  </w:style>
  <w:style w:type="paragraph" w:styleId="5">
    <w:name w:val="heading 3"/>
    <w:basedOn w:val="1"/>
    <w:next w:val="1"/>
    <w:link w:val="21"/>
    <w:unhideWhenUsed/>
    <w:qFormat/>
    <w:uiPriority w:val="9"/>
    <w:pPr>
      <w:keepNext/>
      <w:keepLines/>
      <w:numPr>
        <w:ilvl w:val="0"/>
        <w:numId w:val="1"/>
      </w:numPr>
      <w:ind w:firstLine="0" w:firstLineChars="0"/>
      <w:outlineLvl w:val="2"/>
    </w:pPr>
    <w:rPr>
      <w:rFonts w:asciiTheme="minorHAnsi" w:hAnsiTheme="minorHAnsi"/>
      <w14:ligatures w14:val="standardContextual"/>
    </w:rPr>
  </w:style>
  <w:style w:type="paragraph" w:styleId="6">
    <w:name w:val="heading 4"/>
    <w:basedOn w:val="1"/>
    <w:next w:val="1"/>
    <w:link w:val="20"/>
    <w:semiHidden/>
    <w:unhideWhenUsed/>
    <w:qFormat/>
    <w:uiPriority w:val="9"/>
    <w:pPr>
      <w:keepNext/>
      <w:keepLines/>
      <w:spacing w:line="240" w:lineRule="exact"/>
      <w:outlineLvl w:val="3"/>
    </w:pPr>
    <w:rPr>
      <w:rFonts w:cstheme="majorBidi"/>
      <w:szCs w:val="28"/>
    </w:rPr>
  </w:style>
  <w:style w:type="paragraph" w:styleId="7">
    <w:name w:val="heading 5"/>
    <w:basedOn w:val="1"/>
    <w:next w:val="1"/>
    <w:link w:val="23"/>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rPr>
  </w:style>
  <w:style w:type="paragraph" w:styleId="8">
    <w:name w:val="heading 6"/>
    <w:basedOn w:val="1"/>
    <w:next w:val="1"/>
    <w:link w:val="24"/>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9">
    <w:name w:val="heading 7"/>
    <w:basedOn w:val="1"/>
    <w:next w:val="1"/>
    <w:link w:val="25"/>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6"/>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7"/>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6"/>
    <w:qFormat/>
    <w:uiPriority w:val="0"/>
    <w:pPr>
      <w:spacing w:after="120" w:line="240" w:lineRule="auto"/>
      <w:ind w:firstLine="0" w:firstLineChars="0"/>
    </w:pPr>
    <w:rPr>
      <w:rFonts w:eastAsiaTheme="minorEastAsia"/>
      <w:kern w:val="0"/>
      <w:sz w:val="20"/>
      <w:lang w:val="zh-CN"/>
    </w:rPr>
  </w:style>
  <w:style w:type="paragraph" w:styleId="12">
    <w:name w:val="Subtitle"/>
    <w:basedOn w:val="1"/>
    <w:next w:val="1"/>
    <w:link w:val="28"/>
    <w:qFormat/>
    <w:uiPriority w:val="11"/>
    <w:pPr>
      <w:spacing w:after="160"/>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Title"/>
    <w:basedOn w:val="1"/>
    <w:next w:val="1"/>
    <w:link w:val="22"/>
    <w:qFormat/>
    <w:uiPriority w:val="0"/>
    <w:pPr>
      <w:spacing w:before="240" w:after="60" w:line="279" w:lineRule="auto"/>
      <w:jc w:val="center"/>
      <w:outlineLvl w:val="0"/>
    </w:pPr>
    <w:rPr>
      <w:rFonts w:eastAsia="方正小标宋简体" w:asciiTheme="majorHAnsi" w:hAnsiTheme="majorHAnsi" w:cstheme="majorBidi"/>
      <w:b/>
      <w:bCs/>
      <w:sz w:val="32"/>
      <w:szCs w:val="32"/>
    </w:rPr>
  </w:style>
  <w:style w:type="table" w:styleId="15">
    <w:name w:val="Table Grid"/>
    <w:basedOn w:val="14"/>
    <w:qFormat/>
    <w:uiPriority w:val="39"/>
    <w:pPr>
      <w:spacing w:after="0" w:line="240" w:lineRule="auto"/>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customStyle="1" w:styleId="18">
    <w:name w:val="标题 1 字符"/>
    <w:basedOn w:val="16"/>
    <w:link w:val="3"/>
    <w:qFormat/>
    <w:uiPriority w:val="0"/>
    <w:rPr>
      <w:rFonts w:ascii="宋体" w:hAnsi="宋体" w:eastAsia="方正小标宋简体" w:cs="Times New Roman"/>
      <w:b/>
      <w:bCs/>
      <w:kern w:val="44"/>
      <w:sz w:val="32"/>
      <w:szCs w:val="48"/>
      <w14:ligatures w14:val="none"/>
    </w:rPr>
  </w:style>
  <w:style w:type="character" w:customStyle="1" w:styleId="19">
    <w:name w:val="标题 2 字符"/>
    <w:basedOn w:val="16"/>
    <w:link w:val="4"/>
    <w:qFormat/>
    <w:uiPriority w:val="9"/>
    <w:rPr>
      <w:rFonts w:ascii="宋体" w:hAnsi="宋体" w:eastAsia="仿宋_GB2312"/>
      <w:b/>
      <w:bCs/>
      <w:sz w:val="28"/>
      <w:szCs w:val="36"/>
    </w:rPr>
  </w:style>
  <w:style w:type="character" w:customStyle="1" w:styleId="20">
    <w:name w:val="标题 4 字符"/>
    <w:basedOn w:val="16"/>
    <w:link w:val="6"/>
    <w:semiHidden/>
    <w:qFormat/>
    <w:uiPriority w:val="9"/>
    <w:rPr>
      <w:rFonts w:ascii="Times New Roman" w:hAnsi="Times New Roman" w:eastAsia="仿宋_GB2312" w:cstheme="majorBidi"/>
      <w:sz w:val="28"/>
      <w:szCs w:val="28"/>
    </w:rPr>
  </w:style>
  <w:style w:type="character" w:customStyle="1" w:styleId="21">
    <w:name w:val="标题 3 字符"/>
    <w:basedOn w:val="16"/>
    <w:link w:val="5"/>
    <w:qFormat/>
    <w:uiPriority w:val="9"/>
    <w:rPr>
      <w:rFonts w:eastAsia="仿宋_GB2312"/>
      <w:sz w:val="24"/>
    </w:rPr>
  </w:style>
  <w:style w:type="character" w:customStyle="1" w:styleId="22">
    <w:name w:val="标题 字符"/>
    <w:basedOn w:val="16"/>
    <w:link w:val="13"/>
    <w:qFormat/>
    <w:uiPriority w:val="0"/>
    <w:rPr>
      <w:rFonts w:eastAsia="方正小标宋简体" w:asciiTheme="majorHAnsi" w:hAnsiTheme="majorHAnsi" w:cstheme="majorBidi"/>
      <w:b/>
      <w:bCs/>
      <w:sz w:val="32"/>
      <w:szCs w:val="32"/>
    </w:rPr>
  </w:style>
  <w:style w:type="character" w:customStyle="1" w:styleId="23">
    <w:name w:val="标题 5 字符"/>
    <w:basedOn w:val="16"/>
    <w:link w:val="7"/>
    <w:semiHidden/>
    <w:qFormat/>
    <w:uiPriority w:val="9"/>
    <w:rPr>
      <w:rFonts w:cstheme="majorBidi"/>
      <w:color w:val="104862" w:themeColor="accent1" w:themeShade="BF"/>
      <w:sz w:val="24"/>
      <w14:ligatures w14:val="none"/>
    </w:rPr>
  </w:style>
  <w:style w:type="character" w:customStyle="1" w:styleId="24">
    <w:name w:val="标题 6 字符"/>
    <w:basedOn w:val="16"/>
    <w:link w:val="8"/>
    <w:semiHidden/>
    <w:qFormat/>
    <w:uiPriority w:val="9"/>
    <w:rPr>
      <w:rFonts w:cstheme="majorBidi"/>
      <w:b/>
      <w:bCs/>
      <w:color w:val="104862" w:themeColor="accent1" w:themeShade="BF"/>
      <w:sz w:val="24"/>
      <w14:ligatures w14:val="none"/>
    </w:rPr>
  </w:style>
  <w:style w:type="character" w:customStyle="1" w:styleId="25">
    <w:name w:val="标题 7 字符"/>
    <w:basedOn w:val="16"/>
    <w:link w:val="9"/>
    <w:semiHidden/>
    <w:qFormat/>
    <w:uiPriority w:val="9"/>
    <w:rPr>
      <w:rFonts w:cstheme="majorBidi"/>
      <w:b/>
      <w:bCs/>
      <w:color w:val="595959" w:themeColor="text1" w:themeTint="A6"/>
      <w:sz w:val="24"/>
      <w14:textFill>
        <w14:solidFill>
          <w14:schemeClr w14:val="tx1">
            <w14:lumMod w14:val="65000"/>
            <w14:lumOff w14:val="35000"/>
          </w14:schemeClr>
        </w14:solidFill>
      </w14:textFill>
      <w14:ligatures w14:val="none"/>
    </w:rPr>
  </w:style>
  <w:style w:type="character" w:customStyle="1" w:styleId="26">
    <w:name w:val="标题 8 字符"/>
    <w:basedOn w:val="16"/>
    <w:link w:val="10"/>
    <w:semiHidden/>
    <w:qFormat/>
    <w:uiPriority w:val="9"/>
    <w:rPr>
      <w:rFonts w:cstheme="majorBidi"/>
      <w:color w:val="595959" w:themeColor="text1" w:themeTint="A6"/>
      <w:sz w:val="24"/>
      <w14:textFill>
        <w14:solidFill>
          <w14:schemeClr w14:val="tx1">
            <w14:lumMod w14:val="65000"/>
            <w14:lumOff w14:val="35000"/>
          </w14:schemeClr>
        </w14:solidFill>
      </w14:textFill>
      <w14:ligatures w14:val="none"/>
    </w:rPr>
  </w:style>
  <w:style w:type="character" w:customStyle="1" w:styleId="27">
    <w:name w:val="标题 9 字符"/>
    <w:basedOn w:val="16"/>
    <w:link w:val="11"/>
    <w:semiHidden/>
    <w:qFormat/>
    <w:uiPriority w:val="9"/>
    <w:rPr>
      <w:rFonts w:eastAsiaTheme="majorEastAsia" w:cstheme="majorBidi"/>
      <w:color w:val="595959" w:themeColor="text1" w:themeTint="A6"/>
      <w:sz w:val="24"/>
      <w14:textFill>
        <w14:solidFill>
          <w14:schemeClr w14:val="tx1">
            <w14:lumMod w14:val="65000"/>
            <w14:lumOff w14:val="35000"/>
          </w14:schemeClr>
        </w14:solidFill>
      </w14:textFill>
      <w14:ligatures w14:val="none"/>
    </w:rPr>
  </w:style>
  <w:style w:type="character" w:customStyle="1" w:styleId="28">
    <w:name w:val="副标题 字符"/>
    <w:basedOn w:val="16"/>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none"/>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rFonts w:ascii="Times New Roman" w:hAnsi="Times New Roman" w:eastAsia="仿宋_GB2312"/>
      <w:i/>
      <w:iCs/>
      <w:color w:val="404040" w:themeColor="text1" w:themeTint="BF"/>
      <w:sz w:val="24"/>
      <w14:textFill>
        <w14:solidFill>
          <w14:schemeClr w14:val="tx1">
            <w14:lumMod w14:val="75000"/>
            <w14:lumOff w14:val="25000"/>
          </w14:schemeClr>
        </w14:solidFill>
      </w14:textFill>
      <w14:ligatures w14:val="none"/>
    </w:rPr>
  </w:style>
  <w:style w:type="paragraph" w:styleId="31">
    <w:name w:val="List Paragraph"/>
    <w:basedOn w:val="1"/>
    <w:qFormat/>
    <w:uiPriority w:val="34"/>
    <w:pPr>
      <w:ind w:left="720"/>
      <w:contextualSpacing/>
    </w:pPr>
  </w:style>
  <w:style w:type="character" w:customStyle="1" w:styleId="32">
    <w:name w:val="Intense Emphasis"/>
    <w:basedOn w:val="16"/>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6"/>
    <w:link w:val="33"/>
    <w:qFormat/>
    <w:uiPriority w:val="30"/>
    <w:rPr>
      <w:rFonts w:ascii="Times New Roman" w:hAnsi="Times New Roman" w:eastAsia="仿宋_GB2312"/>
      <w:i/>
      <w:iCs/>
      <w:color w:val="104862" w:themeColor="accent1" w:themeShade="BF"/>
      <w:sz w:val="24"/>
      <w14:ligatures w14:val="none"/>
    </w:rPr>
  </w:style>
  <w:style w:type="character" w:customStyle="1" w:styleId="35">
    <w:name w:val="Intense Reference"/>
    <w:basedOn w:val="16"/>
    <w:qFormat/>
    <w:uiPriority w:val="32"/>
    <w:rPr>
      <w:b/>
      <w:bCs/>
      <w:smallCaps/>
      <w:color w:val="104862" w:themeColor="accent1" w:themeShade="BF"/>
      <w:spacing w:val="5"/>
    </w:rPr>
  </w:style>
  <w:style w:type="character" w:customStyle="1" w:styleId="36">
    <w:name w:val="正文文本 字符"/>
    <w:basedOn w:val="16"/>
    <w:link w:val="2"/>
    <w:qFormat/>
    <w:uiPriority w:val="0"/>
    <w:rPr>
      <w:rFonts w:ascii="Times New Roman" w:hAnsi="Times New Roman"/>
      <w:kern w:val="0"/>
      <w:sz w:val="20"/>
      <w:lang w:val="zh-CN"/>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21</Pages>
  <Words>743</Words>
  <Characters>758</Characters>
  <Lines>222</Lines>
  <Paragraphs>143</Paragraphs>
  <TotalTime>0</TotalTime>
  <ScaleCrop>false</ScaleCrop>
  <LinksUpToDate>false</LinksUpToDate>
  <CharactersWithSpaces>760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2026-09-07T07:34:00Z</dcterms:created>
  <dc:creator>. 欲见</dc:creator>
  <cp:lastModifiedBy>石继辉</cp:lastModifiedBy>
  <dcterms:modified xsi:type="dcterms:W3CDTF">2026-11-06T01:56:15Z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eyJoZGlkIjoiYmRlNGQ1ZjU3MjI2Mjc5OGQyNmEwZjVkN2FlOTUyMGQiLCJ1c2VySWQiOiIxOTA3NDYxNzg4In0=</vt:lpwstr>
  </property>
  <property fmtid="{D5CDD505-2E9C-101B-9397-08002B2CF9AE}" pid="3" name="KSOProductBuildVer">
    <vt:lpwstr>2052-12.1.0.29161</vt:lpwstr>
  </property>
  <property fmtid="{D5CDD505-2E9C-101B-9397-08002B2CF9AE}" pid="4" name="ICV">
    <vt:lpwstr>AE0AEC67469D4F778094BED8D2ABDF7E_13</vt:lpwstr>
  </property>
</Properties>
</file>