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C693E">
      <w:pPr>
        <w:keepNext/>
        <w:keepLines/>
        <w:spacing w:line="312" w:lineRule="auto"/>
        <w:jc w:val="center"/>
        <w:rPr>
          <w:rFonts w:hint="eastAsia" w:ascii="宋体" w:hAnsi="宋体" w:eastAsia="宋体" w:cs="微软雅黑"/>
          <w:b/>
          <w:bCs/>
          <w:kern w:val="44"/>
          <w:sz w:val="36"/>
          <w:szCs w:val="36"/>
        </w:rPr>
      </w:pPr>
      <w:bookmarkStart w:id="0" w:name="_Toc344816509"/>
      <w:r>
        <w:rPr>
          <w:rFonts w:hint="eastAsia" w:ascii="宋体" w:hAnsi="宋体" w:eastAsia="宋体" w:cs="微软雅黑"/>
          <w:b/>
          <w:bCs/>
          <w:kern w:val="44"/>
          <w:sz w:val="36"/>
          <w:szCs w:val="36"/>
        </w:rPr>
        <w:t>柳州市</w:t>
      </w:r>
      <w:r>
        <w:rPr>
          <w:rFonts w:ascii="宋体" w:hAnsi="宋体" w:eastAsia="宋体" w:cs="微软雅黑"/>
          <w:b/>
          <w:bCs/>
          <w:kern w:val="44"/>
          <w:sz w:val="36"/>
          <w:szCs w:val="36"/>
        </w:rPr>
        <w:t>工人医院</w:t>
      </w:r>
      <w:r>
        <w:rPr>
          <w:rFonts w:hint="eastAsia" w:ascii="宋体" w:hAnsi="宋体" w:eastAsia="宋体" w:cs="微软雅黑"/>
          <w:b/>
          <w:bCs/>
          <w:kern w:val="44"/>
          <w:sz w:val="36"/>
          <w:szCs w:val="36"/>
        </w:rPr>
        <w:t>智慧病房护理能力提升信息系统</w:t>
      </w:r>
    </w:p>
    <w:p w14:paraId="5AFA6AA2">
      <w:pPr>
        <w:keepNext/>
        <w:keepLines/>
        <w:spacing w:line="312" w:lineRule="auto"/>
        <w:jc w:val="center"/>
        <w:rPr>
          <w:rFonts w:ascii="宋体" w:hAnsi="宋体" w:eastAsia="宋体" w:cs="微软雅黑"/>
          <w:b/>
          <w:bCs/>
          <w:kern w:val="44"/>
          <w:sz w:val="36"/>
          <w:szCs w:val="36"/>
        </w:rPr>
      </w:pPr>
      <w:r>
        <w:rPr>
          <w:rFonts w:hint="eastAsia" w:ascii="宋体" w:hAnsi="宋体" w:eastAsia="宋体" w:cs="微软雅黑"/>
          <w:b/>
          <w:bCs/>
          <w:kern w:val="44"/>
          <w:sz w:val="36"/>
          <w:szCs w:val="36"/>
        </w:rPr>
        <w:t>技术参数要求</w:t>
      </w:r>
    </w:p>
    <w:p w14:paraId="4B85C6B5">
      <w:pPr>
        <w:keepNext/>
        <w:keepLines/>
        <w:spacing w:line="312" w:lineRule="auto"/>
        <w:ind w:left="420" w:leftChars="200"/>
        <w:jc w:val="left"/>
        <w:rPr>
          <w:rFonts w:ascii="宋体" w:hAnsi="宋体" w:eastAsia="宋体" w:cs="微软雅黑"/>
          <w:b/>
          <w:bCs/>
          <w:kern w:val="44"/>
          <w:sz w:val="24"/>
          <w:szCs w:val="24"/>
        </w:rPr>
      </w:pPr>
    </w:p>
    <w:bookmarkEnd w:id="0"/>
    <w:p w14:paraId="047B2A98">
      <w:pPr>
        <w:pStyle w:val="3"/>
        <w:numPr>
          <w:ilvl w:val="0"/>
          <w:numId w:val="0"/>
        </w:numPr>
        <w:spacing w:before="0" w:after="0" w:line="312" w:lineRule="auto"/>
        <w:rPr>
          <w:rFonts w:hint="eastAsia" w:ascii="宋体" w:hAnsi="宋体"/>
          <w:bCs w:val="0"/>
          <w:sz w:val="32"/>
          <w:szCs w:val="32"/>
          <w:lang w:val="en-US"/>
        </w:rPr>
      </w:pPr>
      <w:r>
        <w:rPr>
          <w:rFonts w:hint="eastAsia" w:ascii="宋体" w:hAnsi="宋体"/>
          <w:bCs w:val="0"/>
          <w:sz w:val="32"/>
          <w:szCs w:val="32"/>
          <w:lang w:val="en-US" w:eastAsia="zh-CN"/>
        </w:rPr>
        <w:t>一、</w:t>
      </w:r>
      <w:r>
        <w:rPr>
          <w:rFonts w:hint="eastAsia" w:ascii="宋体" w:hAnsi="宋体"/>
          <w:bCs w:val="0"/>
          <w:sz w:val="32"/>
          <w:szCs w:val="32"/>
          <w:lang w:val="en-US"/>
        </w:rPr>
        <w:t>项目背景</w:t>
      </w:r>
    </w:p>
    <w:p w14:paraId="122672C8">
      <w:pPr>
        <w:spacing w:line="312" w:lineRule="auto"/>
        <w:ind w:firstLine="420" w:firstLineChars="0"/>
        <w:rPr>
          <w:rFonts w:ascii="宋体" w:hAnsi="宋体" w:eastAsia="宋体"/>
          <w:sz w:val="24"/>
          <w:szCs w:val="24"/>
        </w:rPr>
      </w:pPr>
      <w:r>
        <w:rPr>
          <w:rFonts w:hint="eastAsia" w:ascii="宋体" w:hAnsi="宋体" w:eastAsia="宋体"/>
          <w:sz w:val="24"/>
          <w:szCs w:val="24"/>
        </w:rPr>
        <w:t>当前老龄化程度持续加深，住院老年患者常合并意识障碍、肢体活动障碍、夜间躁动等问题，住院期间存在跌倒、坠床、走失、压力性损伤、输液异常等多重安全风险。传统护理主要依靠护士定时人工巡视、手工登记，无法实现全天候不间断监测，风险预警存在短板，现有护理模式难以满足老年患者安全保障需要。为落实我院老年护理区级重点专科建设任务，构建智慧化老年护理服务模式，推动护理服务智能化转型，实现病区患者监测数据、风险事件全局可视化管理，为专科教学科研、管理决策提供客观数据支撑，拟采购智慧病房护理能力提升信息系统（含软件平台及配套硬件设备）。项目依托物联网数字化技术优化护理工作流程，强化患者安全智能预警，持续改善老年患者就医体验，提升专科护理服务质量。</w:t>
      </w:r>
    </w:p>
    <w:p w14:paraId="67CDB5F6">
      <w:pPr>
        <w:pStyle w:val="3"/>
        <w:numPr>
          <w:ilvl w:val="0"/>
          <w:numId w:val="0"/>
        </w:numPr>
        <w:spacing w:before="0" w:after="0" w:line="312" w:lineRule="auto"/>
        <w:rPr>
          <w:rFonts w:hint="eastAsia" w:ascii="宋体" w:hAnsi="宋体"/>
          <w:bCs w:val="0"/>
          <w:sz w:val="32"/>
          <w:szCs w:val="32"/>
          <w:lang w:val="en-US"/>
        </w:rPr>
      </w:pPr>
      <w:r>
        <w:rPr>
          <w:rFonts w:hint="eastAsia" w:ascii="宋体" w:hAnsi="宋体"/>
          <w:bCs w:val="0"/>
          <w:sz w:val="32"/>
          <w:szCs w:val="32"/>
          <w:lang w:val="en-US"/>
        </w:rPr>
        <w:t>二、项目建设内容及要求</w:t>
      </w:r>
    </w:p>
    <w:tbl>
      <w:tblPr>
        <w:tblStyle w:val="7"/>
        <w:tblW w:w="83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073"/>
        <w:gridCol w:w="1425"/>
        <w:gridCol w:w="3990"/>
        <w:gridCol w:w="1067"/>
      </w:tblGrid>
      <w:tr w14:paraId="3D13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BFBFBF"/>
            <w:noWrap/>
            <w:vAlign w:val="center"/>
          </w:tcPr>
          <w:p w14:paraId="10759DE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1073" w:type="dxa"/>
            <w:shd w:val="clear" w:color="auto" w:fill="BFBFBF"/>
            <w:noWrap/>
            <w:vAlign w:val="center"/>
          </w:tcPr>
          <w:p w14:paraId="595C91C5">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模块</w:t>
            </w:r>
          </w:p>
        </w:tc>
        <w:tc>
          <w:tcPr>
            <w:tcW w:w="1425" w:type="dxa"/>
            <w:shd w:val="clear" w:color="auto" w:fill="BFBFBF"/>
            <w:noWrap/>
            <w:vAlign w:val="center"/>
          </w:tcPr>
          <w:p w14:paraId="72725F4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功能</w:t>
            </w:r>
          </w:p>
        </w:tc>
        <w:tc>
          <w:tcPr>
            <w:tcW w:w="3990" w:type="dxa"/>
            <w:shd w:val="clear" w:color="auto" w:fill="BFBFBF"/>
            <w:vAlign w:val="center"/>
          </w:tcPr>
          <w:p w14:paraId="763B9E86">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内涵描述</w:t>
            </w:r>
          </w:p>
        </w:tc>
        <w:tc>
          <w:tcPr>
            <w:tcW w:w="1067" w:type="dxa"/>
            <w:shd w:val="clear" w:color="auto" w:fill="BFBFBF"/>
            <w:vAlign w:val="center"/>
          </w:tcPr>
          <w:p w14:paraId="657285FE">
            <w:pPr>
              <w:widowControl/>
              <w:jc w:val="center"/>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备注</w:t>
            </w:r>
          </w:p>
        </w:tc>
      </w:tr>
      <w:tr w14:paraId="1491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21" w:type="dxa"/>
            <w:gridSpan w:val="5"/>
            <w:shd w:val="clear" w:color="auto" w:fill="auto"/>
            <w:noWrap/>
            <w:vAlign w:val="center"/>
          </w:tcPr>
          <w:p w14:paraId="71743997">
            <w:pPr>
              <w:widowControl/>
              <w:jc w:val="left"/>
              <w:textAlignment w:val="top"/>
              <w:rPr>
                <w:rFonts w:hint="eastAsia" w:ascii="宋体" w:hAnsi="宋体" w:eastAsia="宋体" w:cs="宋体"/>
                <w:kern w:val="0"/>
                <w:sz w:val="24"/>
                <w:szCs w:val="24"/>
                <w:lang w:bidi="ar"/>
              </w:rPr>
            </w:pPr>
            <w:r>
              <w:rPr>
                <w:rFonts w:hint="eastAsia" w:ascii="宋体" w:hAnsi="宋体" w:eastAsia="宋体" w:cs="宋体"/>
                <w:kern w:val="0"/>
                <w:sz w:val="24"/>
                <w:szCs w:val="24"/>
                <w:lang w:bidi="ar"/>
              </w:rPr>
              <w:t>（一）、无线输液监测系统</w:t>
            </w:r>
          </w:p>
        </w:tc>
      </w:tr>
      <w:tr w14:paraId="252A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noWrap/>
            <w:vAlign w:val="center"/>
          </w:tcPr>
          <w:p w14:paraId="2377B65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w:t>
            </w:r>
          </w:p>
        </w:tc>
        <w:tc>
          <w:tcPr>
            <w:tcW w:w="1073" w:type="dxa"/>
            <w:shd w:val="clear" w:color="auto" w:fill="auto"/>
            <w:noWrap/>
            <w:vAlign w:val="center"/>
          </w:tcPr>
          <w:p w14:paraId="1FD2C1CB">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监控中心</w:t>
            </w:r>
          </w:p>
        </w:tc>
        <w:tc>
          <w:tcPr>
            <w:tcW w:w="1425" w:type="dxa"/>
            <w:shd w:val="clear" w:color="auto" w:fill="auto"/>
            <w:noWrap/>
            <w:vAlign w:val="center"/>
          </w:tcPr>
          <w:p w14:paraId="32F3777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监控中心 </w:t>
            </w:r>
          </w:p>
        </w:tc>
        <w:tc>
          <w:tcPr>
            <w:tcW w:w="3990" w:type="dxa"/>
            <w:shd w:val="clear" w:color="auto" w:fill="auto"/>
          </w:tcPr>
          <w:p w14:paraId="27A3D255">
            <w:pPr>
              <w:widowControl/>
              <w:jc w:val="left"/>
              <w:textAlignment w:val="top"/>
              <w:rPr>
                <w:rFonts w:hint="eastAsia" w:ascii="宋体" w:hAnsi="宋体" w:eastAsia="宋体" w:cs="宋体"/>
                <w:sz w:val="24"/>
                <w:szCs w:val="24"/>
              </w:rPr>
            </w:pPr>
            <w:r>
              <w:rPr>
                <w:rFonts w:hint="eastAsia" w:ascii="宋体" w:hAnsi="宋体" w:eastAsia="宋体" w:cs="宋体"/>
                <w:kern w:val="0"/>
                <w:sz w:val="24"/>
                <w:szCs w:val="24"/>
                <w:lang w:bidi="ar"/>
              </w:rPr>
              <w:t>Web端通过图形化展示全病区患者输液状态实时数据，含后台计算逻辑</w:t>
            </w:r>
          </w:p>
        </w:tc>
        <w:tc>
          <w:tcPr>
            <w:tcW w:w="1067" w:type="dxa"/>
            <w:shd w:val="clear" w:color="auto" w:fill="auto"/>
          </w:tcPr>
          <w:p w14:paraId="15C73980">
            <w:pPr>
              <w:widowControl/>
              <w:jc w:val="left"/>
              <w:textAlignment w:val="top"/>
              <w:rPr>
                <w:rFonts w:hint="eastAsia" w:ascii="宋体" w:hAnsi="宋体" w:eastAsia="宋体" w:cs="宋体"/>
                <w:kern w:val="0"/>
                <w:sz w:val="24"/>
                <w:szCs w:val="24"/>
                <w:lang w:bidi="ar"/>
              </w:rPr>
            </w:pPr>
          </w:p>
        </w:tc>
      </w:tr>
      <w:tr w14:paraId="237B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06F76E4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w:t>
            </w:r>
          </w:p>
        </w:tc>
        <w:tc>
          <w:tcPr>
            <w:tcW w:w="1073" w:type="dxa"/>
            <w:vMerge w:val="restart"/>
            <w:shd w:val="clear" w:color="auto" w:fill="auto"/>
            <w:noWrap/>
            <w:vAlign w:val="center"/>
          </w:tcPr>
          <w:p w14:paraId="152D8FF6">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基础配</w:t>
            </w:r>
          </w:p>
          <w:p w14:paraId="2BAB1EAF">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置 </w:t>
            </w:r>
          </w:p>
        </w:tc>
        <w:tc>
          <w:tcPr>
            <w:tcW w:w="1425" w:type="dxa"/>
            <w:shd w:val="clear" w:color="auto" w:fill="auto"/>
            <w:noWrap/>
            <w:vAlign w:val="center"/>
          </w:tcPr>
          <w:p w14:paraId="24B3260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传感器管理 </w:t>
            </w:r>
          </w:p>
        </w:tc>
        <w:tc>
          <w:tcPr>
            <w:tcW w:w="3990" w:type="dxa"/>
            <w:shd w:val="clear" w:color="auto" w:fill="auto"/>
            <w:vAlign w:val="center"/>
          </w:tcPr>
          <w:p w14:paraId="13A14F4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维护传感器列表，分配归属科室，传感器版本、电量、在离线管理</w:t>
            </w:r>
          </w:p>
        </w:tc>
        <w:tc>
          <w:tcPr>
            <w:tcW w:w="1067" w:type="dxa"/>
            <w:shd w:val="clear" w:color="auto" w:fill="auto"/>
            <w:vAlign w:val="center"/>
          </w:tcPr>
          <w:p w14:paraId="7D621D03">
            <w:pPr>
              <w:widowControl/>
              <w:jc w:val="left"/>
              <w:textAlignment w:val="center"/>
              <w:rPr>
                <w:rFonts w:hint="eastAsia" w:ascii="宋体" w:hAnsi="宋体" w:eastAsia="宋体" w:cs="宋体"/>
                <w:color w:val="000000"/>
                <w:kern w:val="0"/>
                <w:sz w:val="24"/>
                <w:szCs w:val="24"/>
                <w:lang w:bidi="ar"/>
              </w:rPr>
            </w:pPr>
          </w:p>
        </w:tc>
      </w:tr>
      <w:tr w14:paraId="01C1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75F11ADE">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15F26574">
            <w:pPr>
              <w:jc w:val="center"/>
              <w:rPr>
                <w:rFonts w:hint="eastAsia" w:ascii="宋体" w:hAnsi="宋体" w:eastAsia="宋体" w:cs="宋体"/>
                <w:color w:val="000000"/>
                <w:sz w:val="24"/>
                <w:szCs w:val="24"/>
              </w:rPr>
            </w:pPr>
          </w:p>
        </w:tc>
        <w:tc>
          <w:tcPr>
            <w:tcW w:w="1425" w:type="dxa"/>
            <w:shd w:val="clear" w:color="auto" w:fill="auto"/>
            <w:noWrap/>
            <w:vAlign w:val="center"/>
          </w:tcPr>
          <w:p w14:paraId="0D7C3E0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病区管理 </w:t>
            </w:r>
          </w:p>
        </w:tc>
        <w:tc>
          <w:tcPr>
            <w:tcW w:w="3990" w:type="dxa"/>
            <w:shd w:val="clear" w:color="auto" w:fill="auto"/>
            <w:vAlign w:val="center"/>
          </w:tcPr>
          <w:p w14:paraId="669183C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系统中添加、删除、编辑医院科室名称、病区、病区编码，并对病区和护士长、护士的用户管理权限做关联匹配</w:t>
            </w:r>
          </w:p>
        </w:tc>
        <w:tc>
          <w:tcPr>
            <w:tcW w:w="1067" w:type="dxa"/>
            <w:shd w:val="clear" w:color="auto" w:fill="auto"/>
            <w:vAlign w:val="center"/>
          </w:tcPr>
          <w:p w14:paraId="0B22F6F6">
            <w:pPr>
              <w:widowControl/>
              <w:jc w:val="left"/>
              <w:textAlignment w:val="center"/>
              <w:rPr>
                <w:rFonts w:hint="eastAsia" w:ascii="宋体" w:hAnsi="宋体" w:eastAsia="宋体" w:cs="宋体"/>
                <w:color w:val="000000"/>
                <w:kern w:val="0"/>
                <w:sz w:val="24"/>
                <w:szCs w:val="24"/>
                <w:lang w:bidi="ar"/>
              </w:rPr>
            </w:pPr>
          </w:p>
        </w:tc>
      </w:tr>
      <w:tr w14:paraId="6E3C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088F6039">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3C7200B9">
            <w:pPr>
              <w:jc w:val="center"/>
              <w:rPr>
                <w:rFonts w:hint="eastAsia" w:ascii="宋体" w:hAnsi="宋体" w:eastAsia="宋体" w:cs="宋体"/>
                <w:color w:val="000000"/>
                <w:sz w:val="24"/>
                <w:szCs w:val="24"/>
              </w:rPr>
            </w:pPr>
          </w:p>
        </w:tc>
        <w:tc>
          <w:tcPr>
            <w:tcW w:w="1425" w:type="dxa"/>
            <w:shd w:val="clear" w:color="auto" w:fill="auto"/>
            <w:noWrap/>
            <w:vAlign w:val="center"/>
          </w:tcPr>
          <w:p w14:paraId="34A013B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床位管理 </w:t>
            </w:r>
          </w:p>
        </w:tc>
        <w:tc>
          <w:tcPr>
            <w:tcW w:w="3990" w:type="dxa"/>
            <w:shd w:val="clear" w:color="auto" w:fill="auto"/>
            <w:vAlign w:val="center"/>
          </w:tcPr>
          <w:p w14:paraId="1AB1821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根据医院HIS/ESB床位编号规则，按照科室建立对应的床位编号。支持不同形式的加床编号规则</w:t>
            </w:r>
          </w:p>
        </w:tc>
        <w:tc>
          <w:tcPr>
            <w:tcW w:w="1067" w:type="dxa"/>
            <w:shd w:val="clear" w:color="auto" w:fill="auto"/>
            <w:vAlign w:val="center"/>
          </w:tcPr>
          <w:p w14:paraId="4C232BEE">
            <w:pPr>
              <w:widowControl/>
              <w:jc w:val="left"/>
              <w:textAlignment w:val="center"/>
              <w:rPr>
                <w:rFonts w:hint="eastAsia" w:ascii="宋体" w:hAnsi="宋体" w:eastAsia="宋体" w:cs="宋体"/>
                <w:color w:val="000000"/>
                <w:kern w:val="0"/>
                <w:sz w:val="24"/>
                <w:szCs w:val="24"/>
                <w:lang w:bidi="ar"/>
              </w:rPr>
            </w:pPr>
          </w:p>
        </w:tc>
      </w:tr>
      <w:tr w14:paraId="53E9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4D4C13EB">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w:t>
            </w:r>
          </w:p>
        </w:tc>
        <w:tc>
          <w:tcPr>
            <w:tcW w:w="1073" w:type="dxa"/>
            <w:vMerge w:val="restart"/>
            <w:shd w:val="clear" w:color="auto" w:fill="auto"/>
            <w:noWrap/>
            <w:vAlign w:val="center"/>
          </w:tcPr>
          <w:p w14:paraId="031A6E6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全局系统参数 </w:t>
            </w:r>
          </w:p>
        </w:tc>
        <w:tc>
          <w:tcPr>
            <w:tcW w:w="1425" w:type="dxa"/>
            <w:shd w:val="clear" w:color="auto" w:fill="auto"/>
            <w:noWrap/>
            <w:vAlign w:val="center"/>
          </w:tcPr>
          <w:p w14:paraId="20475596">
            <w:pPr>
              <w:widowControl/>
              <w:jc w:val="left"/>
              <w:textAlignment w:val="center"/>
              <w:rPr>
                <w:rFonts w:hint="eastAsia" w:ascii="宋体" w:hAnsi="宋体" w:eastAsia="宋体" w:cs="宋体"/>
                <w:color w:val="000000"/>
                <w:sz w:val="24"/>
                <w:szCs w:val="24"/>
              </w:rPr>
            </w:pPr>
            <w:r>
              <w:rPr>
                <w:rStyle w:val="15"/>
                <w:rFonts w:hint="eastAsia" w:ascii="宋体" w:hAnsi="宋体" w:eastAsia="宋体" w:cs="宋体"/>
                <w:sz w:val="24"/>
                <w:szCs w:val="24"/>
                <w:lang w:bidi="ar"/>
              </w:rPr>
              <w:t>输液规则参数设置</w:t>
            </w:r>
            <w:r>
              <w:rPr>
                <w:rStyle w:val="16"/>
                <w:rFonts w:hint="eastAsia" w:ascii="宋体" w:hAnsi="宋体" w:eastAsia="宋体" w:cs="宋体"/>
                <w:sz w:val="24"/>
                <w:szCs w:val="24"/>
                <w:lang w:bidi="ar"/>
              </w:rPr>
              <w:t xml:space="preserve"> </w:t>
            </w:r>
          </w:p>
        </w:tc>
        <w:tc>
          <w:tcPr>
            <w:tcW w:w="3990" w:type="dxa"/>
            <w:shd w:val="clear" w:color="auto" w:fill="auto"/>
            <w:vAlign w:val="center"/>
          </w:tcPr>
          <w:p w14:paraId="7E7D6CD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首次用药数据匹配规则，药品实际上报重量和系统理论重量差值范围可配置，支持按绝对值配置和按百分比配置两种形式</w:t>
            </w:r>
          </w:p>
        </w:tc>
        <w:tc>
          <w:tcPr>
            <w:tcW w:w="1067" w:type="dxa"/>
            <w:shd w:val="clear" w:color="auto" w:fill="auto"/>
            <w:vAlign w:val="center"/>
          </w:tcPr>
          <w:p w14:paraId="44184181">
            <w:pPr>
              <w:widowControl/>
              <w:jc w:val="left"/>
              <w:textAlignment w:val="center"/>
              <w:rPr>
                <w:rFonts w:hint="eastAsia" w:ascii="宋体" w:hAnsi="宋体" w:eastAsia="宋体" w:cs="宋体"/>
                <w:color w:val="000000"/>
                <w:kern w:val="0"/>
                <w:sz w:val="24"/>
                <w:szCs w:val="24"/>
                <w:lang w:bidi="ar"/>
              </w:rPr>
            </w:pPr>
          </w:p>
        </w:tc>
      </w:tr>
      <w:tr w14:paraId="6E20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0C6252F6">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285613E0">
            <w:pPr>
              <w:jc w:val="center"/>
              <w:rPr>
                <w:rFonts w:hint="eastAsia" w:ascii="宋体" w:hAnsi="宋体" w:eastAsia="宋体" w:cs="宋体"/>
                <w:color w:val="000000"/>
                <w:sz w:val="24"/>
                <w:szCs w:val="24"/>
              </w:rPr>
            </w:pPr>
          </w:p>
        </w:tc>
        <w:tc>
          <w:tcPr>
            <w:tcW w:w="1425" w:type="dxa"/>
            <w:shd w:val="clear" w:color="auto" w:fill="FFFFFF"/>
            <w:noWrap/>
            <w:vAlign w:val="center"/>
          </w:tcPr>
          <w:p w14:paraId="2BECB8F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智能判断输液结束</w:t>
            </w:r>
          </w:p>
        </w:tc>
        <w:tc>
          <w:tcPr>
            <w:tcW w:w="3990" w:type="dxa"/>
            <w:shd w:val="clear" w:color="auto" w:fill="auto"/>
            <w:vAlign w:val="center"/>
          </w:tcPr>
          <w:p w14:paraId="496EEDB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根据传感器上报的数据，系统可结合滴速和剩余量的条件，自动判断适合符合输液结束</w:t>
            </w:r>
          </w:p>
        </w:tc>
        <w:tc>
          <w:tcPr>
            <w:tcW w:w="1067" w:type="dxa"/>
            <w:shd w:val="clear" w:color="auto" w:fill="auto"/>
            <w:vAlign w:val="center"/>
          </w:tcPr>
          <w:p w14:paraId="749BC4FE">
            <w:pPr>
              <w:widowControl/>
              <w:jc w:val="left"/>
              <w:textAlignment w:val="center"/>
              <w:rPr>
                <w:rFonts w:hint="eastAsia" w:ascii="宋体" w:hAnsi="宋体" w:eastAsia="宋体" w:cs="宋体"/>
                <w:color w:val="000000"/>
                <w:kern w:val="0"/>
                <w:sz w:val="24"/>
                <w:szCs w:val="24"/>
                <w:lang w:bidi="ar"/>
              </w:rPr>
            </w:pPr>
          </w:p>
        </w:tc>
      </w:tr>
      <w:tr w14:paraId="503B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632E2F5B">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60318CBD">
            <w:pPr>
              <w:jc w:val="center"/>
              <w:rPr>
                <w:rFonts w:hint="eastAsia" w:ascii="宋体" w:hAnsi="宋体" w:eastAsia="宋体" w:cs="宋体"/>
                <w:color w:val="000000"/>
                <w:sz w:val="24"/>
                <w:szCs w:val="24"/>
              </w:rPr>
            </w:pPr>
          </w:p>
        </w:tc>
        <w:tc>
          <w:tcPr>
            <w:tcW w:w="1425" w:type="dxa"/>
            <w:shd w:val="clear" w:color="auto" w:fill="FFFFFF"/>
            <w:noWrap/>
            <w:vAlign w:val="center"/>
          </w:tcPr>
          <w:p w14:paraId="2651117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输液器的匹配规则</w:t>
            </w:r>
          </w:p>
        </w:tc>
        <w:tc>
          <w:tcPr>
            <w:tcW w:w="3990" w:type="dxa"/>
            <w:shd w:val="clear" w:color="auto" w:fill="auto"/>
            <w:vAlign w:val="center"/>
          </w:tcPr>
          <w:p w14:paraId="3E29753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根据当天的所有输液信息，综合判断是否有精密输液器、避光输液器的使用需求，确定首次输液使用何种输液器的匹配规则</w:t>
            </w:r>
          </w:p>
        </w:tc>
        <w:tc>
          <w:tcPr>
            <w:tcW w:w="1067" w:type="dxa"/>
            <w:shd w:val="clear" w:color="auto" w:fill="auto"/>
            <w:vAlign w:val="center"/>
          </w:tcPr>
          <w:p w14:paraId="0781A4D3">
            <w:pPr>
              <w:widowControl/>
              <w:jc w:val="left"/>
              <w:textAlignment w:val="center"/>
              <w:rPr>
                <w:rFonts w:hint="eastAsia" w:ascii="宋体" w:hAnsi="宋体" w:eastAsia="宋体" w:cs="宋体"/>
                <w:color w:val="000000"/>
                <w:kern w:val="0"/>
                <w:sz w:val="24"/>
                <w:szCs w:val="24"/>
                <w:lang w:bidi="ar"/>
              </w:rPr>
            </w:pPr>
          </w:p>
        </w:tc>
      </w:tr>
      <w:tr w14:paraId="0BEE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0CE0B7CD">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58DE7335">
            <w:pPr>
              <w:jc w:val="center"/>
              <w:rPr>
                <w:rFonts w:hint="eastAsia" w:ascii="宋体" w:hAnsi="宋体" w:eastAsia="宋体" w:cs="宋体"/>
                <w:color w:val="000000"/>
                <w:sz w:val="24"/>
                <w:szCs w:val="24"/>
              </w:rPr>
            </w:pPr>
          </w:p>
        </w:tc>
        <w:tc>
          <w:tcPr>
            <w:tcW w:w="1425" w:type="dxa"/>
            <w:shd w:val="clear" w:color="auto" w:fill="auto"/>
            <w:noWrap/>
            <w:vAlign w:val="center"/>
          </w:tcPr>
          <w:p w14:paraId="4A9B450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新药预设皮重管理 </w:t>
            </w:r>
          </w:p>
        </w:tc>
        <w:tc>
          <w:tcPr>
            <w:tcW w:w="3990" w:type="dxa"/>
            <w:shd w:val="clear" w:color="auto" w:fill="auto"/>
            <w:vAlign w:val="center"/>
          </w:tcPr>
          <w:p w14:paraId="6A4837B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对于系统首次使用但没有在药品信息列表中维护的新药，系统可根据预设值的皮重信息做辅助判断，适应临时增加的新药使用。</w:t>
            </w:r>
          </w:p>
        </w:tc>
        <w:tc>
          <w:tcPr>
            <w:tcW w:w="1067" w:type="dxa"/>
            <w:shd w:val="clear" w:color="auto" w:fill="auto"/>
            <w:vAlign w:val="center"/>
          </w:tcPr>
          <w:p w14:paraId="39E3B036">
            <w:pPr>
              <w:widowControl/>
              <w:jc w:val="left"/>
              <w:textAlignment w:val="center"/>
              <w:rPr>
                <w:rFonts w:hint="eastAsia" w:ascii="宋体" w:hAnsi="宋体" w:eastAsia="宋体" w:cs="宋体"/>
                <w:color w:val="000000"/>
                <w:kern w:val="0"/>
                <w:sz w:val="24"/>
                <w:szCs w:val="24"/>
                <w:lang w:bidi="ar"/>
              </w:rPr>
            </w:pPr>
          </w:p>
        </w:tc>
      </w:tr>
      <w:tr w14:paraId="4F28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1B3B3F01">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03246742">
            <w:pPr>
              <w:jc w:val="center"/>
              <w:rPr>
                <w:rFonts w:hint="eastAsia" w:ascii="宋体" w:hAnsi="宋体" w:eastAsia="宋体" w:cs="宋体"/>
                <w:color w:val="000000"/>
                <w:sz w:val="24"/>
                <w:szCs w:val="24"/>
              </w:rPr>
            </w:pPr>
          </w:p>
        </w:tc>
        <w:tc>
          <w:tcPr>
            <w:tcW w:w="1425" w:type="dxa"/>
            <w:shd w:val="clear" w:color="auto" w:fill="auto"/>
            <w:noWrap/>
            <w:vAlign w:val="center"/>
          </w:tcPr>
          <w:p w14:paraId="177CDF7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病区用药匹配模式管理 </w:t>
            </w:r>
          </w:p>
        </w:tc>
        <w:tc>
          <w:tcPr>
            <w:tcW w:w="3990" w:type="dxa"/>
            <w:shd w:val="clear" w:color="auto" w:fill="auto"/>
            <w:vAlign w:val="center"/>
          </w:tcPr>
          <w:p w14:paraId="309DCAC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提供多种用药规则匹配模式，包括HIS/ESB匹配模式、移动护理匹配模式以及移动护理+HIS/ESB相结合的匹配模式</w:t>
            </w:r>
          </w:p>
        </w:tc>
        <w:tc>
          <w:tcPr>
            <w:tcW w:w="1067" w:type="dxa"/>
            <w:shd w:val="clear" w:color="auto" w:fill="auto"/>
            <w:vAlign w:val="center"/>
          </w:tcPr>
          <w:p w14:paraId="6077F9EC">
            <w:pPr>
              <w:widowControl/>
              <w:jc w:val="left"/>
              <w:textAlignment w:val="center"/>
              <w:rPr>
                <w:rFonts w:hint="eastAsia" w:ascii="宋体" w:hAnsi="宋体" w:eastAsia="宋体" w:cs="宋体"/>
                <w:color w:val="000000"/>
                <w:kern w:val="0"/>
                <w:sz w:val="24"/>
                <w:szCs w:val="24"/>
                <w:lang w:bidi="ar"/>
              </w:rPr>
            </w:pPr>
          </w:p>
        </w:tc>
      </w:tr>
      <w:tr w14:paraId="166D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025D2D36">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7B9C6175">
            <w:pPr>
              <w:jc w:val="center"/>
              <w:rPr>
                <w:rFonts w:hint="eastAsia" w:ascii="宋体" w:hAnsi="宋体" w:eastAsia="宋体" w:cs="宋体"/>
                <w:color w:val="000000"/>
                <w:sz w:val="24"/>
                <w:szCs w:val="24"/>
              </w:rPr>
            </w:pPr>
          </w:p>
        </w:tc>
        <w:tc>
          <w:tcPr>
            <w:tcW w:w="1425" w:type="dxa"/>
            <w:shd w:val="clear" w:color="auto" w:fill="FFFFFF"/>
            <w:noWrap/>
            <w:vAlign w:val="center"/>
          </w:tcPr>
          <w:p w14:paraId="13F7EEF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输液中断匹配</w:t>
            </w:r>
          </w:p>
        </w:tc>
        <w:tc>
          <w:tcPr>
            <w:tcW w:w="3990" w:type="dxa"/>
            <w:shd w:val="clear" w:color="auto" w:fill="auto"/>
            <w:vAlign w:val="center"/>
          </w:tcPr>
          <w:p w14:paraId="169C44F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支持按绝对值配置和按百分比配置两种形式，系统还是支持结合有滴速的状态和无滴速的情况下，输液中断后恢复4输液的匹配规则。</w:t>
            </w:r>
          </w:p>
        </w:tc>
        <w:tc>
          <w:tcPr>
            <w:tcW w:w="1067" w:type="dxa"/>
            <w:shd w:val="clear" w:color="auto" w:fill="auto"/>
            <w:vAlign w:val="center"/>
          </w:tcPr>
          <w:p w14:paraId="27F60C75">
            <w:pPr>
              <w:widowControl/>
              <w:jc w:val="left"/>
              <w:textAlignment w:val="center"/>
              <w:rPr>
                <w:rFonts w:hint="eastAsia" w:ascii="宋体" w:hAnsi="宋体" w:eastAsia="宋体" w:cs="宋体"/>
                <w:color w:val="000000"/>
                <w:kern w:val="0"/>
                <w:sz w:val="24"/>
                <w:szCs w:val="24"/>
                <w:lang w:bidi="ar"/>
              </w:rPr>
            </w:pPr>
          </w:p>
        </w:tc>
      </w:tr>
      <w:tr w14:paraId="2851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1F151019">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35F97C32">
            <w:pPr>
              <w:jc w:val="center"/>
              <w:rPr>
                <w:rFonts w:hint="eastAsia" w:ascii="宋体" w:hAnsi="宋体" w:eastAsia="宋体" w:cs="宋体"/>
                <w:color w:val="000000"/>
                <w:sz w:val="24"/>
                <w:szCs w:val="24"/>
              </w:rPr>
            </w:pPr>
          </w:p>
        </w:tc>
        <w:tc>
          <w:tcPr>
            <w:tcW w:w="1425" w:type="dxa"/>
            <w:shd w:val="clear" w:color="auto" w:fill="auto"/>
            <w:noWrap/>
            <w:vAlign w:val="center"/>
          </w:tcPr>
          <w:p w14:paraId="4B90F4D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全局功能参数设置 </w:t>
            </w:r>
          </w:p>
        </w:tc>
        <w:tc>
          <w:tcPr>
            <w:tcW w:w="3990" w:type="dxa"/>
            <w:shd w:val="clear" w:color="auto" w:fill="auto"/>
            <w:vAlign w:val="center"/>
          </w:tcPr>
          <w:p w14:paraId="1C8CB50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功5能参数匹配逻辑及设置，包括：消息通知记录清理周期、输液记录清理周期、匹配用药的数据模式、提前用药时间内范围等等</w:t>
            </w:r>
          </w:p>
        </w:tc>
        <w:tc>
          <w:tcPr>
            <w:tcW w:w="1067" w:type="dxa"/>
            <w:shd w:val="clear" w:color="auto" w:fill="auto"/>
            <w:vAlign w:val="center"/>
          </w:tcPr>
          <w:p w14:paraId="07529897">
            <w:pPr>
              <w:widowControl/>
              <w:jc w:val="left"/>
              <w:textAlignment w:val="center"/>
              <w:rPr>
                <w:rFonts w:hint="eastAsia" w:ascii="宋体" w:hAnsi="宋体" w:eastAsia="宋体" w:cs="宋体"/>
                <w:color w:val="000000"/>
                <w:kern w:val="0"/>
                <w:sz w:val="24"/>
                <w:szCs w:val="24"/>
                <w:lang w:bidi="ar"/>
              </w:rPr>
            </w:pPr>
          </w:p>
        </w:tc>
      </w:tr>
      <w:tr w14:paraId="0CD2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25CB9781">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w:t>
            </w:r>
          </w:p>
        </w:tc>
        <w:tc>
          <w:tcPr>
            <w:tcW w:w="1073" w:type="dxa"/>
            <w:vMerge w:val="restart"/>
            <w:shd w:val="clear" w:color="auto" w:fill="auto"/>
            <w:noWrap/>
            <w:vAlign w:val="center"/>
          </w:tcPr>
          <w:p w14:paraId="5F3CD0F4">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病区系</w:t>
            </w:r>
          </w:p>
          <w:p w14:paraId="33B892DD">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统参数 </w:t>
            </w:r>
          </w:p>
        </w:tc>
        <w:tc>
          <w:tcPr>
            <w:tcW w:w="1425" w:type="dxa"/>
            <w:shd w:val="clear" w:color="auto" w:fill="auto"/>
            <w:noWrap/>
            <w:vAlign w:val="center"/>
          </w:tcPr>
          <w:p w14:paraId="12502C5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功能参数设置 </w:t>
            </w:r>
          </w:p>
        </w:tc>
        <w:tc>
          <w:tcPr>
            <w:tcW w:w="3990" w:type="dxa"/>
            <w:shd w:val="clear" w:color="auto" w:fill="auto"/>
            <w:vAlign w:val="center"/>
          </w:tcPr>
          <w:p w14:paraId="7FC9A3F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基本功能参数包括语音播报的时间段、语音播报的次数、语音播报的方式；设置正常的滴速以及偏离的区间范围，</w:t>
            </w:r>
          </w:p>
        </w:tc>
        <w:tc>
          <w:tcPr>
            <w:tcW w:w="1067" w:type="dxa"/>
            <w:shd w:val="clear" w:color="auto" w:fill="auto"/>
            <w:vAlign w:val="center"/>
          </w:tcPr>
          <w:p w14:paraId="457D1AD7">
            <w:pPr>
              <w:widowControl/>
              <w:jc w:val="left"/>
              <w:textAlignment w:val="center"/>
              <w:rPr>
                <w:rFonts w:hint="eastAsia" w:ascii="宋体" w:hAnsi="宋体" w:eastAsia="宋体" w:cs="宋体"/>
                <w:color w:val="000000"/>
                <w:kern w:val="0"/>
                <w:sz w:val="24"/>
                <w:szCs w:val="24"/>
                <w:lang w:bidi="ar"/>
              </w:rPr>
            </w:pPr>
          </w:p>
        </w:tc>
      </w:tr>
      <w:tr w14:paraId="37D3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449E6B7B">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03BF55C1">
            <w:pPr>
              <w:jc w:val="center"/>
              <w:rPr>
                <w:rFonts w:hint="eastAsia" w:ascii="宋体" w:hAnsi="宋体" w:eastAsia="宋体" w:cs="宋体"/>
                <w:color w:val="000000"/>
                <w:sz w:val="24"/>
                <w:szCs w:val="24"/>
              </w:rPr>
            </w:pPr>
          </w:p>
        </w:tc>
        <w:tc>
          <w:tcPr>
            <w:tcW w:w="1425" w:type="dxa"/>
            <w:shd w:val="clear" w:color="auto" w:fill="auto"/>
            <w:noWrap/>
            <w:vAlign w:val="center"/>
          </w:tcPr>
          <w:p w14:paraId="53C1DE7C">
            <w:pPr>
              <w:widowControl/>
              <w:jc w:val="left"/>
              <w:textAlignment w:val="center"/>
              <w:rPr>
                <w:rFonts w:hint="eastAsia" w:ascii="宋体" w:hAnsi="宋体" w:eastAsia="宋体" w:cs="宋体"/>
                <w:color w:val="000000"/>
                <w:sz w:val="24"/>
                <w:szCs w:val="24"/>
              </w:rPr>
            </w:pPr>
            <w:r>
              <w:rPr>
                <w:rStyle w:val="15"/>
                <w:rFonts w:hint="eastAsia" w:ascii="宋体" w:hAnsi="宋体" w:eastAsia="宋体" w:cs="宋体"/>
                <w:sz w:val="24"/>
                <w:szCs w:val="24"/>
                <w:lang w:bidi="ar"/>
              </w:rPr>
              <w:t>输液辅助设备设置</w:t>
            </w:r>
            <w:r>
              <w:rPr>
                <w:rStyle w:val="16"/>
                <w:rFonts w:hint="eastAsia" w:ascii="宋体" w:hAnsi="宋体" w:eastAsia="宋体" w:cs="宋体"/>
                <w:sz w:val="24"/>
                <w:szCs w:val="24"/>
                <w:lang w:bidi="ar"/>
              </w:rPr>
              <w:t xml:space="preserve"> </w:t>
            </w:r>
          </w:p>
        </w:tc>
        <w:tc>
          <w:tcPr>
            <w:tcW w:w="3990" w:type="dxa"/>
            <w:shd w:val="clear" w:color="auto" w:fill="auto"/>
            <w:vAlign w:val="center"/>
          </w:tcPr>
          <w:p w14:paraId="240C344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输液辅助设备匹配逻辑，病区可根据实际情况维护玻璃瓶吊篮、避光药配套避光袋的皮重，提高输液告警的精确度</w:t>
            </w:r>
          </w:p>
        </w:tc>
        <w:tc>
          <w:tcPr>
            <w:tcW w:w="1067" w:type="dxa"/>
            <w:shd w:val="clear" w:color="auto" w:fill="auto"/>
            <w:vAlign w:val="center"/>
          </w:tcPr>
          <w:p w14:paraId="5C1892E1">
            <w:pPr>
              <w:widowControl/>
              <w:jc w:val="left"/>
              <w:textAlignment w:val="center"/>
              <w:rPr>
                <w:rFonts w:hint="eastAsia" w:ascii="宋体" w:hAnsi="宋体" w:eastAsia="宋体" w:cs="宋体"/>
                <w:color w:val="000000"/>
                <w:kern w:val="0"/>
                <w:sz w:val="24"/>
                <w:szCs w:val="24"/>
                <w:lang w:bidi="ar"/>
              </w:rPr>
            </w:pPr>
          </w:p>
        </w:tc>
      </w:tr>
      <w:tr w14:paraId="0F4E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113DB49F">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49FC572E">
            <w:pPr>
              <w:jc w:val="center"/>
              <w:rPr>
                <w:rFonts w:hint="eastAsia" w:ascii="宋体" w:hAnsi="宋体" w:eastAsia="宋体" w:cs="宋体"/>
                <w:color w:val="000000"/>
                <w:sz w:val="24"/>
                <w:szCs w:val="24"/>
              </w:rPr>
            </w:pPr>
          </w:p>
        </w:tc>
        <w:tc>
          <w:tcPr>
            <w:tcW w:w="1425" w:type="dxa"/>
            <w:shd w:val="clear" w:color="auto" w:fill="auto"/>
            <w:noWrap/>
            <w:vAlign w:val="center"/>
          </w:tcPr>
          <w:p w14:paraId="4298C18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消息通知设置 </w:t>
            </w:r>
          </w:p>
        </w:tc>
        <w:tc>
          <w:tcPr>
            <w:tcW w:w="3990" w:type="dxa"/>
            <w:shd w:val="clear" w:color="auto" w:fill="auto"/>
            <w:vAlign w:val="center"/>
          </w:tcPr>
          <w:p w14:paraId="6105432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输液开始、输液结束、输液中断、低电量、新药提示等消息的外部接口推送功能</w:t>
            </w:r>
          </w:p>
        </w:tc>
        <w:tc>
          <w:tcPr>
            <w:tcW w:w="1067" w:type="dxa"/>
            <w:shd w:val="clear" w:color="auto" w:fill="auto"/>
            <w:vAlign w:val="center"/>
          </w:tcPr>
          <w:p w14:paraId="00831BAB">
            <w:pPr>
              <w:widowControl/>
              <w:jc w:val="left"/>
              <w:textAlignment w:val="center"/>
              <w:rPr>
                <w:rFonts w:hint="eastAsia" w:ascii="宋体" w:hAnsi="宋体" w:eastAsia="宋体" w:cs="宋体"/>
                <w:color w:val="000000"/>
                <w:kern w:val="0"/>
                <w:sz w:val="24"/>
                <w:szCs w:val="24"/>
                <w:lang w:bidi="ar"/>
              </w:rPr>
            </w:pPr>
          </w:p>
        </w:tc>
      </w:tr>
      <w:tr w14:paraId="5AF3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2150E574">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1A10B418">
            <w:pPr>
              <w:jc w:val="center"/>
              <w:rPr>
                <w:rFonts w:hint="eastAsia" w:ascii="宋体" w:hAnsi="宋体" w:eastAsia="宋体" w:cs="宋体"/>
                <w:color w:val="000000"/>
                <w:sz w:val="24"/>
                <w:szCs w:val="24"/>
              </w:rPr>
            </w:pPr>
          </w:p>
        </w:tc>
        <w:tc>
          <w:tcPr>
            <w:tcW w:w="1425" w:type="dxa"/>
            <w:shd w:val="clear" w:color="auto" w:fill="auto"/>
            <w:noWrap/>
            <w:vAlign w:val="center"/>
          </w:tcPr>
          <w:p w14:paraId="0164CC5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中断超时设置 </w:t>
            </w:r>
          </w:p>
        </w:tc>
        <w:tc>
          <w:tcPr>
            <w:tcW w:w="3990" w:type="dxa"/>
            <w:shd w:val="clear" w:color="auto" w:fill="auto"/>
            <w:vAlign w:val="center"/>
          </w:tcPr>
          <w:p w14:paraId="544484D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中断超时流程管理，输液发生中途停止的情况后，在可设定的时间内后台自动输液结束本次输液的监管状态</w:t>
            </w:r>
          </w:p>
        </w:tc>
        <w:tc>
          <w:tcPr>
            <w:tcW w:w="1067" w:type="dxa"/>
            <w:shd w:val="clear" w:color="auto" w:fill="auto"/>
            <w:vAlign w:val="center"/>
          </w:tcPr>
          <w:p w14:paraId="2759EF42">
            <w:pPr>
              <w:widowControl/>
              <w:jc w:val="left"/>
              <w:textAlignment w:val="center"/>
              <w:rPr>
                <w:rFonts w:hint="eastAsia" w:ascii="宋体" w:hAnsi="宋体" w:eastAsia="宋体" w:cs="宋体"/>
                <w:color w:val="000000"/>
                <w:kern w:val="0"/>
                <w:sz w:val="24"/>
                <w:szCs w:val="24"/>
                <w:lang w:bidi="ar"/>
              </w:rPr>
            </w:pPr>
          </w:p>
        </w:tc>
      </w:tr>
      <w:tr w14:paraId="2098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6F5D90A0">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4E071E45">
            <w:pPr>
              <w:jc w:val="center"/>
              <w:rPr>
                <w:rFonts w:hint="eastAsia" w:ascii="宋体" w:hAnsi="宋体" w:eastAsia="宋体" w:cs="宋体"/>
                <w:color w:val="000000"/>
                <w:sz w:val="24"/>
                <w:szCs w:val="24"/>
              </w:rPr>
            </w:pPr>
          </w:p>
        </w:tc>
        <w:tc>
          <w:tcPr>
            <w:tcW w:w="1425" w:type="dxa"/>
            <w:shd w:val="clear" w:color="auto" w:fill="auto"/>
            <w:noWrap/>
            <w:vAlign w:val="center"/>
          </w:tcPr>
          <w:p w14:paraId="39AD887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接口管理 </w:t>
            </w:r>
          </w:p>
        </w:tc>
        <w:tc>
          <w:tcPr>
            <w:tcW w:w="3990" w:type="dxa"/>
            <w:shd w:val="clear" w:color="auto" w:fill="auto"/>
            <w:vAlign w:val="center"/>
          </w:tcPr>
          <w:p w14:paraId="292F7E5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配置外部推送/接收数据的接口地址、端口号，以及外部接口授权账号、口令</w:t>
            </w:r>
          </w:p>
        </w:tc>
        <w:tc>
          <w:tcPr>
            <w:tcW w:w="1067" w:type="dxa"/>
            <w:shd w:val="clear" w:color="auto" w:fill="auto"/>
            <w:vAlign w:val="center"/>
          </w:tcPr>
          <w:p w14:paraId="0B64818E">
            <w:pPr>
              <w:widowControl/>
              <w:jc w:val="left"/>
              <w:textAlignment w:val="center"/>
              <w:rPr>
                <w:rFonts w:hint="eastAsia" w:ascii="宋体" w:hAnsi="宋体" w:eastAsia="宋体" w:cs="宋体"/>
                <w:color w:val="000000"/>
                <w:kern w:val="0"/>
                <w:sz w:val="24"/>
                <w:szCs w:val="24"/>
                <w:lang w:bidi="ar"/>
              </w:rPr>
            </w:pPr>
          </w:p>
        </w:tc>
      </w:tr>
      <w:tr w14:paraId="3A28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5C2E9712">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0DCCC070">
            <w:pPr>
              <w:jc w:val="center"/>
              <w:rPr>
                <w:rFonts w:hint="eastAsia" w:ascii="宋体" w:hAnsi="宋体" w:eastAsia="宋体" w:cs="宋体"/>
                <w:color w:val="000000"/>
                <w:sz w:val="24"/>
                <w:szCs w:val="24"/>
              </w:rPr>
            </w:pPr>
          </w:p>
        </w:tc>
        <w:tc>
          <w:tcPr>
            <w:tcW w:w="1425" w:type="dxa"/>
            <w:shd w:val="clear" w:color="auto" w:fill="auto"/>
            <w:noWrap/>
            <w:vAlign w:val="center"/>
          </w:tcPr>
          <w:p w14:paraId="398D7D4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授权管理 </w:t>
            </w:r>
          </w:p>
        </w:tc>
        <w:tc>
          <w:tcPr>
            <w:tcW w:w="3990" w:type="dxa"/>
            <w:shd w:val="clear" w:color="auto" w:fill="auto"/>
            <w:vAlign w:val="center"/>
          </w:tcPr>
          <w:p w14:paraId="09791E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通过后台授权，对输液监控系统可使用系统的病区数量进行限制管理。</w:t>
            </w:r>
          </w:p>
        </w:tc>
        <w:tc>
          <w:tcPr>
            <w:tcW w:w="1067" w:type="dxa"/>
            <w:shd w:val="clear" w:color="auto" w:fill="auto"/>
            <w:vAlign w:val="center"/>
          </w:tcPr>
          <w:p w14:paraId="1C94072E">
            <w:pPr>
              <w:widowControl/>
              <w:jc w:val="left"/>
              <w:textAlignment w:val="center"/>
              <w:rPr>
                <w:rFonts w:hint="eastAsia" w:ascii="宋体" w:hAnsi="宋体" w:eastAsia="宋体" w:cs="宋体"/>
                <w:color w:val="000000"/>
                <w:kern w:val="0"/>
                <w:sz w:val="24"/>
                <w:szCs w:val="24"/>
                <w:lang w:bidi="ar"/>
              </w:rPr>
            </w:pPr>
          </w:p>
        </w:tc>
      </w:tr>
      <w:tr w14:paraId="79C7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FFFFFF"/>
            <w:noWrap/>
            <w:vAlign w:val="center"/>
          </w:tcPr>
          <w:p w14:paraId="792F6792">
            <w:pPr>
              <w:widowControl/>
              <w:jc w:val="center"/>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w:t>
            </w:r>
          </w:p>
        </w:tc>
        <w:tc>
          <w:tcPr>
            <w:tcW w:w="1073" w:type="dxa"/>
            <w:vMerge w:val="restart"/>
            <w:shd w:val="clear" w:color="auto" w:fill="FFFFFF"/>
            <w:noWrap/>
            <w:vAlign w:val="center"/>
          </w:tcPr>
          <w:p w14:paraId="680B96BA">
            <w:pPr>
              <w:widowControl/>
              <w:jc w:val="both"/>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外部接</w:t>
            </w:r>
          </w:p>
          <w:p w14:paraId="17E6719B">
            <w:pPr>
              <w:widowControl/>
              <w:jc w:val="both"/>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口</w:t>
            </w:r>
          </w:p>
        </w:tc>
        <w:tc>
          <w:tcPr>
            <w:tcW w:w="1425" w:type="dxa"/>
            <w:shd w:val="clear" w:color="auto" w:fill="FFFFFF"/>
            <w:noWrap/>
            <w:vAlign w:val="center"/>
          </w:tcPr>
          <w:p w14:paraId="42E72CF6">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医嘱信息获取</w:t>
            </w:r>
          </w:p>
        </w:tc>
        <w:tc>
          <w:tcPr>
            <w:tcW w:w="3990" w:type="dxa"/>
            <w:shd w:val="clear" w:color="auto" w:fill="FFFFFF"/>
            <w:vAlign w:val="center"/>
          </w:tcPr>
          <w:p w14:paraId="3D7169CD">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对接HIS/ESB、移动护理获取用药医嘱，并支持分析药品用量；支持WebService、视图或双方协商的方式</w:t>
            </w:r>
          </w:p>
        </w:tc>
        <w:tc>
          <w:tcPr>
            <w:tcW w:w="1067" w:type="dxa"/>
            <w:shd w:val="clear" w:color="auto" w:fill="FFFFFF"/>
            <w:vAlign w:val="center"/>
          </w:tcPr>
          <w:p w14:paraId="774794AC">
            <w:pPr>
              <w:widowControl/>
              <w:jc w:val="left"/>
              <w:textAlignment w:val="center"/>
              <w:rPr>
                <w:rFonts w:hint="eastAsia" w:ascii="宋体" w:hAnsi="宋体" w:eastAsia="宋体" w:cs="宋体"/>
                <w:kern w:val="0"/>
                <w:sz w:val="24"/>
                <w:szCs w:val="24"/>
                <w:lang w:bidi="ar"/>
              </w:rPr>
            </w:pPr>
          </w:p>
        </w:tc>
      </w:tr>
      <w:tr w14:paraId="4B6B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FFFFFF"/>
            <w:noWrap/>
            <w:vAlign w:val="center"/>
          </w:tcPr>
          <w:p w14:paraId="5C52A8B3">
            <w:pPr>
              <w:jc w:val="center"/>
              <w:rPr>
                <w:rFonts w:hint="eastAsia" w:ascii="宋体" w:hAnsi="宋体" w:eastAsia="宋体" w:cs="宋体"/>
                <w:sz w:val="24"/>
                <w:szCs w:val="24"/>
              </w:rPr>
            </w:pPr>
          </w:p>
        </w:tc>
        <w:tc>
          <w:tcPr>
            <w:tcW w:w="1073" w:type="dxa"/>
            <w:vMerge w:val="continue"/>
            <w:shd w:val="clear" w:color="auto" w:fill="FFFFFF"/>
            <w:noWrap/>
            <w:vAlign w:val="center"/>
          </w:tcPr>
          <w:p w14:paraId="46BC4D98">
            <w:pPr>
              <w:jc w:val="center"/>
              <w:rPr>
                <w:rFonts w:hint="eastAsia" w:ascii="宋体" w:hAnsi="宋体" w:eastAsia="宋体" w:cs="宋体"/>
                <w:sz w:val="24"/>
                <w:szCs w:val="24"/>
              </w:rPr>
            </w:pPr>
          </w:p>
        </w:tc>
        <w:tc>
          <w:tcPr>
            <w:tcW w:w="1425" w:type="dxa"/>
            <w:shd w:val="clear" w:color="auto" w:fill="FFFFFF"/>
            <w:noWrap/>
            <w:vAlign w:val="center"/>
          </w:tcPr>
          <w:p w14:paraId="79ED58A5">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输液数据查询</w:t>
            </w:r>
          </w:p>
        </w:tc>
        <w:tc>
          <w:tcPr>
            <w:tcW w:w="3990" w:type="dxa"/>
            <w:shd w:val="clear" w:color="auto" w:fill="FFFFFF"/>
            <w:vAlign w:val="center"/>
          </w:tcPr>
          <w:p w14:paraId="1EFBC357">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提供第三方程序数据接口查询功能，支持WebService、视图或双方协商的方式</w:t>
            </w:r>
          </w:p>
        </w:tc>
        <w:tc>
          <w:tcPr>
            <w:tcW w:w="1067" w:type="dxa"/>
            <w:shd w:val="clear" w:color="auto" w:fill="FFFFFF"/>
            <w:vAlign w:val="center"/>
          </w:tcPr>
          <w:p w14:paraId="0E3CF51F">
            <w:pPr>
              <w:widowControl/>
              <w:jc w:val="left"/>
              <w:textAlignment w:val="center"/>
              <w:rPr>
                <w:rFonts w:hint="eastAsia" w:ascii="宋体" w:hAnsi="宋体" w:eastAsia="宋体" w:cs="宋体"/>
                <w:kern w:val="0"/>
                <w:sz w:val="24"/>
                <w:szCs w:val="24"/>
                <w:lang w:bidi="ar"/>
              </w:rPr>
            </w:pPr>
          </w:p>
        </w:tc>
      </w:tr>
      <w:tr w14:paraId="16AB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FFFFFF"/>
            <w:noWrap/>
            <w:vAlign w:val="center"/>
          </w:tcPr>
          <w:p w14:paraId="1AA03C14">
            <w:pPr>
              <w:jc w:val="center"/>
              <w:rPr>
                <w:rFonts w:hint="eastAsia" w:ascii="宋体" w:hAnsi="宋体" w:eastAsia="宋体" w:cs="宋体"/>
                <w:sz w:val="24"/>
                <w:szCs w:val="24"/>
              </w:rPr>
            </w:pPr>
          </w:p>
        </w:tc>
        <w:tc>
          <w:tcPr>
            <w:tcW w:w="1073" w:type="dxa"/>
            <w:vMerge w:val="continue"/>
            <w:shd w:val="clear" w:color="auto" w:fill="FFFFFF"/>
            <w:noWrap/>
            <w:vAlign w:val="center"/>
          </w:tcPr>
          <w:p w14:paraId="1E8DCF5A">
            <w:pPr>
              <w:jc w:val="center"/>
              <w:rPr>
                <w:rFonts w:hint="eastAsia" w:ascii="宋体" w:hAnsi="宋体" w:eastAsia="宋体" w:cs="宋体"/>
                <w:sz w:val="24"/>
                <w:szCs w:val="24"/>
              </w:rPr>
            </w:pPr>
          </w:p>
        </w:tc>
        <w:tc>
          <w:tcPr>
            <w:tcW w:w="1425" w:type="dxa"/>
            <w:shd w:val="clear" w:color="auto" w:fill="FFFFFF"/>
            <w:noWrap/>
            <w:vAlign w:val="center"/>
          </w:tcPr>
          <w:p w14:paraId="7EB5BF04">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输液数据推送</w:t>
            </w:r>
          </w:p>
        </w:tc>
        <w:tc>
          <w:tcPr>
            <w:tcW w:w="3990" w:type="dxa"/>
            <w:shd w:val="clear" w:color="auto" w:fill="FFFFFF"/>
            <w:vAlign w:val="center"/>
          </w:tcPr>
          <w:p w14:paraId="65860A7E">
            <w:pPr>
              <w:widowControl/>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根据约定规则，向第三方程序推送实时数据，支持WebService、视图或双方协商的方式</w:t>
            </w:r>
          </w:p>
        </w:tc>
        <w:tc>
          <w:tcPr>
            <w:tcW w:w="1067" w:type="dxa"/>
            <w:shd w:val="clear" w:color="auto" w:fill="FFFFFF"/>
            <w:vAlign w:val="center"/>
          </w:tcPr>
          <w:p w14:paraId="7E62297C">
            <w:pPr>
              <w:widowControl/>
              <w:jc w:val="left"/>
              <w:textAlignment w:val="center"/>
              <w:rPr>
                <w:rFonts w:hint="eastAsia" w:ascii="宋体" w:hAnsi="宋体" w:eastAsia="宋体" w:cs="宋体"/>
                <w:kern w:val="0"/>
                <w:sz w:val="24"/>
                <w:szCs w:val="24"/>
                <w:lang w:bidi="ar"/>
              </w:rPr>
            </w:pPr>
          </w:p>
        </w:tc>
      </w:tr>
      <w:tr w14:paraId="0E3B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46A40F9B">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w:t>
            </w:r>
          </w:p>
        </w:tc>
        <w:tc>
          <w:tcPr>
            <w:tcW w:w="1073" w:type="dxa"/>
            <w:vMerge w:val="restart"/>
            <w:shd w:val="clear" w:color="auto" w:fill="auto"/>
            <w:noWrap/>
            <w:vAlign w:val="center"/>
          </w:tcPr>
          <w:p w14:paraId="6ED18050">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运行管</w:t>
            </w:r>
          </w:p>
          <w:p w14:paraId="265774D3">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理 </w:t>
            </w:r>
          </w:p>
        </w:tc>
        <w:tc>
          <w:tcPr>
            <w:tcW w:w="1425" w:type="dxa"/>
            <w:shd w:val="clear" w:color="auto" w:fill="auto"/>
            <w:noWrap/>
            <w:vAlign w:val="center"/>
          </w:tcPr>
          <w:p w14:paraId="573A605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药品管理 </w:t>
            </w:r>
          </w:p>
        </w:tc>
        <w:tc>
          <w:tcPr>
            <w:tcW w:w="3990" w:type="dxa"/>
            <w:shd w:val="clear" w:color="auto" w:fill="auto"/>
            <w:vAlign w:val="center"/>
          </w:tcPr>
          <w:p w14:paraId="11D30FA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医院常用的输液母液信息进行维护，以更精准的匹配用药信息，提供查询、批量导入/出入、模板下载等功能，方便用户使用。</w:t>
            </w:r>
          </w:p>
        </w:tc>
        <w:tc>
          <w:tcPr>
            <w:tcW w:w="1067" w:type="dxa"/>
            <w:shd w:val="clear" w:color="auto" w:fill="auto"/>
            <w:vAlign w:val="center"/>
          </w:tcPr>
          <w:p w14:paraId="7F6A33AF">
            <w:pPr>
              <w:widowControl/>
              <w:jc w:val="left"/>
              <w:textAlignment w:val="center"/>
              <w:rPr>
                <w:rFonts w:hint="eastAsia" w:ascii="宋体" w:hAnsi="宋体" w:eastAsia="宋体" w:cs="宋体"/>
                <w:color w:val="000000"/>
                <w:kern w:val="0"/>
                <w:sz w:val="24"/>
                <w:szCs w:val="24"/>
                <w:lang w:bidi="ar"/>
              </w:rPr>
            </w:pPr>
          </w:p>
        </w:tc>
      </w:tr>
      <w:tr w14:paraId="537B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3976161C">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1632BB0B">
            <w:pPr>
              <w:jc w:val="center"/>
              <w:rPr>
                <w:rFonts w:hint="eastAsia" w:ascii="宋体" w:hAnsi="宋体" w:eastAsia="宋体" w:cs="宋体"/>
                <w:color w:val="000000"/>
                <w:sz w:val="24"/>
                <w:szCs w:val="24"/>
              </w:rPr>
            </w:pPr>
          </w:p>
        </w:tc>
        <w:tc>
          <w:tcPr>
            <w:tcW w:w="1425" w:type="dxa"/>
            <w:shd w:val="clear" w:color="auto" w:fill="auto"/>
            <w:noWrap/>
            <w:vAlign w:val="center"/>
          </w:tcPr>
          <w:p w14:paraId="2898ADE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设备管理 </w:t>
            </w:r>
          </w:p>
        </w:tc>
        <w:tc>
          <w:tcPr>
            <w:tcW w:w="3990" w:type="dxa"/>
            <w:shd w:val="clear" w:color="auto" w:fill="auto"/>
            <w:vAlign w:val="center"/>
          </w:tcPr>
          <w:p w14:paraId="5BEE111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各种输液器的维护，包括输液器净重、首次调整值、非首次调整值以及选用优先级等规则</w:t>
            </w:r>
          </w:p>
        </w:tc>
        <w:tc>
          <w:tcPr>
            <w:tcW w:w="1067" w:type="dxa"/>
            <w:shd w:val="clear" w:color="auto" w:fill="auto"/>
            <w:vAlign w:val="center"/>
          </w:tcPr>
          <w:p w14:paraId="7DB532DB">
            <w:pPr>
              <w:widowControl/>
              <w:jc w:val="left"/>
              <w:textAlignment w:val="center"/>
              <w:rPr>
                <w:rFonts w:hint="eastAsia" w:ascii="宋体" w:hAnsi="宋体" w:eastAsia="宋体" w:cs="宋体"/>
                <w:color w:val="000000"/>
                <w:kern w:val="0"/>
                <w:sz w:val="24"/>
                <w:szCs w:val="24"/>
                <w:lang w:bidi="ar"/>
              </w:rPr>
            </w:pPr>
          </w:p>
        </w:tc>
      </w:tr>
      <w:tr w14:paraId="6718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5266690A">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56C4FD42">
            <w:pPr>
              <w:jc w:val="center"/>
              <w:rPr>
                <w:rFonts w:hint="eastAsia" w:ascii="宋体" w:hAnsi="宋体" w:eastAsia="宋体" w:cs="宋体"/>
                <w:color w:val="000000"/>
                <w:sz w:val="24"/>
                <w:szCs w:val="24"/>
              </w:rPr>
            </w:pPr>
          </w:p>
        </w:tc>
        <w:tc>
          <w:tcPr>
            <w:tcW w:w="1425" w:type="dxa"/>
            <w:shd w:val="clear" w:color="auto" w:fill="auto"/>
            <w:noWrap/>
            <w:vAlign w:val="center"/>
          </w:tcPr>
          <w:p w14:paraId="4F6B853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用药列表 </w:t>
            </w:r>
          </w:p>
        </w:tc>
        <w:tc>
          <w:tcPr>
            <w:tcW w:w="3990" w:type="dxa"/>
            <w:shd w:val="clear" w:color="auto" w:fill="auto"/>
            <w:vAlign w:val="center"/>
          </w:tcPr>
          <w:p w14:paraId="1CDE8F3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根据病区、床位查询当前床位传感器上报的数据、已匹配药品信息以及待匹配的药品数据，用药时间、状态等</w:t>
            </w:r>
          </w:p>
        </w:tc>
        <w:tc>
          <w:tcPr>
            <w:tcW w:w="1067" w:type="dxa"/>
            <w:shd w:val="clear" w:color="auto" w:fill="auto"/>
            <w:vAlign w:val="center"/>
          </w:tcPr>
          <w:p w14:paraId="6063DFC1">
            <w:pPr>
              <w:widowControl/>
              <w:jc w:val="left"/>
              <w:textAlignment w:val="center"/>
              <w:rPr>
                <w:rFonts w:hint="eastAsia" w:ascii="宋体" w:hAnsi="宋体" w:eastAsia="宋体" w:cs="宋体"/>
                <w:color w:val="000000"/>
                <w:kern w:val="0"/>
                <w:sz w:val="24"/>
                <w:szCs w:val="24"/>
                <w:lang w:bidi="ar"/>
              </w:rPr>
            </w:pPr>
          </w:p>
        </w:tc>
      </w:tr>
      <w:tr w14:paraId="23C8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7FCAC12E">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49CB799C">
            <w:pPr>
              <w:jc w:val="center"/>
              <w:rPr>
                <w:rFonts w:hint="eastAsia" w:ascii="宋体" w:hAnsi="宋体" w:eastAsia="宋体" w:cs="宋体"/>
                <w:color w:val="000000"/>
                <w:sz w:val="24"/>
                <w:szCs w:val="24"/>
              </w:rPr>
            </w:pPr>
          </w:p>
        </w:tc>
        <w:tc>
          <w:tcPr>
            <w:tcW w:w="1425" w:type="dxa"/>
            <w:shd w:val="clear" w:color="auto" w:fill="auto"/>
            <w:noWrap/>
            <w:vAlign w:val="center"/>
          </w:tcPr>
          <w:p w14:paraId="6303E5C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输液记录 </w:t>
            </w:r>
          </w:p>
        </w:tc>
        <w:tc>
          <w:tcPr>
            <w:tcW w:w="3990" w:type="dxa"/>
            <w:shd w:val="clear" w:color="auto" w:fill="auto"/>
            <w:vAlign w:val="center"/>
          </w:tcPr>
          <w:p w14:paraId="41581FA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按病区、床位查看每天输液记录，并用列表形式展现，记录每一袋药品的开始时间、结束时间、药品信息等数据</w:t>
            </w:r>
          </w:p>
        </w:tc>
        <w:tc>
          <w:tcPr>
            <w:tcW w:w="1067" w:type="dxa"/>
            <w:shd w:val="clear" w:color="auto" w:fill="auto"/>
            <w:vAlign w:val="center"/>
          </w:tcPr>
          <w:p w14:paraId="559CD8A8">
            <w:pPr>
              <w:widowControl/>
              <w:jc w:val="left"/>
              <w:textAlignment w:val="center"/>
              <w:rPr>
                <w:rFonts w:hint="eastAsia" w:ascii="宋体" w:hAnsi="宋体" w:eastAsia="宋体" w:cs="宋体"/>
                <w:color w:val="000000"/>
                <w:kern w:val="0"/>
                <w:sz w:val="24"/>
                <w:szCs w:val="24"/>
                <w:lang w:bidi="ar"/>
              </w:rPr>
            </w:pPr>
          </w:p>
        </w:tc>
      </w:tr>
      <w:tr w14:paraId="66D2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2D854E11">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6CD02671">
            <w:pPr>
              <w:jc w:val="center"/>
              <w:rPr>
                <w:rFonts w:hint="eastAsia" w:ascii="宋体" w:hAnsi="宋体" w:eastAsia="宋体" w:cs="宋体"/>
                <w:color w:val="000000"/>
                <w:sz w:val="24"/>
                <w:szCs w:val="24"/>
              </w:rPr>
            </w:pPr>
          </w:p>
        </w:tc>
        <w:tc>
          <w:tcPr>
            <w:tcW w:w="1425" w:type="dxa"/>
            <w:shd w:val="clear" w:color="auto" w:fill="auto"/>
            <w:noWrap/>
            <w:vAlign w:val="center"/>
          </w:tcPr>
          <w:p w14:paraId="006E009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消息中心 </w:t>
            </w:r>
          </w:p>
        </w:tc>
        <w:tc>
          <w:tcPr>
            <w:tcW w:w="3990" w:type="dxa"/>
            <w:shd w:val="clear" w:color="auto" w:fill="auto"/>
            <w:vAlign w:val="center"/>
          </w:tcPr>
          <w:p w14:paraId="2EA730D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自行设置外部消息的推送规则。其中包括：输液开始、输液结束、输液中断、低电量、新药提示等消息的推送记录，支持筛选查询</w:t>
            </w:r>
          </w:p>
        </w:tc>
        <w:tc>
          <w:tcPr>
            <w:tcW w:w="1067" w:type="dxa"/>
            <w:shd w:val="clear" w:color="auto" w:fill="auto"/>
            <w:vAlign w:val="center"/>
          </w:tcPr>
          <w:p w14:paraId="19271363">
            <w:pPr>
              <w:widowControl/>
              <w:jc w:val="left"/>
              <w:textAlignment w:val="center"/>
              <w:rPr>
                <w:rFonts w:hint="eastAsia" w:ascii="宋体" w:hAnsi="宋体" w:eastAsia="宋体" w:cs="宋体"/>
                <w:color w:val="000000"/>
                <w:kern w:val="0"/>
                <w:sz w:val="24"/>
                <w:szCs w:val="24"/>
                <w:lang w:bidi="ar"/>
              </w:rPr>
            </w:pPr>
          </w:p>
        </w:tc>
      </w:tr>
      <w:tr w14:paraId="0E9F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52AA51E1">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w:t>
            </w:r>
          </w:p>
        </w:tc>
        <w:tc>
          <w:tcPr>
            <w:tcW w:w="1073" w:type="dxa"/>
            <w:vMerge w:val="restart"/>
            <w:shd w:val="clear" w:color="auto" w:fill="auto"/>
            <w:noWrap/>
            <w:vAlign w:val="center"/>
          </w:tcPr>
          <w:p w14:paraId="08D129C5">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用户管</w:t>
            </w:r>
          </w:p>
          <w:p w14:paraId="0DB641C3">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理 </w:t>
            </w:r>
          </w:p>
        </w:tc>
        <w:tc>
          <w:tcPr>
            <w:tcW w:w="1425" w:type="dxa"/>
            <w:shd w:val="clear" w:color="auto" w:fill="auto"/>
            <w:noWrap/>
            <w:vAlign w:val="center"/>
          </w:tcPr>
          <w:p w14:paraId="2DAD779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用户管理 </w:t>
            </w:r>
          </w:p>
        </w:tc>
        <w:tc>
          <w:tcPr>
            <w:tcW w:w="3990" w:type="dxa"/>
            <w:shd w:val="clear" w:color="auto" w:fill="auto"/>
            <w:vAlign w:val="center"/>
          </w:tcPr>
          <w:p w14:paraId="4E179D8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对登录系统的用户进行维护管理，可单个添加、批量添加，也可以批量导出备份，并关联病区</w:t>
            </w:r>
          </w:p>
        </w:tc>
        <w:tc>
          <w:tcPr>
            <w:tcW w:w="1067" w:type="dxa"/>
            <w:shd w:val="clear" w:color="auto" w:fill="auto"/>
            <w:vAlign w:val="center"/>
          </w:tcPr>
          <w:p w14:paraId="26D574ED">
            <w:pPr>
              <w:widowControl/>
              <w:jc w:val="left"/>
              <w:textAlignment w:val="center"/>
              <w:rPr>
                <w:rFonts w:hint="eastAsia" w:ascii="宋体" w:hAnsi="宋体" w:eastAsia="宋体" w:cs="宋体"/>
                <w:color w:val="000000"/>
                <w:kern w:val="0"/>
                <w:sz w:val="24"/>
                <w:szCs w:val="24"/>
                <w:lang w:bidi="ar"/>
              </w:rPr>
            </w:pPr>
          </w:p>
        </w:tc>
      </w:tr>
      <w:tr w14:paraId="0380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5E4AD614">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452F17A1">
            <w:pPr>
              <w:jc w:val="center"/>
              <w:rPr>
                <w:rFonts w:hint="eastAsia" w:ascii="宋体" w:hAnsi="宋体" w:eastAsia="宋体" w:cs="宋体"/>
                <w:color w:val="000000"/>
                <w:sz w:val="24"/>
                <w:szCs w:val="24"/>
              </w:rPr>
            </w:pPr>
          </w:p>
        </w:tc>
        <w:tc>
          <w:tcPr>
            <w:tcW w:w="1425" w:type="dxa"/>
            <w:shd w:val="clear" w:color="auto" w:fill="auto"/>
            <w:noWrap/>
            <w:vAlign w:val="center"/>
          </w:tcPr>
          <w:p w14:paraId="1C7AE2A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角色管理 </w:t>
            </w:r>
          </w:p>
        </w:tc>
        <w:tc>
          <w:tcPr>
            <w:tcW w:w="3990" w:type="dxa"/>
            <w:shd w:val="clear" w:color="auto" w:fill="auto"/>
            <w:vAlign w:val="center"/>
          </w:tcPr>
          <w:p w14:paraId="075CCEA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系统支持对多级用户管理员操作权限进行自定义设置，以适应不同应用场景的需要。</w:t>
            </w:r>
          </w:p>
        </w:tc>
        <w:tc>
          <w:tcPr>
            <w:tcW w:w="1067" w:type="dxa"/>
            <w:shd w:val="clear" w:color="auto" w:fill="auto"/>
            <w:vAlign w:val="center"/>
          </w:tcPr>
          <w:p w14:paraId="5364E577">
            <w:pPr>
              <w:widowControl/>
              <w:jc w:val="left"/>
              <w:textAlignment w:val="center"/>
              <w:rPr>
                <w:rFonts w:hint="eastAsia" w:ascii="宋体" w:hAnsi="宋体" w:eastAsia="宋体" w:cs="宋体"/>
                <w:color w:val="000000"/>
                <w:kern w:val="0"/>
                <w:sz w:val="24"/>
                <w:szCs w:val="24"/>
                <w:lang w:bidi="ar"/>
              </w:rPr>
            </w:pPr>
          </w:p>
        </w:tc>
      </w:tr>
      <w:tr w14:paraId="402F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noWrap/>
            <w:vAlign w:val="center"/>
          </w:tcPr>
          <w:p w14:paraId="5FF26864">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8</w:t>
            </w:r>
          </w:p>
        </w:tc>
        <w:tc>
          <w:tcPr>
            <w:tcW w:w="1073" w:type="dxa"/>
            <w:shd w:val="clear" w:color="auto" w:fill="auto"/>
            <w:noWrap/>
            <w:vAlign w:val="center"/>
          </w:tcPr>
          <w:p w14:paraId="1B675E4F">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医用输液监视器（</w:t>
            </w:r>
            <w:r>
              <w:rPr>
                <w:rFonts w:hint="eastAsia" w:ascii="宋体" w:hAnsi="宋体" w:eastAsia="宋体" w:cs="宋体"/>
                <w:color w:val="000000"/>
                <w:kern w:val="0"/>
                <w:sz w:val="24"/>
                <w:szCs w:val="24"/>
                <w:lang w:bidi="ar"/>
              </w:rPr>
              <w:t>5个）</w:t>
            </w:r>
          </w:p>
        </w:tc>
        <w:tc>
          <w:tcPr>
            <w:tcW w:w="1425" w:type="dxa"/>
            <w:shd w:val="clear" w:color="auto" w:fill="auto"/>
            <w:noWrap/>
            <w:vAlign w:val="center"/>
          </w:tcPr>
          <w:p w14:paraId="617E4B8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2A0F710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1、识别精度：0-2000g范围内±1g；</w:t>
            </w:r>
          </w:p>
          <w:p w14:paraId="0585F552">
            <w:pPr>
              <w:widowControl/>
              <w:jc w:val="left"/>
              <w:textAlignment w:val="top"/>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2、流量精度：单位时间内输液监视器监测到的溶液变化量和实际变化量之间误差≤±10%（须提供国家主管单位审批的技术文件复印件佐证）；</w:t>
            </w:r>
          </w:p>
          <w:p w14:paraId="605501B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3、通过无线输液监控应用软件提示滴速异常、输液中断、输液结束；</w:t>
            </w:r>
          </w:p>
          <w:p w14:paraId="74E4075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4、支持低电量提示；</w:t>
            </w:r>
          </w:p>
          <w:p w14:paraId="69CD434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5、传输距离：可视距离≥10米；</w:t>
            </w:r>
          </w:p>
          <w:p w14:paraId="07A8AE84">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6、采用蓝牙通信协议；</w:t>
            </w:r>
          </w:p>
          <w:p w14:paraId="7BE924E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7、按每天6小时使用，一次充电或更换电池，可连续使用时间≥12个月；</w:t>
            </w:r>
          </w:p>
          <w:p w14:paraId="47C4D3E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8、支持酒精擦拭消毒；</w:t>
            </w:r>
          </w:p>
          <w:p w14:paraId="554DCF2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9、支持自动识别50/100/250/500/1000ml规格的玻璃品、塑料袋包装；</w:t>
            </w:r>
          </w:p>
          <w:p w14:paraId="5D7289B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10、支持自动识别避光输液器；</w:t>
            </w:r>
          </w:p>
          <w:p w14:paraId="5289DE7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11、对使用避光输液器的药品不影响系统使用性能；</w:t>
            </w:r>
          </w:p>
          <w:p w14:paraId="3E98797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12、提供防盗锁，可有效防止设备丢失；</w:t>
            </w:r>
          </w:p>
          <w:p w14:paraId="3C73AA6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13、支持单钩形式或双钩形式，用户可根据实际需要选配；</w:t>
            </w:r>
          </w:p>
        </w:tc>
        <w:tc>
          <w:tcPr>
            <w:tcW w:w="1067" w:type="dxa"/>
            <w:shd w:val="clear" w:color="auto" w:fill="auto"/>
            <w:vAlign w:val="center"/>
          </w:tcPr>
          <w:p w14:paraId="3020187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按病床数量配置</w:t>
            </w:r>
          </w:p>
        </w:tc>
      </w:tr>
      <w:tr w14:paraId="6595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21" w:type="dxa"/>
            <w:gridSpan w:val="5"/>
            <w:shd w:val="clear" w:color="auto" w:fill="auto"/>
            <w:noWrap/>
            <w:vAlign w:val="center"/>
          </w:tcPr>
          <w:p w14:paraId="1584CF3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（二）、智能监测床垫系统</w:t>
            </w:r>
          </w:p>
        </w:tc>
      </w:tr>
      <w:tr w14:paraId="751D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noWrap/>
            <w:vAlign w:val="center"/>
          </w:tcPr>
          <w:p w14:paraId="6F1D8833">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073" w:type="dxa"/>
            <w:shd w:val="clear" w:color="auto" w:fill="auto"/>
            <w:noWrap/>
            <w:vAlign w:val="center"/>
          </w:tcPr>
          <w:p w14:paraId="60B48556">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监控中</w:t>
            </w:r>
          </w:p>
          <w:p w14:paraId="738543D8">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心 </w:t>
            </w:r>
          </w:p>
        </w:tc>
        <w:tc>
          <w:tcPr>
            <w:tcW w:w="1425" w:type="dxa"/>
            <w:shd w:val="clear" w:color="auto" w:fill="auto"/>
            <w:noWrap/>
            <w:vAlign w:val="center"/>
          </w:tcPr>
          <w:p w14:paraId="1EC5D0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PC端监控中心 </w:t>
            </w:r>
          </w:p>
        </w:tc>
        <w:tc>
          <w:tcPr>
            <w:tcW w:w="3990" w:type="dxa"/>
            <w:shd w:val="clear" w:color="auto" w:fill="auto"/>
            <w:vAlign w:val="center"/>
          </w:tcPr>
          <w:p w14:paraId="5E0BFCE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Web端通过图形化展示全病区患者体征实时数据、在离床、体动、翻身状态，含后台计算逻辑</w:t>
            </w:r>
          </w:p>
        </w:tc>
        <w:tc>
          <w:tcPr>
            <w:tcW w:w="1067" w:type="dxa"/>
            <w:shd w:val="clear" w:color="auto" w:fill="auto"/>
            <w:vAlign w:val="center"/>
          </w:tcPr>
          <w:p w14:paraId="72CD5043">
            <w:pPr>
              <w:widowControl/>
              <w:jc w:val="left"/>
              <w:textAlignment w:val="center"/>
              <w:rPr>
                <w:rFonts w:hint="eastAsia" w:ascii="宋体" w:hAnsi="宋体" w:eastAsia="宋体" w:cs="宋体"/>
                <w:color w:val="000000"/>
                <w:kern w:val="0"/>
                <w:sz w:val="24"/>
                <w:szCs w:val="24"/>
                <w:lang w:bidi="ar"/>
              </w:rPr>
            </w:pPr>
          </w:p>
        </w:tc>
      </w:tr>
      <w:tr w14:paraId="743E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noWrap/>
            <w:vAlign w:val="center"/>
          </w:tcPr>
          <w:p w14:paraId="6CD52A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073" w:type="dxa"/>
            <w:vMerge w:val="restart"/>
            <w:shd w:val="clear" w:color="auto" w:fill="auto"/>
            <w:noWrap/>
            <w:vAlign w:val="center"/>
          </w:tcPr>
          <w:p w14:paraId="49FA7E1B">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基础配</w:t>
            </w:r>
          </w:p>
          <w:p w14:paraId="3309B232">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置 </w:t>
            </w:r>
          </w:p>
        </w:tc>
        <w:tc>
          <w:tcPr>
            <w:tcW w:w="1425" w:type="dxa"/>
            <w:shd w:val="clear" w:color="auto" w:fill="auto"/>
            <w:noWrap/>
            <w:vAlign w:val="center"/>
          </w:tcPr>
          <w:p w14:paraId="2299503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传感器管理 </w:t>
            </w:r>
          </w:p>
        </w:tc>
        <w:tc>
          <w:tcPr>
            <w:tcW w:w="3990" w:type="dxa"/>
            <w:shd w:val="clear" w:color="auto" w:fill="auto"/>
            <w:vAlign w:val="center"/>
          </w:tcPr>
          <w:p w14:paraId="0EE234E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维护传感器列表，分配归属科室，传感器版本、电量、在离线管理</w:t>
            </w:r>
          </w:p>
        </w:tc>
        <w:tc>
          <w:tcPr>
            <w:tcW w:w="1067" w:type="dxa"/>
            <w:shd w:val="clear" w:color="auto" w:fill="auto"/>
            <w:vAlign w:val="center"/>
          </w:tcPr>
          <w:p w14:paraId="328A67D8">
            <w:pPr>
              <w:widowControl/>
              <w:jc w:val="left"/>
              <w:textAlignment w:val="center"/>
              <w:rPr>
                <w:rFonts w:hint="eastAsia" w:ascii="宋体" w:hAnsi="宋体" w:eastAsia="宋体" w:cs="宋体"/>
                <w:color w:val="000000"/>
                <w:kern w:val="0"/>
                <w:sz w:val="24"/>
                <w:szCs w:val="24"/>
                <w:lang w:bidi="ar"/>
              </w:rPr>
            </w:pPr>
          </w:p>
        </w:tc>
      </w:tr>
      <w:tr w14:paraId="254E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472DE6EB">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1B6EB423">
            <w:pPr>
              <w:jc w:val="center"/>
              <w:rPr>
                <w:rFonts w:hint="eastAsia" w:ascii="宋体" w:hAnsi="宋体" w:eastAsia="宋体" w:cs="宋体"/>
                <w:color w:val="000000"/>
                <w:sz w:val="24"/>
                <w:szCs w:val="24"/>
              </w:rPr>
            </w:pPr>
          </w:p>
        </w:tc>
        <w:tc>
          <w:tcPr>
            <w:tcW w:w="1425" w:type="dxa"/>
            <w:shd w:val="clear" w:color="auto" w:fill="auto"/>
            <w:noWrap/>
            <w:vAlign w:val="center"/>
          </w:tcPr>
          <w:p w14:paraId="7E2E144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病区管理 </w:t>
            </w:r>
          </w:p>
        </w:tc>
        <w:tc>
          <w:tcPr>
            <w:tcW w:w="3990" w:type="dxa"/>
            <w:shd w:val="clear" w:color="auto" w:fill="auto"/>
            <w:vAlign w:val="center"/>
          </w:tcPr>
          <w:p w14:paraId="1EE28DA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系统中添加、删除、编辑医院科室名称、病区、病区编码，并对病区和护士长、护士的用户管理权限做关联匹配</w:t>
            </w:r>
          </w:p>
        </w:tc>
        <w:tc>
          <w:tcPr>
            <w:tcW w:w="1067" w:type="dxa"/>
            <w:shd w:val="clear" w:color="auto" w:fill="auto"/>
            <w:vAlign w:val="center"/>
          </w:tcPr>
          <w:p w14:paraId="3606F2DC">
            <w:pPr>
              <w:widowControl/>
              <w:jc w:val="left"/>
              <w:textAlignment w:val="center"/>
              <w:rPr>
                <w:rFonts w:hint="eastAsia" w:ascii="宋体" w:hAnsi="宋体" w:eastAsia="宋体" w:cs="宋体"/>
                <w:color w:val="000000"/>
                <w:kern w:val="0"/>
                <w:sz w:val="24"/>
                <w:szCs w:val="24"/>
                <w:lang w:bidi="ar"/>
              </w:rPr>
            </w:pPr>
          </w:p>
        </w:tc>
      </w:tr>
      <w:tr w14:paraId="2C1E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noWrap/>
            <w:vAlign w:val="center"/>
          </w:tcPr>
          <w:p w14:paraId="611B679D">
            <w:pPr>
              <w:jc w:val="center"/>
              <w:rPr>
                <w:rFonts w:hint="eastAsia" w:ascii="宋体" w:hAnsi="宋体" w:eastAsia="宋体" w:cs="宋体"/>
                <w:color w:val="000000"/>
                <w:sz w:val="24"/>
                <w:szCs w:val="24"/>
              </w:rPr>
            </w:pPr>
          </w:p>
        </w:tc>
        <w:tc>
          <w:tcPr>
            <w:tcW w:w="1073" w:type="dxa"/>
            <w:vMerge w:val="continue"/>
            <w:shd w:val="clear" w:color="auto" w:fill="auto"/>
            <w:noWrap/>
            <w:vAlign w:val="center"/>
          </w:tcPr>
          <w:p w14:paraId="1CF02AEE">
            <w:pPr>
              <w:jc w:val="center"/>
              <w:rPr>
                <w:rFonts w:hint="eastAsia" w:ascii="宋体" w:hAnsi="宋体" w:eastAsia="宋体" w:cs="宋体"/>
                <w:color w:val="000000"/>
                <w:sz w:val="24"/>
                <w:szCs w:val="24"/>
              </w:rPr>
            </w:pPr>
          </w:p>
        </w:tc>
        <w:tc>
          <w:tcPr>
            <w:tcW w:w="1425" w:type="dxa"/>
            <w:shd w:val="clear" w:color="auto" w:fill="auto"/>
            <w:noWrap/>
            <w:vAlign w:val="center"/>
          </w:tcPr>
          <w:p w14:paraId="126778E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床位管理 </w:t>
            </w:r>
          </w:p>
        </w:tc>
        <w:tc>
          <w:tcPr>
            <w:tcW w:w="3990" w:type="dxa"/>
            <w:shd w:val="clear" w:color="auto" w:fill="auto"/>
            <w:vAlign w:val="center"/>
          </w:tcPr>
          <w:p w14:paraId="7DC80A7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根据医院HIS/ESB床位编号规则，按照科室建立对应的床位编号。支持不同形式的加床编号规则</w:t>
            </w:r>
          </w:p>
        </w:tc>
        <w:tc>
          <w:tcPr>
            <w:tcW w:w="1067" w:type="dxa"/>
            <w:shd w:val="clear" w:color="auto" w:fill="auto"/>
            <w:vAlign w:val="center"/>
          </w:tcPr>
          <w:p w14:paraId="7F50EE4F">
            <w:pPr>
              <w:widowControl/>
              <w:jc w:val="left"/>
              <w:textAlignment w:val="center"/>
              <w:rPr>
                <w:rFonts w:hint="eastAsia" w:ascii="宋体" w:hAnsi="宋体" w:eastAsia="宋体" w:cs="宋体"/>
                <w:color w:val="000000"/>
                <w:kern w:val="0"/>
                <w:sz w:val="24"/>
                <w:szCs w:val="24"/>
                <w:lang w:bidi="ar"/>
              </w:rPr>
            </w:pPr>
          </w:p>
        </w:tc>
      </w:tr>
      <w:tr w14:paraId="784D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4C5F3F24">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073" w:type="dxa"/>
            <w:vMerge w:val="restart"/>
            <w:shd w:val="clear" w:color="auto" w:fill="auto"/>
            <w:vAlign w:val="center"/>
          </w:tcPr>
          <w:p w14:paraId="32E3DB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全局系统参数 </w:t>
            </w:r>
          </w:p>
        </w:tc>
        <w:tc>
          <w:tcPr>
            <w:tcW w:w="1425" w:type="dxa"/>
            <w:shd w:val="clear" w:color="auto" w:fill="auto"/>
            <w:vAlign w:val="center"/>
          </w:tcPr>
          <w:p w14:paraId="74B77FF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告警区间管理 </w:t>
            </w:r>
          </w:p>
        </w:tc>
        <w:tc>
          <w:tcPr>
            <w:tcW w:w="3990" w:type="dxa"/>
            <w:shd w:val="clear" w:color="auto" w:fill="auto"/>
            <w:vAlign w:val="center"/>
          </w:tcPr>
          <w:p w14:paraId="14B6BD0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设置全局性默认的体征告警区间，通过不同的声音、颜色提示护士关注</w:t>
            </w:r>
          </w:p>
        </w:tc>
        <w:tc>
          <w:tcPr>
            <w:tcW w:w="1067" w:type="dxa"/>
            <w:shd w:val="clear" w:color="auto" w:fill="auto"/>
          </w:tcPr>
          <w:p w14:paraId="0F768C73">
            <w:pPr>
              <w:widowControl/>
              <w:jc w:val="left"/>
              <w:textAlignment w:val="center"/>
              <w:rPr>
                <w:rFonts w:hint="eastAsia" w:ascii="宋体" w:hAnsi="宋体" w:eastAsia="宋体" w:cs="宋体"/>
                <w:color w:val="000000"/>
                <w:kern w:val="0"/>
                <w:sz w:val="24"/>
                <w:szCs w:val="24"/>
                <w:lang w:bidi="ar"/>
              </w:rPr>
            </w:pPr>
          </w:p>
        </w:tc>
      </w:tr>
      <w:tr w14:paraId="30A6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1C785FC">
            <w:pPr>
              <w:jc w:val="center"/>
              <w:rPr>
                <w:rFonts w:hint="eastAsia" w:ascii="宋体" w:hAnsi="宋体" w:eastAsia="宋体" w:cs="宋体"/>
                <w:color w:val="000000"/>
                <w:sz w:val="24"/>
                <w:szCs w:val="24"/>
              </w:rPr>
            </w:pPr>
          </w:p>
        </w:tc>
        <w:tc>
          <w:tcPr>
            <w:tcW w:w="1073" w:type="dxa"/>
            <w:vMerge w:val="continue"/>
            <w:shd w:val="clear" w:color="auto" w:fill="auto"/>
          </w:tcPr>
          <w:p w14:paraId="0A5CF595">
            <w:pPr>
              <w:jc w:val="center"/>
              <w:rPr>
                <w:rFonts w:hint="eastAsia" w:ascii="宋体" w:hAnsi="宋体" w:eastAsia="宋体" w:cs="宋体"/>
                <w:color w:val="000000"/>
                <w:sz w:val="24"/>
                <w:szCs w:val="24"/>
              </w:rPr>
            </w:pPr>
          </w:p>
        </w:tc>
        <w:tc>
          <w:tcPr>
            <w:tcW w:w="1425" w:type="dxa"/>
            <w:shd w:val="clear" w:color="auto" w:fill="auto"/>
            <w:vAlign w:val="center"/>
          </w:tcPr>
          <w:p w14:paraId="5CD525D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接口管理 </w:t>
            </w:r>
          </w:p>
        </w:tc>
        <w:tc>
          <w:tcPr>
            <w:tcW w:w="3990" w:type="dxa"/>
            <w:shd w:val="clear" w:color="auto" w:fill="auto"/>
            <w:vAlign w:val="center"/>
          </w:tcPr>
          <w:p w14:paraId="03BAC83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配置外部推送/接收数据的接口地址、端口号，以及外部接口授权账号、口令</w:t>
            </w:r>
          </w:p>
        </w:tc>
        <w:tc>
          <w:tcPr>
            <w:tcW w:w="1067" w:type="dxa"/>
            <w:shd w:val="clear" w:color="auto" w:fill="auto"/>
          </w:tcPr>
          <w:p w14:paraId="20825E31">
            <w:pPr>
              <w:widowControl/>
              <w:jc w:val="left"/>
              <w:textAlignment w:val="center"/>
              <w:rPr>
                <w:rFonts w:hint="eastAsia" w:ascii="宋体" w:hAnsi="宋体" w:eastAsia="宋体" w:cs="宋体"/>
                <w:color w:val="000000"/>
                <w:kern w:val="0"/>
                <w:sz w:val="24"/>
                <w:szCs w:val="24"/>
                <w:lang w:bidi="ar"/>
              </w:rPr>
            </w:pPr>
          </w:p>
        </w:tc>
      </w:tr>
      <w:tr w14:paraId="43A3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6DBFE8B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073" w:type="dxa"/>
            <w:vMerge w:val="restart"/>
            <w:shd w:val="clear" w:color="auto" w:fill="auto"/>
            <w:vAlign w:val="center"/>
          </w:tcPr>
          <w:p w14:paraId="7D913551">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病区系</w:t>
            </w:r>
          </w:p>
          <w:p w14:paraId="484C2B56">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统参数 </w:t>
            </w:r>
          </w:p>
        </w:tc>
        <w:tc>
          <w:tcPr>
            <w:tcW w:w="1425" w:type="dxa"/>
            <w:shd w:val="clear" w:color="auto" w:fill="auto"/>
            <w:vAlign w:val="center"/>
          </w:tcPr>
          <w:p w14:paraId="31B6A37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告警区间管理 </w:t>
            </w:r>
          </w:p>
        </w:tc>
        <w:tc>
          <w:tcPr>
            <w:tcW w:w="3990" w:type="dxa"/>
            <w:shd w:val="clear" w:color="auto" w:fill="auto"/>
            <w:vAlign w:val="center"/>
          </w:tcPr>
          <w:p w14:paraId="2582B1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设置病区默认的体征告警区间，通过不同的声音、颜色提示护士关注</w:t>
            </w:r>
          </w:p>
        </w:tc>
        <w:tc>
          <w:tcPr>
            <w:tcW w:w="1067" w:type="dxa"/>
            <w:shd w:val="clear" w:color="auto" w:fill="auto"/>
          </w:tcPr>
          <w:p w14:paraId="37D501B3">
            <w:pPr>
              <w:widowControl/>
              <w:jc w:val="left"/>
              <w:textAlignment w:val="center"/>
              <w:rPr>
                <w:rFonts w:hint="eastAsia" w:ascii="宋体" w:hAnsi="宋体" w:eastAsia="宋体" w:cs="宋体"/>
                <w:color w:val="000000"/>
                <w:kern w:val="0"/>
                <w:sz w:val="24"/>
                <w:szCs w:val="24"/>
                <w:lang w:bidi="ar"/>
              </w:rPr>
            </w:pPr>
          </w:p>
        </w:tc>
      </w:tr>
      <w:tr w14:paraId="3412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223FAA2">
            <w:pPr>
              <w:jc w:val="center"/>
              <w:rPr>
                <w:rFonts w:hint="eastAsia" w:ascii="宋体" w:hAnsi="宋体" w:eastAsia="宋体" w:cs="宋体"/>
                <w:color w:val="000000"/>
                <w:sz w:val="24"/>
                <w:szCs w:val="24"/>
              </w:rPr>
            </w:pPr>
          </w:p>
        </w:tc>
        <w:tc>
          <w:tcPr>
            <w:tcW w:w="1073" w:type="dxa"/>
            <w:vMerge w:val="continue"/>
            <w:shd w:val="clear" w:color="auto" w:fill="auto"/>
          </w:tcPr>
          <w:p w14:paraId="50B305BF">
            <w:pPr>
              <w:jc w:val="center"/>
              <w:rPr>
                <w:rFonts w:hint="eastAsia" w:ascii="宋体" w:hAnsi="宋体" w:eastAsia="宋体" w:cs="宋体"/>
                <w:color w:val="000000"/>
                <w:sz w:val="24"/>
                <w:szCs w:val="24"/>
              </w:rPr>
            </w:pPr>
          </w:p>
        </w:tc>
        <w:tc>
          <w:tcPr>
            <w:tcW w:w="1425" w:type="dxa"/>
            <w:shd w:val="clear" w:color="auto" w:fill="auto"/>
            <w:vAlign w:val="center"/>
          </w:tcPr>
          <w:p w14:paraId="53777EF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模式管理 </w:t>
            </w:r>
          </w:p>
        </w:tc>
        <w:tc>
          <w:tcPr>
            <w:tcW w:w="3990" w:type="dxa"/>
            <w:shd w:val="clear" w:color="auto" w:fill="auto"/>
            <w:vAlign w:val="center"/>
          </w:tcPr>
          <w:p w14:paraId="5F1E791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根据病区临床要求设置白天/黑夜模式运行时间区间等</w:t>
            </w:r>
          </w:p>
        </w:tc>
        <w:tc>
          <w:tcPr>
            <w:tcW w:w="1067" w:type="dxa"/>
            <w:shd w:val="clear" w:color="auto" w:fill="auto"/>
          </w:tcPr>
          <w:p w14:paraId="12AB90C7">
            <w:pPr>
              <w:widowControl/>
              <w:jc w:val="left"/>
              <w:textAlignment w:val="center"/>
              <w:rPr>
                <w:rFonts w:hint="eastAsia" w:ascii="宋体" w:hAnsi="宋体" w:eastAsia="宋体" w:cs="宋体"/>
                <w:color w:val="000000"/>
                <w:kern w:val="0"/>
                <w:sz w:val="24"/>
                <w:szCs w:val="24"/>
                <w:lang w:bidi="ar"/>
              </w:rPr>
            </w:pPr>
          </w:p>
        </w:tc>
      </w:tr>
      <w:tr w14:paraId="6EB3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663278D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1073" w:type="dxa"/>
            <w:vMerge w:val="restart"/>
            <w:shd w:val="clear" w:color="auto" w:fill="auto"/>
            <w:vAlign w:val="center"/>
          </w:tcPr>
          <w:p w14:paraId="015B69FB">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运行管</w:t>
            </w:r>
          </w:p>
          <w:p w14:paraId="4BEFF209">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理 </w:t>
            </w:r>
          </w:p>
        </w:tc>
        <w:tc>
          <w:tcPr>
            <w:tcW w:w="1425" w:type="dxa"/>
            <w:shd w:val="clear" w:color="auto" w:fill="auto"/>
            <w:vAlign w:val="center"/>
          </w:tcPr>
          <w:p w14:paraId="62E0D99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患者管理 </w:t>
            </w:r>
          </w:p>
        </w:tc>
        <w:tc>
          <w:tcPr>
            <w:tcW w:w="3990" w:type="dxa"/>
            <w:shd w:val="clear" w:color="auto" w:fill="auto"/>
            <w:vAlign w:val="center"/>
          </w:tcPr>
          <w:p w14:paraId="14109E9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患者入院注册、出院、换床操作，提供智能床垫绑定、解绑、更换等功能</w:t>
            </w:r>
          </w:p>
        </w:tc>
        <w:tc>
          <w:tcPr>
            <w:tcW w:w="1067" w:type="dxa"/>
            <w:shd w:val="clear" w:color="auto" w:fill="auto"/>
          </w:tcPr>
          <w:p w14:paraId="07700962">
            <w:pPr>
              <w:widowControl/>
              <w:jc w:val="left"/>
              <w:textAlignment w:val="center"/>
              <w:rPr>
                <w:rFonts w:hint="eastAsia" w:ascii="宋体" w:hAnsi="宋体" w:eastAsia="宋体" w:cs="宋体"/>
                <w:color w:val="000000"/>
                <w:kern w:val="0"/>
                <w:sz w:val="24"/>
                <w:szCs w:val="24"/>
                <w:lang w:bidi="ar"/>
              </w:rPr>
            </w:pPr>
          </w:p>
        </w:tc>
      </w:tr>
      <w:tr w14:paraId="0901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583F5D6">
            <w:pPr>
              <w:jc w:val="center"/>
              <w:rPr>
                <w:rFonts w:hint="eastAsia" w:ascii="宋体" w:hAnsi="宋体" w:eastAsia="宋体" w:cs="宋体"/>
                <w:color w:val="000000"/>
                <w:sz w:val="24"/>
                <w:szCs w:val="24"/>
              </w:rPr>
            </w:pPr>
          </w:p>
        </w:tc>
        <w:tc>
          <w:tcPr>
            <w:tcW w:w="1073" w:type="dxa"/>
            <w:vMerge w:val="continue"/>
            <w:shd w:val="clear" w:color="auto" w:fill="auto"/>
          </w:tcPr>
          <w:p w14:paraId="668E7803">
            <w:pPr>
              <w:jc w:val="center"/>
              <w:rPr>
                <w:rFonts w:hint="eastAsia" w:ascii="宋体" w:hAnsi="宋体" w:eastAsia="宋体" w:cs="宋体"/>
                <w:color w:val="000000"/>
                <w:sz w:val="24"/>
                <w:szCs w:val="24"/>
              </w:rPr>
            </w:pPr>
          </w:p>
        </w:tc>
        <w:tc>
          <w:tcPr>
            <w:tcW w:w="1425" w:type="dxa"/>
            <w:shd w:val="clear" w:color="auto" w:fill="auto"/>
            <w:vAlign w:val="center"/>
          </w:tcPr>
          <w:p w14:paraId="749EB05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测量记录 </w:t>
            </w:r>
          </w:p>
        </w:tc>
        <w:tc>
          <w:tcPr>
            <w:tcW w:w="3990" w:type="dxa"/>
            <w:shd w:val="clear" w:color="auto" w:fill="auto"/>
            <w:vAlign w:val="center"/>
          </w:tcPr>
          <w:p w14:paraId="58B63B5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查看病区每天/每床患者的体征测量记录，并图形化展示测量曲线</w:t>
            </w:r>
          </w:p>
        </w:tc>
        <w:tc>
          <w:tcPr>
            <w:tcW w:w="1067" w:type="dxa"/>
            <w:shd w:val="clear" w:color="auto" w:fill="auto"/>
          </w:tcPr>
          <w:p w14:paraId="49F2E32A">
            <w:pPr>
              <w:widowControl/>
              <w:jc w:val="left"/>
              <w:textAlignment w:val="center"/>
              <w:rPr>
                <w:rFonts w:hint="eastAsia" w:ascii="宋体" w:hAnsi="宋体" w:eastAsia="宋体" w:cs="宋体"/>
                <w:color w:val="000000"/>
                <w:kern w:val="0"/>
                <w:sz w:val="24"/>
                <w:szCs w:val="24"/>
                <w:lang w:bidi="ar"/>
              </w:rPr>
            </w:pPr>
          </w:p>
        </w:tc>
      </w:tr>
      <w:tr w14:paraId="397A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1FD930F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073" w:type="dxa"/>
            <w:vMerge w:val="restart"/>
            <w:shd w:val="clear" w:color="auto" w:fill="auto"/>
            <w:vAlign w:val="center"/>
          </w:tcPr>
          <w:p w14:paraId="0AC84AB9">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用户管</w:t>
            </w:r>
          </w:p>
          <w:p w14:paraId="4A94DA48">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理 </w:t>
            </w:r>
          </w:p>
        </w:tc>
        <w:tc>
          <w:tcPr>
            <w:tcW w:w="1425" w:type="dxa"/>
            <w:shd w:val="clear" w:color="auto" w:fill="auto"/>
            <w:vAlign w:val="center"/>
          </w:tcPr>
          <w:p w14:paraId="340E4A0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用户管理 </w:t>
            </w:r>
          </w:p>
        </w:tc>
        <w:tc>
          <w:tcPr>
            <w:tcW w:w="3990" w:type="dxa"/>
            <w:shd w:val="clear" w:color="auto" w:fill="auto"/>
            <w:vAlign w:val="center"/>
          </w:tcPr>
          <w:p w14:paraId="5109A4D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对登录系统的用户进行维护管理，可单个添加、批量添加，也可以批量导出备份，并关联病区</w:t>
            </w:r>
          </w:p>
        </w:tc>
        <w:tc>
          <w:tcPr>
            <w:tcW w:w="1067" w:type="dxa"/>
            <w:shd w:val="clear" w:color="auto" w:fill="auto"/>
          </w:tcPr>
          <w:p w14:paraId="6904C8A5">
            <w:pPr>
              <w:widowControl/>
              <w:jc w:val="left"/>
              <w:textAlignment w:val="center"/>
              <w:rPr>
                <w:rFonts w:hint="eastAsia" w:ascii="宋体" w:hAnsi="宋体" w:eastAsia="宋体" w:cs="宋体"/>
                <w:color w:val="000000"/>
                <w:kern w:val="0"/>
                <w:sz w:val="24"/>
                <w:szCs w:val="24"/>
                <w:lang w:bidi="ar"/>
              </w:rPr>
            </w:pPr>
          </w:p>
        </w:tc>
      </w:tr>
      <w:tr w14:paraId="3384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574514CB">
            <w:pPr>
              <w:jc w:val="center"/>
              <w:rPr>
                <w:rFonts w:hint="eastAsia" w:ascii="宋体" w:hAnsi="宋体" w:eastAsia="宋体" w:cs="宋体"/>
                <w:color w:val="000000"/>
                <w:sz w:val="24"/>
                <w:szCs w:val="24"/>
              </w:rPr>
            </w:pPr>
          </w:p>
        </w:tc>
        <w:tc>
          <w:tcPr>
            <w:tcW w:w="1073" w:type="dxa"/>
            <w:vMerge w:val="continue"/>
            <w:shd w:val="clear" w:color="auto" w:fill="auto"/>
          </w:tcPr>
          <w:p w14:paraId="4D4A6BF0">
            <w:pPr>
              <w:jc w:val="center"/>
              <w:rPr>
                <w:rFonts w:hint="eastAsia" w:ascii="宋体" w:hAnsi="宋体" w:eastAsia="宋体" w:cs="宋体"/>
                <w:color w:val="000000"/>
                <w:sz w:val="24"/>
                <w:szCs w:val="24"/>
              </w:rPr>
            </w:pPr>
          </w:p>
        </w:tc>
        <w:tc>
          <w:tcPr>
            <w:tcW w:w="1425" w:type="dxa"/>
            <w:shd w:val="clear" w:color="auto" w:fill="auto"/>
            <w:vAlign w:val="center"/>
          </w:tcPr>
          <w:p w14:paraId="2680D2F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角色管理 </w:t>
            </w:r>
          </w:p>
        </w:tc>
        <w:tc>
          <w:tcPr>
            <w:tcW w:w="3990" w:type="dxa"/>
            <w:shd w:val="clear" w:color="auto" w:fill="auto"/>
            <w:vAlign w:val="center"/>
          </w:tcPr>
          <w:p w14:paraId="0136F5E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系统支持对多级用户管理员操作权限进行自定义设置，以适应不同应用场景的需要。</w:t>
            </w:r>
          </w:p>
        </w:tc>
        <w:tc>
          <w:tcPr>
            <w:tcW w:w="1067" w:type="dxa"/>
            <w:shd w:val="clear" w:color="auto" w:fill="auto"/>
          </w:tcPr>
          <w:p w14:paraId="2545F6D4">
            <w:pPr>
              <w:widowControl/>
              <w:jc w:val="left"/>
              <w:textAlignment w:val="center"/>
              <w:rPr>
                <w:rFonts w:hint="eastAsia" w:ascii="宋体" w:hAnsi="宋体" w:eastAsia="宋体" w:cs="宋体"/>
                <w:color w:val="000000"/>
                <w:kern w:val="0"/>
                <w:sz w:val="24"/>
                <w:szCs w:val="24"/>
                <w:lang w:bidi="ar"/>
              </w:rPr>
            </w:pPr>
          </w:p>
        </w:tc>
      </w:tr>
      <w:tr w14:paraId="694F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773FC7A3">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7</w:t>
            </w:r>
          </w:p>
        </w:tc>
        <w:tc>
          <w:tcPr>
            <w:tcW w:w="1073" w:type="dxa"/>
            <w:shd w:val="clear" w:color="auto" w:fill="auto"/>
            <w:vAlign w:val="center"/>
          </w:tcPr>
          <w:p w14:paraId="08DCF928">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监测床垫（5张）</w:t>
            </w:r>
          </w:p>
        </w:tc>
        <w:tc>
          <w:tcPr>
            <w:tcW w:w="1425" w:type="dxa"/>
            <w:shd w:val="clear" w:color="auto" w:fill="auto"/>
            <w:vAlign w:val="center"/>
          </w:tcPr>
          <w:p w14:paraId="7BA25B5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29D39F2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1、工作频率：2400-2483MHz/433-960MHz；</w:t>
            </w:r>
          </w:p>
          <w:p w14:paraId="3C629065">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2、按使用说明书要求条件下，离床感应误差范围不超过2次/天；</w:t>
            </w:r>
          </w:p>
          <w:p w14:paraId="3E6246E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3、按使用说明书要求条件下，离床信号可上传至生命体征监护系统软件；</w:t>
            </w:r>
          </w:p>
          <w:p w14:paraId="5FCD37A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4、体动感应误差范围不超过3次/小时；</w:t>
            </w:r>
          </w:p>
          <w:p w14:paraId="084DABC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5、数据传输频率：每60秒传输一次；</w:t>
            </w:r>
          </w:p>
          <w:p w14:paraId="4E7BD5A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6、电源：5V直流供电；</w:t>
            </w:r>
          </w:p>
          <w:p w14:paraId="6639848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7、支持和输液监测系统等物联网应用共用物联网引擎；</w:t>
            </w:r>
          </w:p>
          <w:p w14:paraId="2EC95A6A">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8、设备发射功率≤10mW(e.r.p)，且设备载频容限、杂散发射（工作状态）或机箱端口辐射杂散（工作状态）符合工信部公告2019年第52号要求（投标人须提供CNAS或CMA</w:t>
            </w:r>
            <w:r>
              <w:rPr>
                <w:rFonts w:hint="eastAsia" w:ascii="宋体" w:hAnsi="宋体" w:eastAsia="宋体" w:cs="宋体"/>
                <w:kern w:val="0"/>
                <w:sz w:val="24"/>
                <w:szCs w:val="24"/>
                <w:lang w:bidi="ar"/>
              </w:rPr>
              <w:t>认可机构出具的且检测项目在CNAS或CMA认可范围内的</w:t>
            </w:r>
            <w:r>
              <w:rPr>
                <w:rFonts w:hint="eastAsia" w:ascii="宋体" w:hAnsi="宋体" w:eastAsia="宋体" w:cs="宋体"/>
                <w:color w:val="000000"/>
                <w:kern w:val="0"/>
                <w:sz w:val="24"/>
                <w:szCs w:val="24"/>
                <w:lang w:bidi="ar"/>
              </w:rPr>
              <w:t>检测报告复印件佐证）；</w:t>
            </w:r>
          </w:p>
        </w:tc>
        <w:tc>
          <w:tcPr>
            <w:tcW w:w="1067" w:type="dxa"/>
            <w:shd w:val="clear" w:color="auto" w:fill="auto"/>
          </w:tcPr>
          <w:p w14:paraId="2A27F66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按病床数量配置</w:t>
            </w:r>
          </w:p>
        </w:tc>
      </w:tr>
      <w:tr w14:paraId="61E0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21" w:type="dxa"/>
            <w:gridSpan w:val="5"/>
            <w:shd w:val="clear" w:color="auto" w:fill="FFFFFF"/>
            <w:vAlign w:val="center"/>
          </w:tcPr>
          <w:p w14:paraId="571DF1C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（三）、跌倒监测与告警管理系统</w:t>
            </w:r>
          </w:p>
        </w:tc>
      </w:tr>
      <w:tr w14:paraId="6C1C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FFFFFF"/>
            <w:vAlign w:val="center"/>
          </w:tcPr>
          <w:p w14:paraId="443B94D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073" w:type="dxa"/>
            <w:vMerge w:val="restart"/>
            <w:shd w:val="clear" w:color="auto" w:fill="FFFFFF"/>
            <w:vAlign w:val="center"/>
          </w:tcPr>
          <w:p w14:paraId="42776D9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监控中心</w:t>
            </w:r>
          </w:p>
        </w:tc>
        <w:tc>
          <w:tcPr>
            <w:tcW w:w="1425" w:type="dxa"/>
            <w:shd w:val="clear" w:color="auto" w:fill="FFFFFF"/>
            <w:vAlign w:val="center"/>
          </w:tcPr>
          <w:p w14:paraId="1047F64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区域一览</w:t>
            </w:r>
          </w:p>
        </w:tc>
        <w:tc>
          <w:tcPr>
            <w:tcW w:w="3990" w:type="dxa"/>
            <w:shd w:val="clear" w:color="auto" w:fill="auto"/>
            <w:vAlign w:val="center"/>
          </w:tcPr>
          <w:p w14:paraId="51B48E5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一览以统计概览与卡片视图双模式展示当前病区跌倒监测的整体运行状况，涵盖设备数量、监测房间、待告警处理消息、平均告警处理时长等关键指标，并支持查看每台跌倒监测器的监测位置、运行状态及当前是否有人，覆盖跌倒告警与人员停留超时告警两大场景。</w:t>
            </w:r>
          </w:p>
        </w:tc>
        <w:tc>
          <w:tcPr>
            <w:tcW w:w="1067" w:type="dxa"/>
            <w:shd w:val="clear" w:color="auto" w:fill="auto"/>
          </w:tcPr>
          <w:p w14:paraId="5FD25D6C">
            <w:pPr>
              <w:widowControl/>
              <w:jc w:val="left"/>
              <w:textAlignment w:val="center"/>
              <w:rPr>
                <w:rFonts w:hint="eastAsia" w:ascii="宋体" w:hAnsi="宋体" w:eastAsia="宋体" w:cs="宋体"/>
                <w:color w:val="000000"/>
                <w:kern w:val="0"/>
                <w:sz w:val="24"/>
                <w:szCs w:val="24"/>
                <w:lang w:bidi="ar"/>
              </w:rPr>
            </w:pPr>
          </w:p>
        </w:tc>
      </w:tr>
      <w:tr w14:paraId="40C3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5545F522">
            <w:pPr>
              <w:jc w:val="center"/>
              <w:rPr>
                <w:rFonts w:hint="eastAsia" w:ascii="宋体" w:hAnsi="宋体" w:eastAsia="宋体" w:cs="宋体"/>
                <w:color w:val="000000"/>
                <w:sz w:val="24"/>
                <w:szCs w:val="24"/>
              </w:rPr>
            </w:pPr>
          </w:p>
        </w:tc>
        <w:tc>
          <w:tcPr>
            <w:tcW w:w="1073" w:type="dxa"/>
            <w:vMerge w:val="continue"/>
            <w:shd w:val="clear" w:color="auto" w:fill="auto"/>
          </w:tcPr>
          <w:p w14:paraId="2FE41FFB">
            <w:pPr>
              <w:jc w:val="center"/>
              <w:rPr>
                <w:rFonts w:hint="eastAsia" w:ascii="宋体" w:hAnsi="宋体" w:eastAsia="宋体" w:cs="宋体"/>
                <w:color w:val="000000"/>
                <w:sz w:val="24"/>
                <w:szCs w:val="24"/>
              </w:rPr>
            </w:pPr>
          </w:p>
        </w:tc>
        <w:tc>
          <w:tcPr>
            <w:tcW w:w="1425" w:type="dxa"/>
            <w:shd w:val="clear" w:color="auto" w:fill="auto"/>
            <w:vAlign w:val="center"/>
          </w:tcPr>
          <w:p w14:paraId="4E74FB1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告警提醒</w:t>
            </w:r>
          </w:p>
        </w:tc>
        <w:tc>
          <w:tcPr>
            <w:tcW w:w="3990" w:type="dxa"/>
            <w:shd w:val="clear" w:color="auto" w:fill="auto"/>
            <w:vAlign w:val="center"/>
          </w:tcPr>
          <w:p w14:paraId="05B31FD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告警提醒功能在告警产生时通过卡片闪烁、图文分级展示等方式进行强提醒，按告警等级呈现差异化视觉效果，确保警示信息及时触达、醒目可辨。</w:t>
            </w:r>
          </w:p>
        </w:tc>
        <w:tc>
          <w:tcPr>
            <w:tcW w:w="1067" w:type="dxa"/>
            <w:shd w:val="clear" w:color="auto" w:fill="auto"/>
          </w:tcPr>
          <w:p w14:paraId="4002EF3E">
            <w:pPr>
              <w:widowControl/>
              <w:jc w:val="left"/>
              <w:textAlignment w:val="center"/>
              <w:rPr>
                <w:rFonts w:hint="eastAsia" w:ascii="宋体" w:hAnsi="宋体" w:eastAsia="宋体" w:cs="宋体"/>
                <w:color w:val="000000"/>
                <w:kern w:val="0"/>
                <w:sz w:val="24"/>
                <w:szCs w:val="24"/>
                <w:lang w:bidi="ar"/>
              </w:rPr>
            </w:pPr>
          </w:p>
        </w:tc>
      </w:tr>
      <w:tr w14:paraId="7799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299A48F9">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073" w:type="dxa"/>
            <w:vMerge w:val="restart"/>
            <w:shd w:val="clear" w:color="auto" w:fill="auto"/>
            <w:vAlign w:val="center"/>
          </w:tcPr>
          <w:p w14:paraId="370BF286">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数据统计</w:t>
            </w:r>
          </w:p>
        </w:tc>
        <w:tc>
          <w:tcPr>
            <w:tcW w:w="1425" w:type="dxa"/>
            <w:shd w:val="clear" w:color="auto" w:fill="auto"/>
            <w:vAlign w:val="center"/>
          </w:tcPr>
          <w:p w14:paraId="02F1EA2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告警记录</w:t>
            </w:r>
          </w:p>
        </w:tc>
        <w:tc>
          <w:tcPr>
            <w:tcW w:w="3990" w:type="dxa"/>
            <w:shd w:val="clear" w:color="auto" w:fill="auto"/>
            <w:vAlign w:val="center"/>
          </w:tcPr>
          <w:p w14:paraId="14DBC65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支持查看设备的告警记录，支持按日期查询；可查看发生时间、报警时长、所在位置、处理时间、处理人等相关告警信息。</w:t>
            </w:r>
          </w:p>
        </w:tc>
        <w:tc>
          <w:tcPr>
            <w:tcW w:w="1067" w:type="dxa"/>
            <w:shd w:val="clear" w:color="auto" w:fill="auto"/>
          </w:tcPr>
          <w:p w14:paraId="1D0BA652">
            <w:pPr>
              <w:widowControl/>
              <w:jc w:val="left"/>
              <w:textAlignment w:val="center"/>
              <w:rPr>
                <w:rFonts w:hint="eastAsia" w:ascii="宋体" w:hAnsi="宋体" w:eastAsia="宋体" w:cs="宋体"/>
                <w:color w:val="000000"/>
                <w:kern w:val="0"/>
                <w:sz w:val="24"/>
                <w:szCs w:val="24"/>
                <w:lang w:bidi="ar"/>
              </w:rPr>
            </w:pPr>
          </w:p>
        </w:tc>
      </w:tr>
      <w:tr w14:paraId="55AF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03360A7">
            <w:pPr>
              <w:jc w:val="center"/>
              <w:rPr>
                <w:rFonts w:hint="eastAsia" w:ascii="宋体" w:hAnsi="宋体" w:eastAsia="宋体" w:cs="宋体"/>
                <w:color w:val="000000"/>
                <w:sz w:val="24"/>
                <w:szCs w:val="24"/>
              </w:rPr>
            </w:pPr>
          </w:p>
        </w:tc>
        <w:tc>
          <w:tcPr>
            <w:tcW w:w="1073" w:type="dxa"/>
            <w:vMerge w:val="continue"/>
            <w:shd w:val="clear" w:color="auto" w:fill="auto"/>
          </w:tcPr>
          <w:p w14:paraId="5A2BF7C6">
            <w:pPr>
              <w:jc w:val="center"/>
              <w:rPr>
                <w:rFonts w:hint="eastAsia" w:ascii="宋体" w:hAnsi="宋体" w:eastAsia="宋体" w:cs="宋体"/>
                <w:color w:val="000000"/>
                <w:sz w:val="24"/>
                <w:szCs w:val="24"/>
              </w:rPr>
            </w:pPr>
          </w:p>
        </w:tc>
        <w:tc>
          <w:tcPr>
            <w:tcW w:w="1425" w:type="dxa"/>
            <w:shd w:val="clear" w:color="auto" w:fill="auto"/>
            <w:vAlign w:val="center"/>
          </w:tcPr>
          <w:p w14:paraId="1ADF570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误报记录</w:t>
            </w:r>
          </w:p>
        </w:tc>
        <w:tc>
          <w:tcPr>
            <w:tcW w:w="3990" w:type="dxa"/>
            <w:shd w:val="clear" w:color="auto" w:fill="auto"/>
            <w:vAlign w:val="center"/>
          </w:tcPr>
          <w:p w14:paraId="486593F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支持查看已标记的误报记录，支持按日期查询；可查看误报发生时间、报警时长、所在位置、处理时间、误报上报人员等误报信息。</w:t>
            </w:r>
          </w:p>
        </w:tc>
        <w:tc>
          <w:tcPr>
            <w:tcW w:w="1067" w:type="dxa"/>
            <w:shd w:val="clear" w:color="auto" w:fill="auto"/>
          </w:tcPr>
          <w:p w14:paraId="27289E9F">
            <w:pPr>
              <w:widowControl/>
              <w:jc w:val="left"/>
              <w:textAlignment w:val="center"/>
              <w:rPr>
                <w:rFonts w:hint="eastAsia" w:ascii="宋体" w:hAnsi="宋体" w:eastAsia="宋体" w:cs="宋体"/>
                <w:color w:val="000000"/>
                <w:kern w:val="0"/>
                <w:sz w:val="24"/>
                <w:szCs w:val="24"/>
                <w:lang w:bidi="ar"/>
              </w:rPr>
            </w:pPr>
          </w:p>
        </w:tc>
      </w:tr>
      <w:tr w14:paraId="6A22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0762C8B">
            <w:pPr>
              <w:jc w:val="center"/>
              <w:rPr>
                <w:rFonts w:hint="eastAsia" w:ascii="宋体" w:hAnsi="宋体" w:eastAsia="宋体" w:cs="宋体"/>
                <w:color w:val="000000"/>
                <w:sz w:val="24"/>
                <w:szCs w:val="24"/>
              </w:rPr>
            </w:pPr>
          </w:p>
        </w:tc>
        <w:tc>
          <w:tcPr>
            <w:tcW w:w="1073" w:type="dxa"/>
            <w:vMerge w:val="continue"/>
            <w:shd w:val="clear" w:color="auto" w:fill="auto"/>
          </w:tcPr>
          <w:p w14:paraId="306136F0">
            <w:pPr>
              <w:jc w:val="center"/>
              <w:rPr>
                <w:rFonts w:hint="eastAsia" w:ascii="宋体" w:hAnsi="宋体" w:eastAsia="宋体" w:cs="宋体"/>
                <w:color w:val="000000"/>
                <w:sz w:val="24"/>
                <w:szCs w:val="24"/>
              </w:rPr>
            </w:pPr>
          </w:p>
        </w:tc>
        <w:tc>
          <w:tcPr>
            <w:tcW w:w="1425" w:type="dxa"/>
            <w:shd w:val="clear" w:color="auto" w:fill="auto"/>
            <w:vAlign w:val="center"/>
          </w:tcPr>
          <w:p w14:paraId="2D72CC0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统计分析</w:t>
            </w:r>
          </w:p>
        </w:tc>
        <w:tc>
          <w:tcPr>
            <w:tcW w:w="3990" w:type="dxa"/>
            <w:shd w:val="clear" w:color="auto" w:fill="auto"/>
            <w:vAlign w:val="center"/>
          </w:tcPr>
          <w:p w14:paraId="607E84C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支持对告警记录进行统计分析，包括各类告警数据统计表、各月份跌倒次数统计趋势表、跌倒处理时长统计等；支持对各病区跌倒监测设备运行状态进行统计。</w:t>
            </w:r>
          </w:p>
        </w:tc>
        <w:tc>
          <w:tcPr>
            <w:tcW w:w="1067" w:type="dxa"/>
            <w:shd w:val="clear" w:color="auto" w:fill="auto"/>
          </w:tcPr>
          <w:p w14:paraId="2F4230C0">
            <w:pPr>
              <w:widowControl/>
              <w:jc w:val="left"/>
              <w:textAlignment w:val="center"/>
              <w:rPr>
                <w:rFonts w:hint="eastAsia" w:ascii="宋体" w:hAnsi="宋体" w:eastAsia="宋体" w:cs="宋体"/>
                <w:color w:val="000000"/>
                <w:kern w:val="0"/>
                <w:sz w:val="24"/>
                <w:szCs w:val="24"/>
                <w:lang w:bidi="ar"/>
              </w:rPr>
            </w:pPr>
          </w:p>
        </w:tc>
      </w:tr>
      <w:tr w14:paraId="7378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0E3D6C7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073" w:type="dxa"/>
            <w:vMerge w:val="restart"/>
            <w:shd w:val="clear" w:color="auto" w:fill="auto"/>
            <w:vAlign w:val="center"/>
          </w:tcPr>
          <w:p w14:paraId="1BA83C0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设备管理</w:t>
            </w:r>
          </w:p>
        </w:tc>
        <w:tc>
          <w:tcPr>
            <w:tcW w:w="1425" w:type="dxa"/>
            <w:shd w:val="clear" w:color="auto" w:fill="auto"/>
            <w:vAlign w:val="center"/>
          </w:tcPr>
          <w:p w14:paraId="5185D58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设备管理</w:t>
            </w:r>
          </w:p>
        </w:tc>
        <w:tc>
          <w:tcPr>
            <w:tcW w:w="3990" w:type="dxa"/>
            <w:shd w:val="clear" w:color="auto" w:fill="auto"/>
            <w:vAlign w:val="center"/>
          </w:tcPr>
          <w:p w14:paraId="10D973A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支持在后台管理设备，包括设备编号、MAC地址、所属病区、所属护理单元、所属房间、所在区域、固件版本；支持上线一键同步设备，方便部署。</w:t>
            </w:r>
          </w:p>
        </w:tc>
        <w:tc>
          <w:tcPr>
            <w:tcW w:w="1067" w:type="dxa"/>
            <w:shd w:val="clear" w:color="auto" w:fill="auto"/>
          </w:tcPr>
          <w:p w14:paraId="25F9FF03">
            <w:pPr>
              <w:widowControl/>
              <w:jc w:val="left"/>
              <w:textAlignment w:val="center"/>
              <w:rPr>
                <w:rFonts w:hint="eastAsia" w:ascii="宋体" w:hAnsi="宋体" w:eastAsia="宋体" w:cs="宋体"/>
                <w:color w:val="000000"/>
                <w:kern w:val="0"/>
                <w:sz w:val="24"/>
                <w:szCs w:val="24"/>
                <w:lang w:bidi="ar"/>
              </w:rPr>
            </w:pPr>
          </w:p>
        </w:tc>
      </w:tr>
      <w:tr w14:paraId="14CF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52AA59AE">
            <w:pPr>
              <w:jc w:val="center"/>
              <w:rPr>
                <w:rFonts w:hint="eastAsia" w:ascii="宋体" w:hAnsi="宋体" w:eastAsia="宋体" w:cs="宋体"/>
                <w:color w:val="000000"/>
                <w:sz w:val="24"/>
                <w:szCs w:val="24"/>
              </w:rPr>
            </w:pPr>
          </w:p>
        </w:tc>
        <w:tc>
          <w:tcPr>
            <w:tcW w:w="1073" w:type="dxa"/>
            <w:vMerge w:val="continue"/>
            <w:shd w:val="clear" w:color="auto" w:fill="auto"/>
          </w:tcPr>
          <w:p w14:paraId="42103F1B">
            <w:pPr>
              <w:jc w:val="center"/>
              <w:rPr>
                <w:rFonts w:hint="eastAsia" w:ascii="宋体" w:hAnsi="宋体" w:eastAsia="宋体" w:cs="宋体"/>
                <w:color w:val="000000"/>
                <w:sz w:val="24"/>
                <w:szCs w:val="24"/>
              </w:rPr>
            </w:pPr>
          </w:p>
        </w:tc>
        <w:tc>
          <w:tcPr>
            <w:tcW w:w="1425" w:type="dxa"/>
            <w:shd w:val="clear" w:color="auto" w:fill="auto"/>
            <w:vAlign w:val="center"/>
          </w:tcPr>
          <w:p w14:paraId="1BCCCDD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安装设置</w:t>
            </w:r>
          </w:p>
        </w:tc>
        <w:tc>
          <w:tcPr>
            <w:tcW w:w="3990" w:type="dxa"/>
            <w:shd w:val="clear" w:color="auto" w:fill="auto"/>
            <w:vAlign w:val="center"/>
          </w:tcPr>
          <w:p w14:paraId="1C93E22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告警设置功能支持对告警设备进行部署参数配置，可设定设备安装位置、安装区域、安装高度及监控范围，实现设备管理规范化与告警定位精准化。</w:t>
            </w:r>
          </w:p>
        </w:tc>
        <w:tc>
          <w:tcPr>
            <w:tcW w:w="1067" w:type="dxa"/>
            <w:shd w:val="clear" w:color="auto" w:fill="auto"/>
          </w:tcPr>
          <w:p w14:paraId="620C7F80">
            <w:pPr>
              <w:widowControl/>
              <w:jc w:val="left"/>
              <w:textAlignment w:val="center"/>
              <w:rPr>
                <w:rFonts w:hint="eastAsia" w:ascii="宋体" w:hAnsi="宋体" w:eastAsia="宋体" w:cs="宋体"/>
                <w:color w:val="000000"/>
                <w:kern w:val="0"/>
                <w:sz w:val="24"/>
                <w:szCs w:val="24"/>
                <w:lang w:bidi="ar"/>
              </w:rPr>
            </w:pPr>
          </w:p>
        </w:tc>
      </w:tr>
      <w:tr w14:paraId="7EF5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2A926BC2">
            <w:pPr>
              <w:jc w:val="center"/>
              <w:rPr>
                <w:rFonts w:hint="eastAsia" w:ascii="宋体" w:hAnsi="宋体" w:eastAsia="宋体" w:cs="宋体"/>
                <w:color w:val="000000"/>
                <w:sz w:val="24"/>
                <w:szCs w:val="24"/>
              </w:rPr>
            </w:pPr>
          </w:p>
        </w:tc>
        <w:tc>
          <w:tcPr>
            <w:tcW w:w="1073" w:type="dxa"/>
            <w:vMerge w:val="continue"/>
            <w:shd w:val="clear" w:color="auto" w:fill="auto"/>
          </w:tcPr>
          <w:p w14:paraId="5368A0FD">
            <w:pPr>
              <w:jc w:val="center"/>
              <w:rPr>
                <w:rFonts w:hint="eastAsia" w:ascii="宋体" w:hAnsi="宋体" w:eastAsia="宋体" w:cs="宋体"/>
                <w:color w:val="000000"/>
                <w:sz w:val="24"/>
                <w:szCs w:val="24"/>
              </w:rPr>
            </w:pPr>
          </w:p>
        </w:tc>
        <w:tc>
          <w:tcPr>
            <w:tcW w:w="1425" w:type="dxa"/>
            <w:shd w:val="clear" w:color="auto" w:fill="auto"/>
            <w:vAlign w:val="center"/>
          </w:tcPr>
          <w:p w14:paraId="741498F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告警设置</w:t>
            </w:r>
          </w:p>
        </w:tc>
        <w:tc>
          <w:tcPr>
            <w:tcW w:w="3990" w:type="dxa"/>
            <w:shd w:val="clear" w:color="auto" w:fill="auto"/>
            <w:vAlign w:val="center"/>
          </w:tcPr>
          <w:p w14:paraId="17537B5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告警设置功能支持告警类型的管理与参数配置，可灵活开启或关闭跌倒告警、人员停留超时告警，并自定义停留超时判定时长，满足不同场景下的监测需求。</w:t>
            </w:r>
          </w:p>
        </w:tc>
        <w:tc>
          <w:tcPr>
            <w:tcW w:w="1067" w:type="dxa"/>
            <w:shd w:val="clear" w:color="auto" w:fill="auto"/>
          </w:tcPr>
          <w:p w14:paraId="75150994">
            <w:pPr>
              <w:widowControl/>
              <w:jc w:val="left"/>
              <w:textAlignment w:val="center"/>
              <w:rPr>
                <w:rFonts w:hint="eastAsia" w:ascii="宋体" w:hAnsi="宋体" w:eastAsia="宋体" w:cs="宋体"/>
                <w:color w:val="000000"/>
                <w:kern w:val="0"/>
                <w:sz w:val="24"/>
                <w:szCs w:val="24"/>
                <w:lang w:bidi="ar"/>
              </w:rPr>
            </w:pPr>
          </w:p>
        </w:tc>
      </w:tr>
      <w:tr w14:paraId="00DC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5FA2741">
            <w:pPr>
              <w:jc w:val="center"/>
              <w:rPr>
                <w:rFonts w:hint="eastAsia" w:ascii="宋体" w:hAnsi="宋体" w:eastAsia="宋体" w:cs="宋体"/>
                <w:color w:val="000000"/>
                <w:sz w:val="24"/>
                <w:szCs w:val="24"/>
              </w:rPr>
            </w:pPr>
          </w:p>
        </w:tc>
        <w:tc>
          <w:tcPr>
            <w:tcW w:w="1073" w:type="dxa"/>
            <w:vMerge w:val="continue"/>
            <w:shd w:val="clear" w:color="auto" w:fill="auto"/>
          </w:tcPr>
          <w:p w14:paraId="77044F7D">
            <w:pPr>
              <w:jc w:val="center"/>
              <w:rPr>
                <w:rFonts w:hint="eastAsia" w:ascii="宋体" w:hAnsi="宋体" w:eastAsia="宋体" w:cs="宋体"/>
                <w:color w:val="000000"/>
                <w:sz w:val="24"/>
                <w:szCs w:val="24"/>
              </w:rPr>
            </w:pPr>
          </w:p>
        </w:tc>
        <w:tc>
          <w:tcPr>
            <w:tcW w:w="1425" w:type="dxa"/>
            <w:shd w:val="clear" w:color="auto" w:fill="auto"/>
            <w:vAlign w:val="center"/>
          </w:tcPr>
          <w:p w14:paraId="52CEC67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批量安装设置</w:t>
            </w:r>
          </w:p>
        </w:tc>
        <w:tc>
          <w:tcPr>
            <w:tcW w:w="3990" w:type="dxa"/>
            <w:shd w:val="clear" w:color="auto" w:fill="auto"/>
            <w:vAlign w:val="center"/>
          </w:tcPr>
          <w:p w14:paraId="18BA457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支持对选定的一组安装目标进行统一的安装参数配置；用户可通过选择目标集合并指定统一的安装设置，实现对多个设备的同时设定。</w:t>
            </w:r>
          </w:p>
        </w:tc>
        <w:tc>
          <w:tcPr>
            <w:tcW w:w="1067" w:type="dxa"/>
            <w:shd w:val="clear" w:color="auto" w:fill="auto"/>
          </w:tcPr>
          <w:p w14:paraId="47705B95">
            <w:pPr>
              <w:widowControl/>
              <w:jc w:val="left"/>
              <w:textAlignment w:val="center"/>
              <w:rPr>
                <w:rFonts w:hint="eastAsia" w:ascii="宋体" w:hAnsi="宋体" w:eastAsia="宋体" w:cs="宋体"/>
                <w:color w:val="000000"/>
                <w:kern w:val="0"/>
                <w:sz w:val="24"/>
                <w:szCs w:val="24"/>
                <w:lang w:bidi="ar"/>
              </w:rPr>
            </w:pPr>
          </w:p>
        </w:tc>
      </w:tr>
      <w:tr w14:paraId="59F9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A0CA053">
            <w:pPr>
              <w:jc w:val="center"/>
              <w:rPr>
                <w:rFonts w:hint="eastAsia" w:ascii="宋体" w:hAnsi="宋体" w:eastAsia="宋体" w:cs="宋体"/>
                <w:color w:val="000000"/>
                <w:sz w:val="24"/>
                <w:szCs w:val="24"/>
              </w:rPr>
            </w:pPr>
          </w:p>
        </w:tc>
        <w:tc>
          <w:tcPr>
            <w:tcW w:w="1073" w:type="dxa"/>
            <w:vMerge w:val="continue"/>
            <w:shd w:val="clear" w:color="auto" w:fill="auto"/>
          </w:tcPr>
          <w:p w14:paraId="25857E93">
            <w:pPr>
              <w:jc w:val="center"/>
              <w:rPr>
                <w:rFonts w:hint="eastAsia" w:ascii="宋体" w:hAnsi="宋体" w:eastAsia="宋体" w:cs="宋体"/>
                <w:color w:val="000000"/>
                <w:sz w:val="24"/>
                <w:szCs w:val="24"/>
              </w:rPr>
            </w:pPr>
          </w:p>
        </w:tc>
        <w:tc>
          <w:tcPr>
            <w:tcW w:w="1425" w:type="dxa"/>
            <w:shd w:val="clear" w:color="auto" w:fill="auto"/>
            <w:vAlign w:val="center"/>
          </w:tcPr>
          <w:p w14:paraId="6F90317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批量告警设置</w:t>
            </w:r>
          </w:p>
        </w:tc>
        <w:tc>
          <w:tcPr>
            <w:tcW w:w="3990" w:type="dxa"/>
            <w:shd w:val="clear" w:color="auto" w:fill="auto"/>
            <w:vAlign w:val="center"/>
          </w:tcPr>
          <w:p w14:paraId="1F93F9F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支持对选定的一组安装目标进行统一的告警参数配置；用户可通过选择目标集合并指定统一的告警设置，实现对多个设备的同时设定。</w:t>
            </w:r>
          </w:p>
        </w:tc>
        <w:tc>
          <w:tcPr>
            <w:tcW w:w="1067" w:type="dxa"/>
            <w:shd w:val="clear" w:color="auto" w:fill="auto"/>
          </w:tcPr>
          <w:p w14:paraId="428DE041">
            <w:pPr>
              <w:widowControl/>
              <w:jc w:val="left"/>
              <w:textAlignment w:val="center"/>
              <w:rPr>
                <w:rFonts w:hint="eastAsia" w:ascii="宋体" w:hAnsi="宋体" w:eastAsia="宋体" w:cs="宋体"/>
                <w:color w:val="000000"/>
                <w:kern w:val="0"/>
                <w:sz w:val="24"/>
                <w:szCs w:val="24"/>
                <w:lang w:bidi="ar"/>
              </w:rPr>
            </w:pPr>
          </w:p>
        </w:tc>
      </w:tr>
      <w:tr w14:paraId="7ECC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6F09C37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073" w:type="dxa"/>
            <w:vMerge w:val="restart"/>
            <w:shd w:val="clear" w:color="auto" w:fill="auto"/>
            <w:vAlign w:val="center"/>
          </w:tcPr>
          <w:p w14:paraId="1A050AD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基础数据管理</w:t>
            </w:r>
          </w:p>
        </w:tc>
        <w:tc>
          <w:tcPr>
            <w:tcW w:w="1425" w:type="dxa"/>
            <w:shd w:val="clear" w:color="auto" w:fill="auto"/>
            <w:vAlign w:val="center"/>
          </w:tcPr>
          <w:p w14:paraId="4DA5C7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科室管理</w:t>
            </w:r>
          </w:p>
        </w:tc>
        <w:tc>
          <w:tcPr>
            <w:tcW w:w="3990" w:type="dxa"/>
            <w:shd w:val="clear" w:color="auto" w:fill="auto"/>
            <w:vAlign w:val="center"/>
          </w:tcPr>
          <w:p w14:paraId="64F9D26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支持添加新的科室信息，包括科室名称、科室代码等；支持对现有科室信息的修改、删除、同步以及查询。</w:t>
            </w:r>
          </w:p>
        </w:tc>
        <w:tc>
          <w:tcPr>
            <w:tcW w:w="1067" w:type="dxa"/>
            <w:shd w:val="clear" w:color="auto" w:fill="auto"/>
          </w:tcPr>
          <w:p w14:paraId="3D5AF715">
            <w:pPr>
              <w:widowControl/>
              <w:jc w:val="left"/>
              <w:textAlignment w:val="center"/>
              <w:rPr>
                <w:rFonts w:hint="eastAsia" w:ascii="宋体" w:hAnsi="宋体" w:eastAsia="宋体" w:cs="宋体"/>
                <w:color w:val="000000"/>
                <w:kern w:val="0"/>
                <w:sz w:val="24"/>
                <w:szCs w:val="24"/>
                <w:lang w:bidi="ar"/>
              </w:rPr>
            </w:pPr>
          </w:p>
        </w:tc>
      </w:tr>
      <w:tr w14:paraId="76BA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0D2D6A68">
            <w:pPr>
              <w:jc w:val="center"/>
              <w:rPr>
                <w:rFonts w:hint="eastAsia" w:ascii="宋体" w:hAnsi="宋体" w:eastAsia="宋体" w:cs="宋体"/>
                <w:color w:val="000000"/>
                <w:sz w:val="24"/>
                <w:szCs w:val="24"/>
              </w:rPr>
            </w:pPr>
          </w:p>
        </w:tc>
        <w:tc>
          <w:tcPr>
            <w:tcW w:w="1073" w:type="dxa"/>
            <w:vMerge w:val="continue"/>
            <w:shd w:val="clear" w:color="auto" w:fill="auto"/>
          </w:tcPr>
          <w:p w14:paraId="474DC97A">
            <w:pPr>
              <w:jc w:val="center"/>
              <w:rPr>
                <w:rFonts w:hint="eastAsia" w:ascii="宋体" w:hAnsi="宋体" w:eastAsia="宋体" w:cs="宋体"/>
                <w:color w:val="000000"/>
                <w:sz w:val="24"/>
                <w:szCs w:val="24"/>
              </w:rPr>
            </w:pPr>
          </w:p>
        </w:tc>
        <w:tc>
          <w:tcPr>
            <w:tcW w:w="1425" w:type="dxa"/>
            <w:shd w:val="clear" w:color="auto" w:fill="auto"/>
            <w:vAlign w:val="center"/>
          </w:tcPr>
          <w:p w14:paraId="447751C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病区管理</w:t>
            </w:r>
          </w:p>
        </w:tc>
        <w:tc>
          <w:tcPr>
            <w:tcW w:w="3990" w:type="dxa"/>
            <w:shd w:val="clear" w:color="auto" w:fill="auto"/>
            <w:vAlign w:val="center"/>
          </w:tcPr>
          <w:p w14:paraId="377E1A1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支持添加新的病区信息，包括病区名称、病区代码、所属科室等；支持对现有病区信息的修改、删除、同步以及查询。</w:t>
            </w:r>
          </w:p>
        </w:tc>
        <w:tc>
          <w:tcPr>
            <w:tcW w:w="1067" w:type="dxa"/>
            <w:shd w:val="clear" w:color="auto" w:fill="auto"/>
          </w:tcPr>
          <w:p w14:paraId="421FAD1C">
            <w:pPr>
              <w:widowControl/>
              <w:jc w:val="left"/>
              <w:textAlignment w:val="center"/>
              <w:rPr>
                <w:rFonts w:hint="eastAsia" w:ascii="宋体" w:hAnsi="宋体" w:eastAsia="宋体" w:cs="宋体"/>
                <w:color w:val="000000"/>
                <w:kern w:val="0"/>
                <w:sz w:val="24"/>
                <w:szCs w:val="24"/>
                <w:lang w:bidi="ar"/>
              </w:rPr>
            </w:pPr>
          </w:p>
        </w:tc>
      </w:tr>
      <w:tr w14:paraId="4F6C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E124323">
            <w:pPr>
              <w:jc w:val="center"/>
              <w:rPr>
                <w:rFonts w:hint="eastAsia" w:ascii="宋体" w:hAnsi="宋体" w:eastAsia="宋体" w:cs="宋体"/>
                <w:color w:val="000000"/>
                <w:sz w:val="24"/>
                <w:szCs w:val="24"/>
              </w:rPr>
            </w:pPr>
          </w:p>
        </w:tc>
        <w:tc>
          <w:tcPr>
            <w:tcW w:w="1073" w:type="dxa"/>
            <w:vMerge w:val="continue"/>
            <w:shd w:val="clear" w:color="auto" w:fill="auto"/>
          </w:tcPr>
          <w:p w14:paraId="5A7CE0BD">
            <w:pPr>
              <w:jc w:val="center"/>
              <w:rPr>
                <w:rFonts w:hint="eastAsia" w:ascii="宋体" w:hAnsi="宋体" w:eastAsia="宋体" w:cs="宋体"/>
                <w:color w:val="000000"/>
                <w:sz w:val="24"/>
                <w:szCs w:val="24"/>
              </w:rPr>
            </w:pPr>
          </w:p>
        </w:tc>
        <w:tc>
          <w:tcPr>
            <w:tcW w:w="1425" w:type="dxa"/>
            <w:shd w:val="clear" w:color="auto" w:fill="auto"/>
            <w:vAlign w:val="center"/>
          </w:tcPr>
          <w:p w14:paraId="12D6E23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护理单元管理</w:t>
            </w:r>
          </w:p>
        </w:tc>
        <w:tc>
          <w:tcPr>
            <w:tcW w:w="3990" w:type="dxa"/>
            <w:shd w:val="clear" w:color="auto" w:fill="auto"/>
            <w:vAlign w:val="center"/>
          </w:tcPr>
          <w:p w14:paraId="1BA13A0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支持添加新的护理单元信息，包括护理单元名称、护理单元代码、关联病区、所属科室等；支持对现有护理单元的修改、删除、同步以及查询。</w:t>
            </w:r>
          </w:p>
        </w:tc>
        <w:tc>
          <w:tcPr>
            <w:tcW w:w="1067" w:type="dxa"/>
            <w:shd w:val="clear" w:color="auto" w:fill="auto"/>
          </w:tcPr>
          <w:p w14:paraId="474A6723">
            <w:pPr>
              <w:widowControl/>
              <w:jc w:val="left"/>
              <w:textAlignment w:val="center"/>
              <w:rPr>
                <w:rFonts w:hint="eastAsia" w:ascii="宋体" w:hAnsi="宋体" w:eastAsia="宋体" w:cs="宋体"/>
                <w:color w:val="000000"/>
                <w:kern w:val="0"/>
                <w:sz w:val="24"/>
                <w:szCs w:val="24"/>
                <w:lang w:bidi="ar"/>
              </w:rPr>
            </w:pPr>
          </w:p>
        </w:tc>
      </w:tr>
      <w:tr w14:paraId="0569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F1A0F3C">
            <w:pPr>
              <w:jc w:val="center"/>
              <w:rPr>
                <w:rFonts w:hint="eastAsia" w:ascii="宋体" w:hAnsi="宋体" w:eastAsia="宋体" w:cs="宋体"/>
                <w:color w:val="000000"/>
                <w:sz w:val="24"/>
                <w:szCs w:val="24"/>
              </w:rPr>
            </w:pPr>
          </w:p>
        </w:tc>
        <w:tc>
          <w:tcPr>
            <w:tcW w:w="1073" w:type="dxa"/>
            <w:vMerge w:val="continue"/>
            <w:shd w:val="clear" w:color="auto" w:fill="auto"/>
          </w:tcPr>
          <w:p w14:paraId="6BA893BB">
            <w:pPr>
              <w:jc w:val="center"/>
              <w:rPr>
                <w:rFonts w:hint="eastAsia" w:ascii="宋体" w:hAnsi="宋体" w:eastAsia="宋体" w:cs="宋体"/>
                <w:color w:val="000000"/>
                <w:sz w:val="24"/>
                <w:szCs w:val="24"/>
              </w:rPr>
            </w:pPr>
          </w:p>
        </w:tc>
        <w:tc>
          <w:tcPr>
            <w:tcW w:w="1425" w:type="dxa"/>
            <w:shd w:val="clear" w:color="auto" w:fill="auto"/>
            <w:vAlign w:val="center"/>
          </w:tcPr>
          <w:p w14:paraId="46F0FF5D">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病房管理</w:t>
            </w:r>
          </w:p>
        </w:tc>
        <w:tc>
          <w:tcPr>
            <w:tcW w:w="3990" w:type="dxa"/>
            <w:shd w:val="clear" w:color="auto" w:fill="auto"/>
            <w:vAlign w:val="center"/>
          </w:tcPr>
          <w:p w14:paraId="5673B09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支持添加新的病房信息，包括病房名称、病房代码、所属护理单元等；支持对现有病房信息的修改、删除、同步以及查询。</w:t>
            </w:r>
          </w:p>
        </w:tc>
        <w:tc>
          <w:tcPr>
            <w:tcW w:w="1067" w:type="dxa"/>
            <w:shd w:val="clear" w:color="auto" w:fill="auto"/>
          </w:tcPr>
          <w:p w14:paraId="242B8C9A">
            <w:pPr>
              <w:widowControl/>
              <w:jc w:val="left"/>
              <w:textAlignment w:val="center"/>
              <w:rPr>
                <w:rFonts w:hint="eastAsia" w:ascii="宋体" w:hAnsi="宋体" w:eastAsia="宋体" w:cs="宋体"/>
                <w:color w:val="000000"/>
                <w:kern w:val="0"/>
                <w:sz w:val="24"/>
                <w:szCs w:val="24"/>
                <w:lang w:bidi="ar"/>
              </w:rPr>
            </w:pPr>
          </w:p>
        </w:tc>
      </w:tr>
      <w:tr w14:paraId="1027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5A97CE9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5</w:t>
            </w:r>
          </w:p>
        </w:tc>
        <w:tc>
          <w:tcPr>
            <w:tcW w:w="1073" w:type="dxa"/>
            <w:vMerge w:val="restart"/>
            <w:shd w:val="clear" w:color="auto" w:fill="auto"/>
            <w:vAlign w:val="center"/>
          </w:tcPr>
          <w:p w14:paraId="173385B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系统管理</w:t>
            </w:r>
          </w:p>
        </w:tc>
        <w:tc>
          <w:tcPr>
            <w:tcW w:w="1425" w:type="dxa"/>
            <w:shd w:val="clear" w:color="auto" w:fill="auto"/>
            <w:vAlign w:val="center"/>
          </w:tcPr>
          <w:p w14:paraId="7E45072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用户管理</w:t>
            </w:r>
          </w:p>
        </w:tc>
        <w:tc>
          <w:tcPr>
            <w:tcW w:w="3990" w:type="dxa"/>
            <w:shd w:val="clear" w:color="auto" w:fill="auto"/>
            <w:vAlign w:val="center"/>
          </w:tcPr>
          <w:p w14:paraId="4CE5B8A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支持添加新的用户信息，包括账号名称、用户代码、所属角色、状态等；支持对现有用户信息的修改、删除、同步以及查询。</w:t>
            </w:r>
          </w:p>
        </w:tc>
        <w:tc>
          <w:tcPr>
            <w:tcW w:w="1067" w:type="dxa"/>
            <w:shd w:val="clear" w:color="auto" w:fill="auto"/>
          </w:tcPr>
          <w:p w14:paraId="6E3796D6">
            <w:pPr>
              <w:widowControl/>
              <w:jc w:val="left"/>
              <w:textAlignment w:val="center"/>
              <w:rPr>
                <w:rFonts w:hint="eastAsia" w:ascii="宋体" w:hAnsi="宋体" w:eastAsia="宋体" w:cs="宋体"/>
                <w:color w:val="000000"/>
                <w:kern w:val="0"/>
                <w:sz w:val="24"/>
                <w:szCs w:val="24"/>
                <w:lang w:bidi="ar"/>
              </w:rPr>
            </w:pPr>
          </w:p>
        </w:tc>
      </w:tr>
      <w:tr w14:paraId="064E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B492E2F">
            <w:pPr>
              <w:jc w:val="center"/>
              <w:rPr>
                <w:rFonts w:hint="eastAsia" w:ascii="宋体" w:hAnsi="宋体" w:eastAsia="宋体" w:cs="宋体"/>
                <w:color w:val="000000"/>
                <w:sz w:val="24"/>
                <w:szCs w:val="24"/>
              </w:rPr>
            </w:pPr>
          </w:p>
        </w:tc>
        <w:tc>
          <w:tcPr>
            <w:tcW w:w="1073" w:type="dxa"/>
            <w:vMerge w:val="continue"/>
            <w:shd w:val="clear" w:color="auto" w:fill="auto"/>
          </w:tcPr>
          <w:p w14:paraId="363B6101">
            <w:pPr>
              <w:jc w:val="center"/>
              <w:rPr>
                <w:rFonts w:hint="eastAsia" w:ascii="宋体" w:hAnsi="宋体" w:eastAsia="宋体" w:cs="宋体"/>
                <w:color w:val="000000"/>
                <w:sz w:val="24"/>
                <w:szCs w:val="24"/>
              </w:rPr>
            </w:pPr>
          </w:p>
        </w:tc>
        <w:tc>
          <w:tcPr>
            <w:tcW w:w="1425" w:type="dxa"/>
            <w:shd w:val="clear" w:color="auto" w:fill="auto"/>
            <w:vAlign w:val="center"/>
          </w:tcPr>
          <w:p w14:paraId="072A424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角色管理</w:t>
            </w:r>
          </w:p>
        </w:tc>
        <w:tc>
          <w:tcPr>
            <w:tcW w:w="3990" w:type="dxa"/>
            <w:shd w:val="clear" w:color="auto" w:fill="auto"/>
            <w:vAlign w:val="center"/>
          </w:tcPr>
          <w:p w14:paraId="37D08D1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支持添加新的角色信息，包括角色名称、角色代码、备注、状态等；支持对现有角色的修改、删除以及查询。</w:t>
            </w:r>
          </w:p>
        </w:tc>
        <w:tc>
          <w:tcPr>
            <w:tcW w:w="1067" w:type="dxa"/>
            <w:shd w:val="clear" w:color="auto" w:fill="auto"/>
          </w:tcPr>
          <w:p w14:paraId="350BD266">
            <w:pPr>
              <w:widowControl/>
              <w:jc w:val="left"/>
              <w:textAlignment w:val="center"/>
              <w:rPr>
                <w:rFonts w:hint="eastAsia" w:ascii="宋体" w:hAnsi="宋体" w:eastAsia="宋体" w:cs="宋体"/>
                <w:color w:val="000000"/>
                <w:kern w:val="0"/>
                <w:sz w:val="24"/>
                <w:szCs w:val="24"/>
                <w:lang w:bidi="ar"/>
              </w:rPr>
            </w:pPr>
          </w:p>
        </w:tc>
      </w:tr>
      <w:tr w14:paraId="28E3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F62F65E">
            <w:pPr>
              <w:jc w:val="center"/>
              <w:rPr>
                <w:rFonts w:hint="eastAsia" w:ascii="宋体" w:hAnsi="宋体" w:eastAsia="宋体" w:cs="宋体"/>
                <w:color w:val="000000"/>
                <w:sz w:val="24"/>
                <w:szCs w:val="24"/>
              </w:rPr>
            </w:pPr>
          </w:p>
        </w:tc>
        <w:tc>
          <w:tcPr>
            <w:tcW w:w="1073" w:type="dxa"/>
            <w:vMerge w:val="continue"/>
            <w:shd w:val="clear" w:color="auto" w:fill="auto"/>
          </w:tcPr>
          <w:p w14:paraId="1B389F9D">
            <w:pPr>
              <w:jc w:val="center"/>
              <w:rPr>
                <w:rFonts w:hint="eastAsia" w:ascii="宋体" w:hAnsi="宋体" w:eastAsia="宋体" w:cs="宋体"/>
                <w:color w:val="000000"/>
                <w:sz w:val="24"/>
                <w:szCs w:val="24"/>
              </w:rPr>
            </w:pPr>
          </w:p>
        </w:tc>
        <w:tc>
          <w:tcPr>
            <w:tcW w:w="1425" w:type="dxa"/>
            <w:shd w:val="clear" w:color="auto" w:fill="auto"/>
            <w:vAlign w:val="center"/>
          </w:tcPr>
          <w:p w14:paraId="6B0BEA4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权限分配</w:t>
            </w:r>
          </w:p>
        </w:tc>
        <w:tc>
          <w:tcPr>
            <w:tcW w:w="3990" w:type="dxa"/>
            <w:shd w:val="clear" w:color="auto" w:fill="auto"/>
            <w:vAlign w:val="center"/>
          </w:tcPr>
          <w:p w14:paraId="43F53F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允许系统管理员或指定的权限管理员根据医院组织结构和岗位职责，为预定义的用户角色配置菜单访问权限；管理员可查看系统所有可用的功能菜单及层级结构，并选择性地为特定角色分配或取消分配菜单访问权限；确保权限配置的准确性和一致性，清晰展示每个角色的菜单访问权限列表；权限配置变更后实时或按策略生效。</w:t>
            </w:r>
          </w:p>
        </w:tc>
        <w:tc>
          <w:tcPr>
            <w:tcW w:w="1067" w:type="dxa"/>
            <w:shd w:val="clear" w:color="auto" w:fill="auto"/>
          </w:tcPr>
          <w:p w14:paraId="148E11C9">
            <w:pPr>
              <w:widowControl/>
              <w:jc w:val="left"/>
              <w:textAlignment w:val="center"/>
              <w:rPr>
                <w:rFonts w:hint="eastAsia" w:ascii="宋体" w:hAnsi="宋体" w:eastAsia="宋体" w:cs="宋体"/>
                <w:color w:val="000000"/>
                <w:kern w:val="0"/>
                <w:sz w:val="24"/>
                <w:szCs w:val="24"/>
                <w:lang w:bidi="ar"/>
              </w:rPr>
            </w:pPr>
          </w:p>
        </w:tc>
      </w:tr>
      <w:tr w14:paraId="2DA3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38F81CF0">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1073" w:type="dxa"/>
            <w:shd w:val="clear" w:color="auto" w:fill="auto"/>
            <w:vAlign w:val="center"/>
          </w:tcPr>
          <w:p w14:paraId="02B4E371">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跌倒监测器（6台）</w:t>
            </w:r>
          </w:p>
        </w:tc>
        <w:tc>
          <w:tcPr>
            <w:tcW w:w="1425" w:type="dxa"/>
            <w:shd w:val="clear" w:color="auto" w:fill="auto"/>
            <w:vAlign w:val="center"/>
          </w:tcPr>
          <w:p w14:paraId="4A5344D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4AE3D13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1、采用毫米波雷达定制算法，精准识别缓慢/快速跌倒、瘫倒、绊倒、从床上/马桶上跌落等并告警；</w:t>
            </w:r>
          </w:p>
          <w:p w14:paraId="48AEAA7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2、支持区域是否有人判断；</w:t>
            </w:r>
          </w:p>
          <w:p w14:paraId="74CE459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3、有效范围不低于4.5m*4m；</w:t>
            </w:r>
          </w:p>
          <w:p w14:paraId="32F6677A">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4、支持支持OTG升级；</w:t>
            </w:r>
          </w:p>
          <w:p w14:paraId="4EFD3C7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5、采用485串口供电或12V/AC供电；</w:t>
            </w:r>
          </w:p>
          <w:p w14:paraId="7CD4734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6、提供UHF、WiFi、串口等多种数据传输方式；</w:t>
            </w:r>
          </w:p>
          <w:p w14:paraId="01A9C64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7、可吸顶安装或壁挂安装</w:t>
            </w:r>
          </w:p>
        </w:tc>
        <w:tc>
          <w:tcPr>
            <w:tcW w:w="1067" w:type="dxa"/>
            <w:shd w:val="clear" w:color="auto" w:fill="auto"/>
          </w:tcPr>
          <w:p w14:paraId="042785D9">
            <w:pPr>
              <w:widowControl/>
              <w:jc w:val="left"/>
              <w:textAlignment w:val="center"/>
              <w:rPr>
                <w:rFonts w:hint="eastAsia" w:ascii="宋体" w:hAnsi="宋体" w:eastAsia="宋体" w:cs="宋体"/>
                <w:color w:val="000000"/>
                <w:kern w:val="0"/>
                <w:sz w:val="24"/>
                <w:szCs w:val="24"/>
                <w:lang w:bidi="ar"/>
              </w:rPr>
            </w:pPr>
          </w:p>
          <w:p w14:paraId="3D9B4E6F">
            <w:pPr>
              <w:widowControl/>
              <w:jc w:val="left"/>
              <w:textAlignment w:val="center"/>
              <w:rPr>
                <w:rFonts w:hint="eastAsia" w:ascii="宋体" w:hAnsi="宋体" w:eastAsia="宋体" w:cs="宋体"/>
                <w:color w:val="000000"/>
                <w:kern w:val="0"/>
                <w:sz w:val="24"/>
                <w:szCs w:val="24"/>
                <w:lang w:bidi="ar"/>
              </w:rPr>
            </w:pPr>
          </w:p>
          <w:p w14:paraId="3D00E1D2">
            <w:pPr>
              <w:widowControl/>
              <w:jc w:val="left"/>
              <w:textAlignment w:val="center"/>
              <w:rPr>
                <w:rFonts w:hint="eastAsia" w:ascii="宋体" w:hAnsi="宋体" w:eastAsia="宋体" w:cs="宋体"/>
                <w:color w:val="000000"/>
                <w:kern w:val="0"/>
                <w:sz w:val="24"/>
                <w:szCs w:val="24"/>
                <w:lang w:bidi="ar"/>
              </w:rPr>
            </w:pPr>
          </w:p>
          <w:p w14:paraId="05F7B7F5">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按卫生间及床头数量配置</w:t>
            </w:r>
          </w:p>
        </w:tc>
      </w:tr>
      <w:tr w14:paraId="6C88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21" w:type="dxa"/>
            <w:gridSpan w:val="5"/>
            <w:shd w:val="clear" w:color="auto" w:fill="auto"/>
            <w:vAlign w:val="center"/>
          </w:tcPr>
          <w:p w14:paraId="14EEFB3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（四）、护理活动无感采集系统</w:t>
            </w:r>
          </w:p>
        </w:tc>
      </w:tr>
      <w:tr w14:paraId="779D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5A9B8DBE">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073" w:type="dxa"/>
            <w:vMerge w:val="restart"/>
            <w:shd w:val="clear" w:color="auto" w:fill="auto"/>
            <w:vAlign w:val="center"/>
          </w:tcPr>
          <w:p w14:paraId="253990FE">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监控中</w:t>
            </w:r>
          </w:p>
          <w:p w14:paraId="2587C9F0">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心</w:t>
            </w:r>
          </w:p>
        </w:tc>
        <w:tc>
          <w:tcPr>
            <w:tcW w:w="1425" w:type="dxa"/>
            <w:shd w:val="clear" w:color="auto" w:fill="auto"/>
            <w:vAlign w:val="center"/>
          </w:tcPr>
          <w:p w14:paraId="09A8F3E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地图可视化</w:t>
            </w:r>
          </w:p>
        </w:tc>
        <w:tc>
          <w:tcPr>
            <w:tcW w:w="3990" w:type="dxa"/>
            <w:shd w:val="clear" w:color="auto" w:fill="auto"/>
            <w:vAlign w:val="center"/>
          </w:tcPr>
          <w:p w14:paraId="61630C5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本功能以实时地图为核心可视化载体，动态展示医护人员的实时位置及报警状态；点击人员图标可查看其基础信息、当前位置详情，并支持调取对应区域的视频监控画面；地图支持全屏显示、缩放控制及 2D/3D 视角切换，助力管理人员实时掌控医护人员动态。</w:t>
            </w:r>
          </w:p>
        </w:tc>
        <w:tc>
          <w:tcPr>
            <w:tcW w:w="1067" w:type="dxa"/>
            <w:shd w:val="clear" w:color="auto" w:fill="auto"/>
          </w:tcPr>
          <w:p w14:paraId="2025D3F0">
            <w:pPr>
              <w:widowControl/>
              <w:jc w:val="left"/>
              <w:textAlignment w:val="center"/>
              <w:rPr>
                <w:rFonts w:hint="eastAsia" w:ascii="宋体" w:hAnsi="宋体" w:eastAsia="宋体" w:cs="宋体"/>
                <w:color w:val="000000"/>
                <w:kern w:val="0"/>
                <w:sz w:val="24"/>
                <w:szCs w:val="24"/>
                <w:lang w:bidi="ar"/>
              </w:rPr>
            </w:pPr>
          </w:p>
        </w:tc>
      </w:tr>
      <w:tr w14:paraId="5AC1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AF59BF9">
            <w:pPr>
              <w:jc w:val="center"/>
              <w:rPr>
                <w:rFonts w:hint="eastAsia" w:ascii="宋体" w:hAnsi="宋体" w:eastAsia="宋体" w:cs="宋体"/>
                <w:color w:val="000000"/>
                <w:sz w:val="24"/>
                <w:szCs w:val="24"/>
              </w:rPr>
            </w:pPr>
          </w:p>
        </w:tc>
        <w:tc>
          <w:tcPr>
            <w:tcW w:w="1073" w:type="dxa"/>
            <w:vMerge w:val="continue"/>
            <w:shd w:val="clear" w:color="auto" w:fill="auto"/>
          </w:tcPr>
          <w:p w14:paraId="54186D35">
            <w:pPr>
              <w:jc w:val="center"/>
              <w:rPr>
                <w:rFonts w:hint="eastAsia" w:ascii="宋体" w:hAnsi="宋体" w:eastAsia="宋体" w:cs="宋体"/>
                <w:color w:val="000000"/>
                <w:sz w:val="24"/>
                <w:szCs w:val="24"/>
              </w:rPr>
            </w:pPr>
          </w:p>
        </w:tc>
        <w:tc>
          <w:tcPr>
            <w:tcW w:w="1425" w:type="dxa"/>
            <w:shd w:val="clear" w:color="auto" w:fill="auto"/>
            <w:vAlign w:val="center"/>
          </w:tcPr>
          <w:p w14:paraId="072CDD3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医护列表</w:t>
            </w:r>
          </w:p>
        </w:tc>
        <w:tc>
          <w:tcPr>
            <w:tcW w:w="3990" w:type="dxa"/>
            <w:shd w:val="clear" w:color="auto" w:fill="auto"/>
            <w:vAlign w:val="center"/>
          </w:tcPr>
          <w:p w14:paraId="1C39B7C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从地图监控中心的菜单入口进入本列表，页面集中展示当前地图范围内所有医护人员的核心信息，包括姓名、所佩戴平安医护工卡的编号及工卡状态等；支持一键切换 “隐藏 / 显示” 离线人员，方便快速聚焦在班人员信息。</w:t>
            </w:r>
          </w:p>
        </w:tc>
        <w:tc>
          <w:tcPr>
            <w:tcW w:w="1067" w:type="dxa"/>
            <w:shd w:val="clear" w:color="auto" w:fill="auto"/>
          </w:tcPr>
          <w:p w14:paraId="376A8B42">
            <w:pPr>
              <w:widowControl/>
              <w:jc w:val="left"/>
              <w:textAlignment w:val="center"/>
              <w:rPr>
                <w:rFonts w:hint="eastAsia" w:ascii="宋体" w:hAnsi="宋体" w:eastAsia="宋体" w:cs="宋体"/>
                <w:color w:val="000000"/>
                <w:kern w:val="0"/>
                <w:sz w:val="24"/>
                <w:szCs w:val="24"/>
                <w:lang w:bidi="ar"/>
              </w:rPr>
            </w:pPr>
          </w:p>
        </w:tc>
      </w:tr>
      <w:tr w14:paraId="7932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1B99E20">
            <w:pPr>
              <w:jc w:val="center"/>
              <w:rPr>
                <w:rFonts w:hint="eastAsia" w:ascii="宋体" w:hAnsi="宋体" w:eastAsia="宋体" w:cs="宋体"/>
                <w:color w:val="000000"/>
                <w:sz w:val="24"/>
                <w:szCs w:val="24"/>
              </w:rPr>
            </w:pPr>
          </w:p>
        </w:tc>
        <w:tc>
          <w:tcPr>
            <w:tcW w:w="1073" w:type="dxa"/>
            <w:vMerge w:val="continue"/>
            <w:shd w:val="clear" w:color="auto" w:fill="auto"/>
          </w:tcPr>
          <w:p w14:paraId="2AD6439C">
            <w:pPr>
              <w:jc w:val="center"/>
              <w:rPr>
                <w:rFonts w:hint="eastAsia" w:ascii="宋体" w:hAnsi="宋体" w:eastAsia="宋体" w:cs="宋体"/>
                <w:color w:val="000000"/>
                <w:sz w:val="24"/>
                <w:szCs w:val="24"/>
              </w:rPr>
            </w:pPr>
          </w:p>
        </w:tc>
        <w:tc>
          <w:tcPr>
            <w:tcW w:w="1425" w:type="dxa"/>
            <w:shd w:val="clear" w:color="auto" w:fill="auto"/>
            <w:vAlign w:val="center"/>
          </w:tcPr>
          <w:p w14:paraId="0151A88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房间列表</w:t>
            </w:r>
          </w:p>
        </w:tc>
        <w:tc>
          <w:tcPr>
            <w:tcW w:w="3990" w:type="dxa"/>
            <w:shd w:val="clear" w:color="auto" w:fill="auto"/>
            <w:vAlign w:val="center"/>
          </w:tcPr>
          <w:p w14:paraId="7FD67B2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从地图监控中心的菜单入口进入本列表，页面展示当前地图范围内所有病房的核心信息，包括病房名称、病房定位设备编号及设备状态等；同时支持一键查看对应病房的护士巡视记录，便捷追溯巡视情况。</w:t>
            </w:r>
          </w:p>
        </w:tc>
        <w:tc>
          <w:tcPr>
            <w:tcW w:w="1067" w:type="dxa"/>
            <w:shd w:val="clear" w:color="auto" w:fill="auto"/>
          </w:tcPr>
          <w:p w14:paraId="63E8DE58">
            <w:pPr>
              <w:widowControl/>
              <w:jc w:val="left"/>
              <w:textAlignment w:val="center"/>
              <w:rPr>
                <w:rFonts w:hint="eastAsia" w:ascii="宋体" w:hAnsi="宋体" w:eastAsia="宋体" w:cs="宋体"/>
                <w:color w:val="000000"/>
                <w:kern w:val="0"/>
                <w:sz w:val="24"/>
                <w:szCs w:val="24"/>
                <w:lang w:bidi="ar"/>
              </w:rPr>
            </w:pPr>
          </w:p>
        </w:tc>
      </w:tr>
      <w:tr w14:paraId="2ED3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3007C45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1073" w:type="dxa"/>
            <w:vMerge w:val="restart"/>
            <w:shd w:val="clear" w:color="auto" w:fill="auto"/>
            <w:vAlign w:val="center"/>
          </w:tcPr>
          <w:p w14:paraId="6BBD08A0">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任务中</w:t>
            </w:r>
          </w:p>
          <w:p w14:paraId="482A608A">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心</w:t>
            </w:r>
          </w:p>
        </w:tc>
        <w:tc>
          <w:tcPr>
            <w:tcW w:w="1425" w:type="dxa"/>
            <w:shd w:val="clear" w:color="auto" w:fill="auto"/>
            <w:vAlign w:val="center"/>
          </w:tcPr>
          <w:p w14:paraId="6FDB87E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任务中心</w:t>
            </w:r>
          </w:p>
        </w:tc>
        <w:tc>
          <w:tcPr>
            <w:tcW w:w="3990" w:type="dxa"/>
            <w:shd w:val="clear" w:color="auto" w:fill="auto"/>
            <w:vAlign w:val="center"/>
          </w:tcPr>
          <w:p w14:paraId="7774FC7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此页面展示今日巡视的任务中心，展示当天病区巡视的总情况，以及每个床位的患者情况、巡视情况。包括患者床位、姓名、护理等级、责任护士、护理标识；以及巡视情况。并支持超时巡视告警提醒</w:t>
            </w:r>
          </w:p>
        </w:tc>
        <w:tc>
          <w:tcPr>
            <w:tcW w:w="1067" w:type="dxa"/>
            <w:shd w:val="clear" w:color="auto" w:fill="auto"/>
          </w:tcPr>
          <w:p w14:paraId="7FB59804">
            <w:pPr>
              <w:widowControl/>
              <w:jc w:val="left"/>
              <w:textAlignment w:val="center"/>
              <w:rPr>
                <w:rFonts w:hint="eastAsia" w:ascii="宋体" w:hAnsi="宋体" w:eastAsia="宋体" w:cs="宋体"/>
                <w:color w:val="000000"/>
                <w:kern w:val="0"/>
                <w:sz w:val="24"/>
                <w:szCs w:val="24"/>
                <w:lang w:bidi="ar"/>
              </w:rPr>
            </w:pPr>
          </w:p>
        </w:tc>
      </w:tr>
      <w:tr w14:paraId="2E62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20E70A52">
            <w:pPr>
              <w:jc w:val="center"/>
              <w:rPr>
                <w:rFonts w:hint="eastAsia" w:ascii="宋体" w:hAnsi="宋体" w:eastAsia="宋体" w:cs="宋体"/>
                <w:color w:val="000000"/>
                <w:sz w:val="24"/>
                <w:szCs w:val="24"/>
              </w:rPr>
            </w:pPr>
          </w:p>
        </w:tc>
        <w:tc>
          <w:tcPr>
            <w:tcW w:w="1073" w:type="dxa"/>
            <w:vMerge w:val="continue"/>
            <w:shd w:val="clear" w:color="auto" w:fill="auto"/>
          </w:tcPr>
          <w:p w14:paraId="56AA0FF0">
            <w:pPr>
              <w:jc w:val="center"/>
              <w:rPr>
                <w:rFonts w:hint="eastAsia" w:ascii="宋体" w:hAnsi="宋体" w:eastAsia="宋体" w:cs="宋体"/>
                <w:color w:val="000000"/>
                <w:sz w:val="24"/>
                <w:szCs w:val="24"/>
              </w:rPr>
            </w:pPr>
          </w:p>
        </w:tc>
        <w:tc>
          <w:tcPr>
            <w:tcW w:w="1425" w:type="dxa"/>
            <w:shd w:val="clear" w:color="auto" w:fill="auto"/>
            <w:vAlign w:val="center"/>
          </w:tcPr>
          <w:p w14:paraId="187F817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单床位巡视记录</w:t>
            </w:r>
          </w:p>
        </w:tc>
        <w:tc>
          <w:tcPr>
            <w:tcW w:w="3990" w:type="dxa"/>
            <w:shd w:val="clear" w:color="auto" w:fill="auto"/>
            <w:vAlign w:val="center"/>
          </w:tcPr>
          <w:p w14:paraId="3F20B55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点击任务中心任意床位，进入但床位巡视记录，展示患者信息，以及此床位的巡视记录，包括巡视护士、护士工号、巡视时间、巡视日期等信息。</w:t>
            </w:r>
          </w:p>
        </w:tc>
        <w:tc>
          <w:tcPr>
            <w:tcW w:w="1067" w:type="dxa"/>
            <w:shd w:val="clear" w:color="auto" w:fill="auto"/>
          </w:tcPr>
          <w:p w14:paraId="6D9109AF">
            <w:pPr>
              <w:widowControl/>
              <w:jc w:val="left"/>
              <w:textAlignment w:val="center"/>
              <w:rPr>
                <w:rFonts w:hint="eastAsia" w:ascii="宋体" w:hAnsi="宋体" w:eastAsia="宋体" w:cs="宋体"/>
                <w:color w:val="000000"/>
                <w:kern w:val="0"/>
                <w:sz w:val="24"/>
                <w:szCs w:val="24"/>
                <w:lang w:bidi="ar"/>
              </w:rPr>
            </w:pPr>
          </w:p>
        </w:tc>
      </w:tr>
      <w:tr w14:paraId="1BDE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00DAE020">
            <w:pPr>
              <w:jc w:val="center"/>
              <w:rPr>
                <w:rFonts w:hint="eastAsia" w:ascii="宋体" w:hAnsi="宋体" w:eastAsia="宋体" w:cs="宋体"/>
                <w:color w:val="000000"/>
                <w:sz w:val="24"/>
                <w:szCs w:val="24"/>
              </w:rPr>
            </w:pPr>
          </w:p>
        </w:tc>
        <w:tc>
          <w:tcPr>
            <w:tcW w:w="1073" w:type="dxa"/>
            <w:vMerge w:val="continue"/>
            <w:shd w:val="clear" w:color="auto" w:fill="auto"/>
          </w:tcPr>
          <w:p w14:paraId="7FB758CC">
            <w:pPr>
              <w:jc w:val="center"/>
              <w:rPr>
                <w:rFonts w:hint="eastAsia" w:ascii="宋体" w:hAnsi="宋体" w:eastAsia="宋体" w:cs="宋体"/>
                <w:color w:val="000000"/>
                <w:sz w:val="24"/>
                <w:szCs w:val="24"/>
              </w:rPr>
            </w:pPr>
          </w:p>
        </w:tc>
        <w:tc>
          <w:tcPr>
            <w:tcW w:w="1425" w:type="dxa"/>
            <w:shd w:val="clear" w:color="auto" w:fill="auto"/>
            <w:vAlign w:val="center"/>
          </w:tcPr>
          <w:p w14:paraId="749FDAB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漏巡记录</w:t>
            </w:r>
          </w:p>
        </w:tc>
        <w:tc>
          <w:tcPr>
            <w:tcW w:w="3990" w:type="dxa"/>
            <w:shd w:val="clear" w:color="auto" w:fill="auto"/>
            <w:vAlign w:val="center"/>
          </w:tcPr>
          <w:p w14:paraId="13652C7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本页面专门统计当前病区的今日漏巡情况，具体指在护理等级规定的巡视时间范围内，未匹配到责任护士对应病房巡视记录的信息。</w:t>
            </w:r>
          </w:p>
        </w:tc>
        <w:tc>
          <w:tcPr>
            <w:tcW w:w="1067" w:type="dxa"/>
            <w:shd w:val="clear" w:color="auto" w:fill="auto"/>
          </w:tcPr>
          <w:p w14:paraId="138324F1">
            <w:pPr>
              <w:widowControl/>
              <w:jc w:val="left"/>
              <w:textAlignment w:val="center"/>
              <w:rPr>
                <w:rFonts w:hint="eastAsia" w:ascii="宋体" w:hAnsi="宋体" w:eastAsia="宋体" w:cs="宋体"/>
                <w:color w:val="000000"/>
                <w:kern w:val="0"/>
                <w:sz w:val="24"/>
                <w:szCs w:val="24"/>
                <w:lang w:bidi="ar"/>
              </w:rPr>
            </w:pPr>
          </w:p>
        </w:tc>
      </w:tr>
      <w:tr w14:paraId="7713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0DFD7C9">
            <w:pPr>
              <w:jc w:val="center"/>
              <w:rPr>
                <w:rFonts w:hint="eastAsia" w:ascii="宋体" w:hAnsi="宋体" w:eastAsia="宋体" w:cs="宋体"/>
                <w:color w:val="000000"/>
                <w:sz w:val="24"/>
                <w:szCs w:val="24"/>
              </w:rPr>
            </w:pPr>
          </w:p>
        </w:tc>
        <w:tc>
          <w:tcPr>
            <w:tcW w:w="1073" w:type="dxa"/>
            <w:vMerge w:val="continue"/>
            <w:shd w:val="clear" w:color="auto" w:fill="auto"/>
          </w:tcPr>
          <w:p w14:paraId="5A64D477">
            <w:pPr>
              <w:jc w:val="center"/>
              <w:rPr>
                <w:rFonts w:hint="eastAsia" w:ascii="宋体" w:hAnsi="宋体" w:eastAsia="宋体" w:cs="宋体"/>
                <w:color w:val="000000"/>
                <w:sz w:val="24"/>
                <w:szCs w:val="24"/>
              </w:rPr>
            </w:pPr>
          </w:p>
        </w:tc>
        <w:tc>
          <w:tcPr>
            <w:tcW w:w="1425" w:type="dxa"/>
            <w:shd w:val="clear" w:color="auto" w:fill="auto"/>
            <w:vAlign w:val="center"/>
          </w:tcPr>
          <w:p w14:paraId="55A34A4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不合规巡视记录</w:t>
            </w:r>
          </w:p>
        </w:tc>
        <w:tc>
          <w:tcPr>
            <w:tcW w:w="3990" w:type="dxa"/>
            <w:shd w:val="clear" w:color="auto" w:fill="auto"/>
            <w:vAlign w:val="center"/>
          </w:tcPr>
          <w:p w14:paraId="1E74182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本页面专门统计当前病区的无效巡视情况，具体指在护理等级规定的巡视要求内，责任护士巡视病房的时长未达到规定标准的相关记录。</w:t>
            </w:r>
          </w:p>
        </w:tc>
        <w:tc>
          <w:tcPr>
            <w:tcW w:w="1067" w:type="dxa"/>
            <w:shd w:val="clear" w:color="auto" w:fill="auto"/>
          </w:tcPr>
          <w:p w14:paraId="373D7269">
            <w:pPr>
              <w:widowControl/>
              <w:jc w:val="left"/>
              <w:textAlignment w:val="center"/>
              <w:rPr>
                <w:rFonts w:hint="eastAsia" w:ascii="宋体" w:hAnsi="宋体" w:eastAsia="宋体" w:cs="宋体"/>
                <w:color w:val="000000"/>
                <w:kern w:val="0"/>
                <w:sz w:val="24"/>
                <w:szCs w:val="24"/>
                <w:lang w:bidi="ar"/>
              </w:rPr>
            </w:pPr>
          </w:p>
        </w:tc>
      </w:tr>
      <w:tr w14:paraId="474F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31D8FD78">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073" w:type="dxa"/>
            <w:vMerge w:val="restart"/>
            <w:shd w:val="clear" w:color="auto" w:fill="auto"/>
            <w:vAlign w:val="center"/>
          </w:tcPr>
          <w:p w14:paraId="0AAFFA03">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统计分</w:t>
            </w:r>
          </w:p>
          <w:p w14:paraId="2CFE4D35">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析</w:t>
            </w:r>
          </w:p>
        </w:tc>
        <w:tc>
          <w:tcPr>
            <w:tcW w:w="1425" w:type="dxa"/>
            <w:shd w:val="clear" w:color="auto" w:fill="auto"/>
            <w:vAlign w:val="center"/>
          </w:tcPr>
          <w:p w14:paraId="30EDA989">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医护工卡状态统计</w:t>
            </w:r>
          </w:p>
        </w:tc>
        <w:tc>
          <w:tcPr>
            <w:tcW w:w="3990" w:type="dxa"/>
            <w:shd w:val="clear" w:color="auto" w:fill="auto"/>
            <w:vAlign w:val="center"/>
          </w:tcPr>
          <w:p w14:paraId="034FD4F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本页面聚焦医护人员统计及平安医护工卡佩戴数量统计，以平安医护工卡运行状态占比饼图展示在线、离线、异常设备的占比情况。</w:t>
            </w:r>
          </w:p>
        </w:tc>
        <w:tc>
          <w:tcPr>
            <w:tcW w:w="1067" w:type="dxa"/>
            <w:shd w:val="clear" w:color="auto" w:fill="auto"/>
          </w:tcPr>
          <w:p w14:paraId="3FE1DDD1">
            <w:pPr>
              <w:widowControl/>
              <w:jc w:val="left"/>
              <w:textAlignment w:val="center"/>
              <w:rPr>
                <w:rFonts w:hint="eastAsia" w:ascii="宋体" w:hAnsi="宋体" w:eastAsia="宋体" w:cs="宋体"/>
                <w:color w:val="000000"/>
                <w:kern w:val="0"/>
                <w:sz w:val="24"/>
                <w:szCs w:val="24"/>
                <w:lang w:bidi="ar"/>
              </w:rPr>
            </w:pPr>
          </w:p>
        </w:tc>
      </w:tr>
      <w:tr w14:paraId="58B7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2A80787">
            <w:pPr>
              <w:jc w:val="center"/>
              <w:rPr>
                <w:rFonts w:hint="eastAsia" w:ascii="宋体" w:hAnsi="宋体" w:eastAsia="宋体" w:cs="宋体"/>
                <w:color w:val="000000"/>
                <w:sz w:val="24"/>
                <w:szCs w:val="24"/>
              </w:rPr>
            </w:pPr>
          </w:p>
        </w:tc>
        <w:tc>
          <w:tcPr>
            <w:tcW w:w="1073" w:type="dxa"/>
            <w:vMerge w:val="continue"/>
            <w:shd w:val="clear" w:color="auto" w:fill="auto"/>
          </w:tcPr>
          <w:p w14:paraId="377FE257">
            <w:pPr>
              <w:jc w:val="center"/>
              <w:rPr>
                <w:rFonts w:hint="eastAsia" w:ascii="宋体" w:hAnsi="宋体" w:eastAsia="宋体" w:cs="宋体"/>
                <w:color w:val="000000"/>
                <w:sz w:val="24"/>
                <w:szCs w:val="24"/>
              </w:rPr>
            </w:pPr>
          </w:p>
        </w:tc>
        <w:tc>
          <w:tcPr>
            <w:tcW w:w="1425" w:type="dxa"/>
            <w:shd w:val="clear" w:color="auto" w:fill="auto"/>
            <w:vAlign w:val="center"/>
          </w:tcPr>
          <w:p w14:paraId="1D33F62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SOS告警统计分析</w:t>
            </w:r>
          </w:p>
        </w:tc>
        <w:tc>
          <w:tcPr>
            <w:tcW w:w="3990" w:type="dxa"/>
            <w:shd w:val="clear" w:color="auto" w:fill="auto"/>
            <w:vAlign w:val="center"/>
          </w:tcPr>
          <w:p w14:paraId="7589976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以年度SOS告警报告柱状图直观呈现报警次数、处理次数、误报次数及报警处理率，助力管理层掌握报警处理成效。</w:t>
            </w:r>
          </w:p>
        </w:tc>
        <w:tc>
          <w:tcPr>
            <w:tcW w:w="1067" w:type="dxa"/>
            <w:shd w:val="clear" w:color="auto" w:fill="auto"/>
          </w:tcPr>
          <w:p w14:paraId="2A638540">
            <w:pPr>
              <w:widowControl/>
              <w:jc w:val="left"/>
              <w:textAlignment w:val="center"/>
              <w:rPr>
                <w:rFonts w:hint="eastAsia" w:ascii="宋体" w:hAnsi="宋体" w:eastAsia="宋体" w:cs="宋体"/>
                <w:color w:val="000000"/>
                <w:kern w:val="0"/>
                <w:sz w:val="24"/>
                <w:szCs w:val="24"/>
                <w:lang w:bidi="ar"/>
              </w:rPr>
            </w:pPr>
          </w:p>
        </w:tc>
      </w:tr>
      <w:tr w14:paraId="686D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EA46DD9">
            <w:pPr>
              <w:jc w:val="center"/>
              <w:rPr>
                <w:rFonts w:hint="eastAsia" w:ascii="宋体" w:hAnsi="宋体" w:eastAsia="宋体" w:cs="宋体"/>
                <w:color w:val="000000"/>
                <w:sz w:val="24"/>
                <w:szCs w:val="24"/>
              </w:rPr>
            </w:pPr>
          </w:p>
        </w:tc>
        <w:tc>
          <w:tcPr>
            <w:tcW w:w="1073" w:type="dxa"/>
            <w:vMerge w:val="continue"/>
            <w:shd w:val="clear" w:color="auto" w:fill="auto"/>
          </w:tcPr>
          <w:p w14:paraId="3AF81CA4">
            <w:pPr>
              <w:jc w:val="center"/>
              <w:rPr>
                <w:rFonts w:hint="eastAsia" w:ascii="宋体" w:hAnsi="宋体" w:eastAsia="宋体" w:cs="宋体"/>
                <w:color w:val="000000"/>
                <w:sz w:val="24"/>
                <w:szCs w:val="24"/>
              </w:rPr>
            </w:pPr>
          </w:p>
        </w:tc>
        <w:tc>
          <w:tcPr>
            <w:tcW w:w="1425" w:type="dxa"/>
            <w:shd w:val="clear" w:color="auto" w:fill="auto"/>
            <w:vAlign w:val="center"/>
          </w:tcPr>
          <w:p w14:paraId="5690AD9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各时段异常巡视统计</w:t>
            </w:r>
          </w:p>
        </w:tc>
        <w:tc>
          <w:tcPr>
            <w:tcW w:w="3990" w:type="dxa"/>
            <w:shd w:val="clear" w:color="auto" w:fill="auto"/>
            <w:vAlign w:val="center"/>
          </w:tcPr>
          <w:p w14:paraId="431A347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按月统计，以折线图对比每日24小时内各病区漏巡、无效巡视的发生次数，为人力合理分配提供数据支撑。</w:t>
            </w:r>
          </w:p>
        </w:tc>
        <w:tc>
          <w:tcPr>
            <w:tcW w:w="1067" w:type="dxa"/>
            <w:shd w:val="clear" w:color="auto" w:fill="auto"/>
          </w:tcPr>
          <w:p w14:paraId="4ACB4D50">
            <w:pPr>
              <w:widowControl/>
              <w:jc w:val="left"/>
              <w:textAlignment w:val="center"/>
              <w:rPr>
                <w:rFonts w:hint="eastAsia" w:ascii="宋体" w:hAnsi="宋体" w:eastAsia="宋体" w:cs="宋体"/>
                <w:color w:val="000000"/>
                <w:kern w:val="0"/>
                <w:sz w:val="24"/>
                <w:szCs w:val="24"/>
                <w:lang w:bidi="ar"/>
              </w:rPr>
            </w:pPr>
          </w:p>
        </w:tc>
      </w:tr>
      <w:tr w14:paraId="45AB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0170426">
            <w:pPr>
              <w:jc w:val="center"/>
              <w:rPr>
                <w:rFonts w:hint="eastAsia" w:ascii="宋体" w:hAnsi="宋体" w:eastAsia="宋体" w:cs="宋体"/>
                <w:color w:val="000000"/>
                <w:sz w:val="24"/>
                <w:szCs w:val="24"/>
              </w:rPr>
            </w:pPr>
          </w:p>
        </w:tc>
        <w:tc>
          <w:tcPr>
            <w:tcW w:w="1073" w:type="dxa"/>
            <w:vMerge w:val="continue"/>
            <w:shd w:val="clear" w:color="auto" w:fill="auto"/>
          </w:tcPr>
          <w:p w14:paraId="7C544385">
            <w:pPr>
              <w:jc w:val="center"/>
              <w:rPr>
                <w:rFonts w:hint="eastAsia" w:ascii="宋体" w:hAnsi="宋体" w:eastAsia="宋体" w:cs="宋体"/>
                <w:color w:val="000000"/>
                <w:sz w:val="24"/>
                <w:szCs w:val="24"/>
              </w:rPr>
            </w:pPr>
          </w:p>
        </w:tc>
        <w:tc>
          <w:tcPr>
            <w:tcW w:w="1425" w:type="dxa"/>
            <w:shd w:val="clear" w:color="auto" w:fill="auto"/>
            <w:vAlign w:val="center"/>
          </w:tcPr>
          <w:p w14:paraId="77E111E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今日巡视统计</w:t>
            </w:r>
          </w:p>
        </w:tc>
        <w:tc>
          <w:tcPr>
            <w:tcW w:w="3990" w:type="dxa"/>
            <w:shd w:val="clear" w:color="auto" w:fill="auto"/>
            <w:vAlign w:val="center"/>
          </w:tcPr>
          <w:p w14:paraId="1AD01B8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以圆环图展示合规巡视、超额巡视、漏巡、无效巡视占今日总巡视任务的比例，清晰呈现当日任务完成情况。</w:t>
            </w:r>
          </w:p>
        </w:tc>
        <w:tc>
          <w:tcPr>
            <w:tcW w:w="1067" w:type="dxa"/>
            <w:shd w:val="clear" w:color="auto" w:fill="auto"/>
          </w:tcPr>
          <w:p w14:paraId="7DA4CC9C">
            <w:pPr>
              <w:widowControl/>
              <w:jc w:val="left"/>
              <w:textAlignment w:val="center"/>
              <w:rPr>
                <w:rFonts w:hint="eastAsia" w:ascii="宋体" w:hAnsi="宋体" w:eastAsia="宋体" w:cs="宋体"/>
                <w:color w:val="000000"/>
                <w:kern w:val="0"/>
                <w:sz w:val="24"/>
                <w:szCs w:val="24"/>
                <w:lang w:bidi="ar"/>
              </w:rPr>
            </w:pPr>
          </w:p>
        </w:tc>
      </w:tr>
      <w:tr w14:paraId="13CC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592617C">
            <w:pPr>
              <w:jc w:val="center"/>
              <w:rPr>
                <w:rFonts w:hint="eastAsia" w:ascii="宋体" w:hAnsi="宋体" w:eastAsia="宋体" w:cs="宋体"/>
                <w:color w:val="000000"/>
                <w:sz w:val="24"/>
                <w:szCs w:val="24"/>
              </w:rPr>
            </w:pPr>
          </w:p>
        </w:tc>
        <w:tc>
          <w:tcPr>
            <w:tcW w:w="1073" w:type="dxa"/>
            <w:vMerge w:val="continue"/>
            <w:shd w:val="clear" w:color="auto" w:fill="auto"/>
          </w:tcPr>
          <w:p w14:paraId="476A257B">
            <w:pPr>
              <w:jc w:val="center"/>
              <w:rPr>
                <w:rFonts w:hint="eastAsia" w:ascii="宋体" w:hAnsi="宋体" w:eastAsia="宋体" w:cs="宋体"/>
                <w:color w:val="000000"/>
                <w:sz w:val="24"/>
                <w:szCs w:val="24"/>
              </w:rPr>
            </w:pPr>
          </w:p>
        </w:tc>
        <w:tc>
          <w:tcPr>
            <w:tcW w:w="1425" w:type="dxa"/>
            <w:shd w:val="clear" w:color="auto" w:fill="auto"/>
            <w:vAlign w:val="center"/>
          </w:tcPr>
          <w:p w14:paraId="03A94B0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护理等级巡视质量统计</w:t>
            </w:r>
          </w:p>
        </w:tc>
        <w:tc>
          <w:tcPr>
            <w:tcW w:w="3990" w:type="dxa"/>
            <w:shd w:val="clear" w:color="auto" w:fill="auto"/>
            <w:vAlign w:val="center"/>
          </w:tcPr>
          <w:p w14:paraId="42870D7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按月统计，以柱状图对比每日24小时内不同护理等级患者的漏巡、无效巡视次数，便于分析各等级巡视质量。</w:t>
            </w:r>
          </w:p>
        </w:tc>
        <w:tc>
          <w:tcPr>
            <w:tcW w:w="1067" w:type="dxa"/>
            <w:shd w:val="clear" w:color="auto" w:fill="auto"/>
          </w:tcPr>
          <w:p w14:paraId="4125185C">
            <w:pPr>
              <w:widowControl/>
              <w:jc w:val="left"/>
              <w:textAlignment w:val="center"/>
              <w:rPr>
                <w:rFonts w:hint="eastAsia" w:ascii="宋体" w:hAnsi="宋体" w:eastAsia="宋体" w:cs="宋体"/>
                <w:color w:val="000000"/>
                <w:kern w:val="0"/>
                <w:sz w:val="24"/>
                <w:szCs w:val="24"/>
                <w:lang w:bidi="ar"/>
              </w:rPr>
            </w:pPr>
          </w:p>
        </w:tc>
      </w:tr>
      <w:tr w14:paraId="001F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9CB1923">
            <w:pPr>
              <w:jc w:val="center"/>
              <w:rPr>
                <w:rFonts w:hint="eastAsia" w:ascii="宋体" w:hAnsi="宋体" w:eastAsia="宋体" w:cs="宋体"/>
                <w:color w:val="000000"/>
                <w:sz w:val="24"/>
                <w:szCs w:val="24"/>
              </w:rPr>
            </w:pPr>
          </w:p>
        </w:tc>
        <w:tc>
          <w:tcPr>
            <w:tcW w:w="1073" w:type="dxa"/>
            <w:vMerge w:val="continue"/>
            <w:shd w:val="clear" w:color="auto" w:fill="auto"/>
          </w:tcPr>
          <w:p w14:paraId="18A2775E">
            <w:pPr>
              <w:jc w:val="center"/>
              <w:rPr>
                <w:rFonts w:hint="eastAsia" w:ascii="宋体" w:hAnsi="宋体" w:eastAsia="宋体" w:cs="宋体"/>
                <w:color w:val="000000"/>
                <w:sz w:val="24"/>
                <w:szCs w:val="24"/>
              </w:rPr>
            </w:pPr>
          </w:p>
        </w:tc>
        <w:tc>
          <w:tcPr>
            <w:tcW w:w="1425" w:type="dxa"/>
            <w:shd w:val="clear" w:color="auto" w:fill="auto"/>
            <w:vAlign w:val="center"/>
          </w:tcPr>
          <w:p w14:paraId="4512941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巡视质量排行榜</w:t>
            </w:r>
          </w:p>
        </w:tc>
        <w:tc>
          <w:tcPr>
            <w:tcW w:w="3990" w:type="dxa"/>
            <w:shd w:val="clear" w:color="auto" w:fill="auto"/>
            <w:vAlign w:val="center"/>
          </w:tcPr>
          <w:p w14:paraId="25AFA675">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按合规巡视率倒序排列，清晰呈现责任护士的巡视质量水平。</w:t>
            </w:r>
          </w:p>
        </w:tc>
        <w:tc>
          <w:tcPr>
            <w:tcW w:w="1067" w:type="dxa"/>
            <w:shd w:val="clear" w:color="auto" w:fill="auto"/>
          </w:tcPr>
          <w:p w14:paraId="04A9404A">
            <w:pPr>
              <w:widowControl/>
              <w:jc w:val="left"/>
              <w:textAlignment w:val="center"/>
              <w:rPr>
                <w:rFonts w:hint="eastAsia" w:ascii="宋体" w:hAnsi="宋体" w:eastAsia="宋体" w:cs="宋体"/>
                <w:color w:val="000000"/>
                <w:kern w:val="0"/>
                <w:sz w:val="24"/>
                <w:szCs w:val="24"/>
                <w:lang w:bidi="ar"/>
              </w:rPr>
            </w:pPr>
          </w:p>
        </w:tc>
      </w:tr>
      <w:tr w14:paraId="1392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1943CF02">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073" w:type="dxa"/>
            <w:vMerge w:val="restart"/>
            <w:shd w:val="clear" w:color="auto" w:fill="auto"/>
            <w:vAlign w:val="center"/>
          </w:tcPr>
          <w:p w14:paraId="12E0613B">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数据记</w:t>
            </w:r>
          </w:p>
          <w:p w14:paraId="5EBF478A">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录</w:t>
            </w:r>
          </w:p>
        </w:tc>
        <w:tc>
          <w:tcPr>
            <w:tcW w:w="1425" w:type="dxa"/>
            <w:shd w:val="clear" w:color="auto" w:fill="auto"/>
            <w:vAlign w:val="center"/>
          </w:tcPr>
          <w:p w14:paraId="349E5E4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护理巡视记录</w:t>
            </w:r>
          </w:p>
        </w:tc>
        <w:tc>
          <w:tcPr>
            <w:tcW w:w="3990" w:type="dxa"/>
            <w:shd w:val="clear" w:color="auto" w:fill="auto"/>
            <w:vAlign w:val="center"/>
          </w:tcPr>
          <w:p w14:paraId="49B2B77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支持按日期、巡视开始时间、护士站、判定状态等多条件筛选查询房间巡视记录；记录内容涵盖巡视日期、巡视时间、巡视床位、患者姓名、住院号、护理等级、巡视时长、工号、是否超时、是否合规等核心信息，同时支持为每条记录支持巡视结果、填写巡视失误的理由</w:t>
            </w:r>
          </w:p>
        </w:tc>
        <w:tc>
          <w:tcPr>
            <w:tcW w:w="1067" w:type="dxa"/>
            <w:shd w:val="clear" w:color="auto" w:fill="auto"/>
          </w:tcPr>
          <w:p w14:paraId="3630EBC7">
            <w:pPr>
              <w:widowControl/>
              <w:jc w:val="left"/>
              <w:textAlignment w:val="center"/>
              <w:rPr>
                <w:rFonts w:hint="eastAsia" w:ascii="宋体" w:hAnsi="宋体" w:eastAsia="宋体" w:cs="宋体"/>
                <w:color w:val="000000"/>
                <w:kern w:val="0"/>
                <w:sz w:val="24"/>
                <w:szCs w:val="24"/>
                <w:lang w:bidi="ar"/>
              </w:rPr>
            </w:pPr>
          </w:p>
        </w:tc>
      </w:tr>
      <w:tr w14:paraId="6956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1C8FE70">
            <w:pPr>
              <w:jc w:val="center"/>
              <w:rPr>
                <w:rFonts w:hint="eastAsia" w:ascii="宋体" w:hAnsi="宋体" w:eastAsia="宋体" w:cs="宋体"/>
                <w:color w:val="000000"/>
                <w:sz w:val="24"/>
                <w:szCs w:val="24"/>
              </w:rPr>
            </w:pPr>
          </w:p>
        </w:tc>
        <w:tc>
          <w:tcPr>
            <w:tcW w:w="1073" w:type="dxa"/>
            <w:vMerge w:val="continue"/>
            <w:shd w:val="clear" w:color="auto" w:fill="auto"/>
          </w:tcPr>
          <w:p w14:paraId="6C6DF7C4">
            <w:pPr>
              <w:jc w:val="center"/>
              <w:rPr>
                <w:rFonts w:hint="eastAsia" w:ascii="宋体" w:hAnsi="宋体" w:eastAsia="宋体" w:cs="宋体"/>
                <w:color w:val="000000"/>
                <w:sz w:val="24"/>
                <w:szCs w:val="24"/>
              </w:rPr>
            </w:pPr>
          </w:p>
        </w:tc>
        <w:tc>
          <w:tcPr>
            <w:tcW w:w="1425" w:type="dxa"/>
            <w:shd w:val="clear" w:color="auto" w:fill="auto"/>
            <w:vAlign w:val="center"/>
          </w:tcPr>
          <w:p w14:paraId="4255692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护士工作记录</w:t>
            </w:r>
          </w:p>
        </w:tc>
        <w:tc>
          <w:tcPr>
            <w:tcW w:w="3990" w:type="dxa"/>
            <w:shd w:val="clear" w:color="auto" w:fill="auto"/>
            <w:vAlign w:val="center"/>
          </w:tcPr>
          <w:p w14:paraId="2EEE578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页面按日期、病区、护士信息等条件查询护士的工作记录。展示护士信息包括姓名、职位、管床信息等。也支持展示护士工作地点与停留时长的统计。并展示护士详细的工作地点记录，包括工作日期、房间名称、房间属性、进入时间、离开时间、停留时长等。</w:t>
            </w:r>
          </w:p>
        </w:tc>
        <w:tc>
          <w:tcPr>
            <w:tcW w:w="1067" w:type="dxa"/>
            <w:shd w:val="clear" w:color="auto" w:fill="auto"/>
          </w:tcPr>
          <w:p w14:paraId="483619F2">
            <w:pPr>
              <w:widowControl/>
              <w:jc w:val="left"/>
              <w:textAlignment w:val="center"/>
              <w:rPr>
                <w:rFonts w:hint="eastAsia" w:ascii="宋体" w:hAnsi="宋体" w:eastAsia="宋体" w:cs="宋体"/>
                <w:color w:val="000000"/>
                <w:kern w:val="0"/>
                <w:sz w:val="24"/>
                <w:szCs w:val="24"/>
                <w:lang w:bidi="ar"/>
              </w:rPr>
            </w:pPr>
          </w:p>
        </w:tc>
      </w:tr>
      <w:tr w14:paraId="4B56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7074A53">
            <w:pPr>
              <w:jc w:val="center"/>
              <w:rPr>
                <w:rFonts w:hint="eastAsia" w:ascii="宋体" w:hAnsi="宋体" w:eastAsia="宋体" w:cs="宋体"/>
                <w:color w:val="000000"/>
                <w:sz w:val="24"/>
                <w:szCs w:val="24"/>
              </w:rPr>
            </w:pPr>
          </w:p>
        </w:tc>
        <w:tc>
          <w:tcPr>
            <w:tcW w:w="1073" w:type="dxa"/>
            <w:vMerge w:val="continue"/>
            <w:shd w:val="clear" w:color="auto" w:fill="auto"/>
          </w:tcPr>
          <w:p w14:paraId="03B7D206">
            <w:pPr>
              <w:jc w:val="center"/>
              <w:rPr>
                <w:rFonts w:hint="eastAsia" w:ascii="宋体" w:hAnsi="宋体" w:eastAsia="宋体" w:cs="宋体"/>
                <w:color w:val="000000"/>
                <w:sz w:val="24"/>
                <w:szCs w:val="24"/>
              </w:rPr>
            </w:pPr>
          </w:p>
        </w:tc>
        <w:tc>
          <w:tcPr>
            <w:tcW w:w="1425" w:type="dxa"/>
            <w:shd w:val="clear" w:color="auto" w:fill="auto"/>
            <w:vAlign w:val="center"/>
          </w:tcPr>
          <w:p w14:paraId="0BCB699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护理质量巡视任务</w:t>
            </w:r>
          </w:p>
        </w:tc>
        <w:tc>
          <w:tcPr>
            <w:tcW w:w="3990" w:type="dxa"/>
            <w:shd w:val="clear" w:color="auto" w:fill="auto"/>
            <w:vAlign w:val="center"/>
          </w:tcPr>
          <w:p w14:paraId="24FE206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本页面核心支持护理质量巡视任务的发起与任务内容配置，可设置巡查组负责人、成员、巡视病区、巡视内容等关键信息；同时支持一键查询巡查人员的实时或历史巡视轨迹，辅助掌握任务执行动态。</w:t>
            </w:r>
          </w:p>
        </w:tc>
        <w:tc>
          <w:tcPr>
            <w:tcW w:w="1067" w:type="dxa"/>
            <w:shd w:val="clear" w:color="auto" w:fill="auto"/>
          </w:tcPr>
          <w:p w14:paraId="6FFA0EEB">
            <w:pPr>
              <w:widowControl/>
              <w:jc w:val="left"/>
              <w:textAlignment w:val="center"/>
              <w:rPr>
                <w:rFonts w:hint="eastAsia" w:ascii="宋体" w:hAnsi="宋体" w:eastAsia="宋体" w:cs="宋体"/>
                <w:color w:val="000000"/>
                <w:kern w:val="0"/>
                <w:sz w:val="24"/>
                <w:szCs w:val="24"/>
                <w:lang w:bidi="ar"/>
              </w:rPr>
            </w:pPr>
          </w:p>
        </w:tc>
      </w:tr>
      <w:tr w14:paraId="453A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0F156359">
            <w:pPr>
              <w:jc w:val="center"/>
              <w:rPr>
                <w:rFonts w:hint="eastAsia" w:ascii="宋体" w:hAnsi="宋体" w:eastAsia="宋体" w:cs="宋体"/>
                <w:color w:val="000000"/>
                <w:sz w:val="24"/>
                <w:szCs w:val="24"/>
              </w:rPr>
            </w:pPr>
          </w:p>
        </w:tc>
        <w:tc>
          <w:tcPr>
            <w:tcW w:w="1073" w:type="dxa"/>
            <w:vMerge w:val="continue"/>
            <w:shd w:val="clear" w:color="auto" w:fill="auto"/>
          </w:tcPr>
          <w:p w14:paraId="3C7386E4">
            <w:pPr>
              <w:jc w:val="center"/>
              <w:rPr>
                <w:rFonts w:hint="eastAsia" w:ascii="宋体" w:hAnsi="宋体" w:eastAsia="宋体" w:cs="宋体"/>
                <w:color w:val="000000"/>
                <w:sz w:val="24"/>
                <w:szCs w:val="24"/>
              </w:rPr>
            </w:pPr>
          </w:p>
        </w:tc>
        <w:tc>
          <w:tcPr>
            <w:tcW w:w="1425" w:type="dxa"/>
            <w:shd w:val="clear" w:color="auto" w:fill="auto"/>
            <w:vAlign w:val="center"/>
          </w:tcPr>
          <w:p w14:paraId="585E256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巡视轨迹</w:t>
            </w:r>
          </w:p>
        </w:tc>
        <w:tc>
          <w:tcPr>
            <w:tcW w:w="3990" w:type="dxa"/>
            <w:shd w:val="clear" w:color="auto" w:fill="auto"/>
            <w:vAlign w:val="center"/>
          </w:tcPr>
          <w:p w14:paraId="18E920A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本页面聚焦各任务的巡视轨迹管理，按巡查组维度分类展示轨迹信息；以时间轴形式清晰呈现巡查路线、到达各地点的时间及离开时间等细节，助力进一步确认巡查工作落实到位。</w:t>
            </w:r>
          </w:p>
        </w:tc>
        <w:tc>
          <w:tcPr>
            <w:tcW w:w="1067" w:type="dxa"/>
            <w:shd w:val="clear" w:color="auto" w:fill="auto"/>
          </w:tcPr>
          <w:p w14:paraId="3C6118A3">
            <w:pPr>
              <w:widowControl/>
              <w:jc w:val="left"/>
              <w:textAlignment w:val="center"/>
              <w:rPr>
                <w:rFonts w:hint="eastAsia" w:ascii="宋体" w:hAnsi="宋体" w:eastAsia="宋体" w:cs="宋体"/>
                <w:color w:val="000000"/>
                <w:kern w:val="0"/>
                <w:sz w:val="24"/>
                <w:szCs w:val="24"/>
                <w:lang w:bidi="ar"/>
              </w:rPr>
            </w:pPr>
          </w:p>
        </w:tc>
      </w:tr>
      <w:tr w14:paraId="7DF3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3B64482">
            <w:pPr>
              <w:jc w:val="center"/>
              <w:rPr>
                <w:rFonts w:hint="eastAsia" w:ascii="宋体" w:hAnsi="宋体" w:eastAsia="宋体" w:cs="宋体"/>
                <w:color w:val="000000"/>
                <w:sz w:val="24"/>
                <w:szCs w:val="24"/>
              </w:rPr>
            </w:pPr>
          </w:p>
        </w:tc>
        <w:tc>
          <w:tcPr>
            <w:tcW w:w="1073" w:type="dxa"/>
            <w:vMerge w:val="continue"/>
            <w:shd w:val="clear" w:color="auto" w:fill="auto"/>
          </w:tcPr>
          <w:p w14:paraId="2B5A5771">
            <w:pPr>
              <w:jc w:val="center"/>
              <w:rPr>
                <w:rFonts w:hint="eastAsia" w:ascii="宋体" w:hAnsi="宋体" w:eastAsia="宋体" w:cs="宋体"/>
                <w:color w:val="000000"/>
                <w:sz w:val="24"/>
                <w:szCs w:val="24"/>
              </w:rPr>
            </w:pPr>
          </w:p>
        </w:tc>
        <w:tc>
          <w:tcPr>
            <w:tcW w:w="1425" w:type="dxa"/>
            <w:shd w:val="clear" w:color="auto" w:fill="auto"/>
            <w:vAlign w:val="center"/>
          </w:tcPr>
          <w:p w14:paraId="0E07F8F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SOS告警记录</w:t>
            </w:r>
          </w:p>
        </w:tc>
        <w:tc>
          <w:tcPr>
            <w:tcW w:w="3990" w:type="dxa"/>
            <w:shd w:val="clear" w:color="auto" w:fill="auto"/>
            <w:vAlign w:val="center"/>
          </w:tcPr>
          <w:p w14:paraId="756E89C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聚焦医护人员使用平安医护工卡触发物理按键的报警记录管理，核心展示告警时间、告警位置、告警人员、所属护士站、接警人、告警状态、处理时间、处理结果等关键信息；同时支持上报误报，为告警数据校准和管理提供便利。</w:t>
            </w:r>
          </w:p>
        </w:tc>
        <w:tc>
          <w:tcPr>
            <w:tcW w:w="1067" w:type="dxa"/>
            <w:shd w:val="clear" w:color="auto" w:fill="auto"/>
          </w:tcPr>
          <w:p w14:paraId="0612A199">
            <w:pPr>
              <w:widowControl/>
              <w:jc w:val="left"/>
              <w:textAlignment w:val="center"/>
              <w:rPr>
                <w:rFonts w:hint="eastAsia" w:ascii="宋体" w:hAnsi="宋体" w:eastAsia="宋体" w:cs="宋体"/>
                <w:color w:val="000000"/>
                <w:kern w:val="0"/>
                <w:sz w:val="24"/>
                <w:szCs w:val="24"/>
                <w:lang w:bidi="ar"/>
              </w:rPr>
            </w:pPr>
          </w:p>
        </w:tc>
      </w:tr>
      <w:tr w14:paraId="63DB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70808B0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1073" w:type="dxa"/>
            <w:vMerge w:val="restart"/>
            <w:shd w:val="clear" w:color="auto" w:fill="auto"/>
            <w:vAlign w:val="center"/>
          </w:tcPr>
          <w:p w14:paraId="69E492B0">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医院信</w:t>
            </w:r>
          </w:p>
          <w:p w14:paraId="38D90CAF">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息</w:t>
            </w:r>
          </w:p>
        </w:tc>
        <w:tc>
          <w:tcPr>
            <w:tcW w:w="1425" w:type="dxa"/>
            <w:shd w:val="clear" w:color="auto" w:fill="auto"/>
            <w:vAlign w:val="center"/>
          </w:tcPr>
          <w:p w14:paraId="004026B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科室管理</w:t>
            </w:r>
          </w:p>
        </w:tc>
        <w:tc>
          <w:tcPr>
            <w:tcW w:w="3990" w:type="dxa"/>
            <w:shd w:val="clear" w:color="auto" w:fill="auto"/>
            <w:vAlign w:val="center"/>
          </w:tcPr>
          <w:p w14:paraId="33F796C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支持添加新的科室信息，包括科室名称、科室代码等信息。同时，支持对现有科室信息的修改、删除、同步以及查询。</w:t>
            </w:r>
          </w:p>
        </w:tc>
        <w:tc>
          <w:tcPr>
            <w:tcW w:w="1067" w:type="dxa"/>
            <w:shd w:val="clear" w:color="auto" w:fill="auto"/>
          </w:tcPr>
          <w:p w14:paraId="2C900B21">
            <w:pPr>
              <w:widowControl/>
              <w:jc w:val="left"/>
              <w:textAlignment w:val="center"/>
              <w:rPr>
                <w:rFonts w:hint="eastAsia" w:ascii="宋体" w:hAnsi="宋体" w:eastAsia="宋体" w:cs="宋体"/>
                <w:color w:val="000000"/>
                <w:kern w:val="0"/>
                <w:sz w:val="24"/>
                <w:szCs w:val="24"/>
                <w:lang w:bidi="ar"/>
              </w:rPr>
            </w:pPr>
          </w:p>
        </w:tc>
      </w:tr>
      <w:tr w14:paraId="629E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A3226C1">
            <w:pPr>
              <w:jc w:val="center"/>
              <w:rPr>
                <w:rFonts w:hint="eastAsia" w:ascii="宋体" w:hAnsi="宋体" w:eastAsia="宋体" w:cs="宋体"/>
                <w:color w:val="000000"/>
                <w:sz w:val="24"/>
                <w:szCs w:val="24"/>
              </w:rPr>
            </w:pPr>
          </w:p>
        </w:tc>
        <w:tc>
          <w:tcPr>
            <w:tcW w:w="1073" w:type="dxa"/>
            <w:vMerge w:val="continue"/>
            <w:shd w:val="clear" w:color="auto" w:fill="auto"/>
          </w:tcPr>
          <w:p w14:paraId="7DC1B59B">
            <w:pPr>
              <w:jc w:val="center"/>
              <w:rPr>
                <w:rFonts w:hint="eastAsia" w:ascii="宋体" w:hAnsi="宋体" w:eastAsia="宋体" w:cs="宋体"/>
                <w:color w:val="000000"/>
                <w:sz w:val="24"/>
                <w:szCs w:val="24"/>
              </w:rPr>
            </w:pPr>
          </w:p>
        </w:tc>
        <w:tc>
          <w:tcPr>
            <w:tcW w:w="1425" w:type="dxa"/>
            <w:shd w:val="clear" w:color="auto" w:fill="auto"/>
            <w:vAlign w:val="center"/>
          </w:tcPr>
          <w:p w14:paraId="00CDF7F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病区管理</w:t>
            </w:r>
          </w:p>
        </w:tc>
        <w:tc>
          <w:tcPr>
            <w:tcW w:w="3990" w:type="dxa"/>
            <w:shd w:val="clear" w:color="auto" w:fill="auto"/>
            <w:vAlign w:val="center"/>
          </w:tcPr>
          <w:p w14:paraId="6D1392A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支持添加新的病区信息，包括病区名称、病区代码、所属科室等信息。同时，支持对现有病区信息的修改、删除、同步以及查询。</w:t>
            </w:r>
          </w:p>
        </w:tc>
        <w:tc>
          <w:tcPr>
            <w:tcW w:w="1067" w:type="dxa"/>
            <w:shd w:val="clear" w:color="auto" w:fill="auto"/>
          </w:tcPr>
          <w:p w14:paraId="4DEBBF0C">
            <w:pPr>
              <w:widowControl/>
              <w:jc w:val="left"/>
              <w:textAlignment w:val="center"/>
              <w:rPr>
                <w:rFonts w:hint="eastAsia" w:ascii="宋体" w:hAnsi="宋体" w:eastAsia="宋体" w:cs="宋体"/>
                <w:color w:val="000000"/>
                <w:kern w:val="0"/>
                <w:sz w:val="24"/>
                <w:szCs w:val="24"/>
                <w:lang w:bidi="ar"/>
              </w:rPr>
            </w:pPr>
          </w:p>
        </w:tc>
      </w:tr>
      <w:tr w14:paraId="553F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B410506">
            <w:pPr>
              <w:jc w:val="center"/>
              <w:rPr>
                <w:rFonts w:hint="eastAsia" w:ascii="宋体" w:hAnsi="宋体" w:eastAsia="宋体" w:cs="宋体"/>
                <w:color w:val="000000"/>
                <w:sz w:val="24"/>
                <w:szCs w:val="24"/>
              </w:rPr>
            </w:pPr>
          </w:p>
        </w:tc>
        <w:tc>
          <w:tcPr>
            <w:tcW w:w="1073" w:type="dxa"/>
            <w:vMerge w:val="continue"/>
            <w:shd w:val="clear" w:color="auto" w:fill="auto"/>
          </w:tcPr>
          <w:p w14:paraId="42EB3863">
            <w:pPr>
              <w:jc w:val="center"/>
              <w:rPr>
                <w:rFonts w:hint="eastAsia" w:ascii="宋体" w:hAnsi="宋体" w:eastAsia="宋体" w:cs="宋体"/>
                <w:color w:val="000000"/>
                <w:sz w:val="24"/>
                <w:szCs w:val="24"/>
              </w:rPr>
            </w:pPr>
          </w:p>
        </w:tc>
        <w:tc>
          <w:tcPr>
            <w:tcW w:w="1425" w:type="dxa"/>
            <w:shd w:val="clear" w:color="auto" w:fill="auto"/>
            <w:vAlign w:val="center"/>
          </w:tcPr>
          <w:p w14:paraId="7938A09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护理单元管理</w:t>
            </w:r>
          </w:p>
        </w:tc>
        <w:tc>
          <w:tcPr>
            <w:tcW w:w="3990" w:type="dxa"/>
            <w:shd w:val="clear" w:color="auto" w:fill="auto"/>
            <w:vAlign w:val="center"/>
          </w:tcPr>
          <w:p w14:paraId="268C4AF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支持添加新的护理单元信息，包括护理单元名称、护理单元代码、关联病区、所属科室等信息。同时，支持对现有护理单元的修改、删除、同步以及查询。</w:t>
            </w:r>
          </w:p>
        </w:tc>
        <w:tc>
          <w:tcPr>
            <w:tcW w:w="1067" w:type="dxa"/>
            <w:shd w:val="clear" w:color="auto" w:fill="auto"/>
          </w:tcPr>
          <w:p w14:paraId="1695358B">
            <w:pPr>
              <w:widowControl/>
              <w:jc w:val="left"/>
              <w:textAlignment w:val="center"/>
              <w:rPr>
                <w:rFonts w:hint="eastAsia" w:ascii="宋体" w:hAnsi="宋体" w:eastAsia="宋体" w:cs="宋体"/>
                <w:color w:val="000000"/>
                <w:kern w:val="0"/>
                <w:sz w:val="24"/>
                <w:szCs w:val="24"/>
                <w:lang w:bidi="ar"/>
              </w:rPr>
            </w:pPr>
          </w:p>
        </w:tc>
      </w:tr>
      <w:tr w14:paraId="620E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098D2C5">
            <w:pPr>
              <w:jc w:val="center"/>
              <w:rPr>
                <w:rFonts w:hint="eastAsia" w:ascii="宋体" w:hAnsi="宋体" w:eastAsia="宋体" w:cs="宋体"/>
                <w:color w:val="000000"/>
                <w:sz w:val="24"/>
                <w:szCs w:val="24"/>
              </w:rPr>
            </w:pPr>
          </w:p>
        </w:tc>
        <w:tc>
          <w:tcPr>
            <w:tcW w:w="1073" w:type="dxa"/>
            <w:vMerge w:val="continue"/>
            <w:shd w:val="clear" w:color="auto" w:fill="auto"/>
          </w:tcPr>
          <w:p w14:paraId="02DF4460">
            <w:pPr>
              <w:jc w:val="center"/>
              <w:rPr>
                <w:rFonts w:hint="eastAsia" w:ascii="宋体" w:hAnsi="宋体" w:eastAsia="宋体" w:cs="宋体"/>
                <w:color w:val="000000"/>
                <w:sz w:val="24"/>
                <w:szCs w:val="24"/>
              </w:rPr>
            </w:pPr>
          </w:p>
        </w:tc>
        <w:tc>
          <w:tcPr>
            <w:tcW w:w="1425" w:type="dxa"/>
            <w:shd w:val="clear" w:color="auto" w:fill="auto"/>
            <w:vAlign w:val="center"/>
          </w:tcPr>
          <w:p w14:paraId="0655824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房间管理</w:t>
            </w:r>
          </w:p>
        </w:tc>
        <w:tc>
          <w:tcPr>
            <w:tcW w:w="3990" w:type="dxa"/>
            <w:shd w:val="clear" w:color="auto" w:fill="auto"/>
            <w:vAlign w:val="center"/>
          </w:tcPr>
          <w:p w14:paraId="018D077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支持添加新的房间信息，包括病房名称、病房代码、所属护理单元等信息。同时，支持对现有病房信息的修改、删除、同步以及查询。</w:t>
            </w:r>
          </w:p>
        </w:tc>
        <w:tc>
          <w:tcPr>
            <w:tcW w:w="1067" w:type="dxa"/>
            <w:shd w:val="clear" w:color="auto" w:fill="auto"/>
          </w:tcPr>
          <w:p w14:paraId="7099108E">
            <w:pPr>
              <w:widowControl/>
              <w:jc w:val="left"/>
              <w:textAlignment w:val="center"/>
              <w:rPr>
                <w:rFonts w:hint="eastAsia" w:ascii="宋体" w:hAnsi="宋体" w:eastAsia="宋体" w:cs="宋体"/>
                <w:color w:val="000000"/>
                <w:kern w:val="0"/>
                <w:sz w:val="24"/>
                <w:szCs w:val="24"/>
                <w:lang w:bidi="ar"/>
              </w:rPr>
            </w:pPr>
          </w:p>
        </w:tc>
      </w:tr>
      <w:tr w14:paraId="769C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7EF807D">
            <w:pPr>
              <w:jc w:val="center"/>
              <w:rPr>
                <w:rFonts w:hint="eastAsia" w:ascii="宋体" w:hAnsi="宋体" w:eastAsia="宋体" w:cs="宋体"/>
                <w:color w:val="000000"/>
                <w:sz w:val="24"/>
                <w:szCs w:val="24"/>
              </w:rPr>
            </w:pPr>
          </w:p>
        </w:tc>
        <w:tc>
          <w:tcPr>
            <w:tcW w:w="1073" w:type="dxa"/>
            <w:vMerge w:val="continue"/>
            <w:shd w:val="clear" w:color="auto" w:fill="auto"/>
          </w:tcPr>
          <w:p w14:paraId="03707510">
            <w:pPr>
              <w:jc w:val="center"/>
              <w:rPr>
                <w:rFonts w:hint="eastAsia" w:ascii="宋体" w:hAnsi="宋体" w:eastAsia="宋体" w:cs="宋体"/>
                <w:color w:val="000000"/>
                <w:sz w:val="24"/>
                <w:szCs w:val="24"/>
              </w:rPr>
            </w:pPr>
          </w:p>
        </w:tc>
        <w:tc>
          <w:tcPr>
            <w:tcW w:w="1425" w:type="dxa"/>
            <w:shd w:val="clear" w:color="auto" w:fill="auto"/>
            <w:vAlign w:val="center"/>
          </w:tcPr>
          <w:p w14:paraId="397AA63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床位管理</w:t>
            </w:r>
          </w:p>
        </w:tc>
        <w:tc>
          <w:tcPr>
            <w:tcW w:w="3990" w:type="dxa"/>
            <w:shd w:val="clear" w:color="auto" w:fill="auto"/>
            <w:vAlign w:val="center"/>
          </w:tcPr>
          <w:p w14:paraId="48043F6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支持添加新的床位信息，包括床位编码、床位名称、所属房间、所属护理单元等信息的修改、删除、同步以及查询。</w:t>
            </w:r>
          </w:p>
        </w:tc>
        <w:tc>
          <w:tcPr>
            <w:tcW w:w="1067" w:type="dxa"/>
            <w:shd w:val="clear" w:color="auto" w:fill="auto"/>
          </w:tcPr>
          <w:p w14:paraId="38B814B5">
            <w:pPr>
              <w:widowControl/>
              <w:jc w:val="left"/>
              <w:textAlignment w:val="center"/>
              <w:rPr>
                <w:rFonts w:hint="eastAsia" w:ascii="宋体" w:hAnsi="宋体" w:eastAsia="宋体" w:cs="宋体"/>
                <w:color w:val="000000"/>
                <w:kern w:val="0"/>
                <w:sz w:val="24"/>
                <w:szCs w:val="24"/>
                <w:lang w:bidi="ar"/>
              </w:rPr>
            </w:pPr>
          </w:p>
        </w:tc>
      </w:tr>
      <w:tr w14:paraId="3B7C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8BEF83D">
            <w:pPr>
              <w:jc w:val="center"/>
              <w:rPr>
                <w:rFonts w:hint="eastAsia" w:ascii="宋体" w:hAnsi="宋体" w:eastAsia="宋体" w:cs="宋体"/>
                <w:color w:val="000000"/>
                <w:sz w:val="24"/>
                <w:szCs w:val="24"/>
              </w:rPr>
            </w:pPr>
          </w:p>
        </w:tc>
        <w:tc>
          <w:tcPr>
            <w:tcW w:w="1073" w:type="dxa"/>
            <w:vMerge w:val="continue"/>
            <w:shd w:val="clear" w:color="auto" w:fill="auto"/>
          </w:tcPr>
          <w:p w14:paraId="0602EBBF">
            <w:pPr>
              <w:jc w:val="center"/>
              <w:rPr>
                <w:rFonts w:hint="eastAsia" w:ascii="宋体" w:hAnsi="宋体" w:eastAsia="宋体" w:cs="宋体"/>
                <w:color w:val="000000"/>
                <w:sz w:val="24"/>
                <w:szCs w:val="24"/>
              </w:rPr>
            </w:pPr>
          </w:p>
        </w:tc>
        <w:tc>
          <w:tcPr>
            <w:tcW w:w="1425" w:type="dxa"/>
            <w:shd w:val="clear" w:color="auto" w:fill="auto"/>
            <w:vAlign w:val="center"/>
          </w:tcPr>
          <w:p w14:paraId="36C3E71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护士信息</w:t>
            </w:r>
          </w:p>
        </w:tc>
        <w:tc>
          <w:tcPr>
            <w:tcW w:w="3990" w:type="dxa"/>
            <w:shd w:val="clear" w:color="auto" w:fill="auto"/>
            <w:vAlign w:val="center"/>
          </w:tcPr>
          <w:p w14:paraId="38F663D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支持添加新的护士信息，包括姓名、性别、职位、绑定标签编号等信息的修改、删除、同步以及查询。</w:t>
            </w:r>
          </w:p>
        </w:tc>
        <w:tc>
          <w:tcPr>
            <w:tcW w:w="1067" w:type="dxa"/>
            <w:shd w:val="clear" w:color="auto" w:fill="auto"/>
          </w:tcPr>
          <w:p w14:paraId="076C2F8D">
            <w:pPr>
              <w:widowControl/>
              <w:jc w:val="left"/>
              <w:textAlignment w:val="center"/>
              <w:rPr>
                <w:rFonts w:hint="eastAsia" w:ascii="宋体" w:hAnsi="宋体" w:eastAsia="宋体" w:cs="宋体"/>
                <w:color w:val="000000"/>
                <w:kern w:val="0"/>
                <w:sz w:val="24"/>
                <w:szCs w:val="24"/>
                <w:lang w:bidi="ar"/>
              </w:rPr>
            </w:pPr>
          </w:p>
        </w:tc>
      </w:tr>
      <w:tr w14:paraId="329D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8C01192">
            <w:pPr>
              <w:jc w:val="center"/>
              <w:rPr>
                <w:rFonts w:hint="eastAsia" w:ascii="宋体" w:hAnsi="宋体" w:eastAsia="宋体" w:cs="宋体"/>
                <w:color w:val="000000"/>
                <w:sz w:val="24"/>
                <w:szCs w:val="24"/>
              </w:rPr>
            </w:pPr>
          </w:p>
        </w:tc>
        <w:tc>
          <w:tcPr>
            <w:tcW w:w="1073" w:type="dxa"/>
            <w:vMerge w:val="continue"/>
            <w:shd w:val="clear" w:color="auto" w:fill="auto"/>
          </w:tcPr>
          <w:p w14:paraId="5AEA8E21">
            <w:pPr>
              <w:jc w:val="center"/>
              <w:rPr>
                <w:rFonts w:hint="eastAsia" w:ascii="宋体" w:hAnsi="宋体" w:eastAsia="宋体" w:cs="宋体"/>
                <w:color w:val="000000"/>
                <w:sz w:val="24"/>
                <w:szCs w:val="24"/>
              </w:rPr>
            </w:pPr>
          </w:p>
        </w:tc>
        <w:tc>
          <w:tcPr>
            <w:tcW w:w="1425" w:type="dxa"/>
            <w:shd w:val="clear" w:color="auto" w:fill="auto"/>
            <w:vAlign w:val="center"/>
          </w:tcPr>
          <w:p w14:paraId="50A86400">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医生信息</w:t>
            </w:r>
          </w:p>
        </w:tc>
        <w:tc>
          <w:tcPr>
            <w:tcW w:w="3990" w:type="dxa"/>
            <w:shd w:val="clear" w:color="auto" w:fill="auto"/>
            <w:vAlign w:val="center"/>
          </w:tcPr>
          <w:p w14:paraId="4696B04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支持添加新的医生信息，包括姓名、性别、职位、绑定标签编号等信息的修改、删除、同步以及查询。</w:t>
            </w:r>
          </w:p>
        </w:tc>
        <w:tc>
          <w:tcPr>
            <w:tcW w:w="1067" w:type="dxa"/>
            <w:shd w:val="clear" w:color="auto" w:fill="auto"/>
          </w:tcPr>
          <w:p w14:paraId="459E65B1">
            <w:pPr>
              <w:widowControl/>
              <w:jc w:val="left"/>
              <w:textAlignment w:val="center"/>
              <w:rPr>
                <w:rFonts w:hint="eastAsia" w:ascii="宋体" w:hAnsi="宋体" w:eastAsia="宋体" w:cs="宋体"/>
                <w:color w:val="000000"/>
                <w:kern w:val="0"/>
                <w:sz w:val="24"/>
                <w:szCs w:val="24"/>
                <w:lang w:bidi="ar"/>
              </w:rPr>
            </w:pPr>
          </w:p>
        </w:tc>
      </w:tr>
      <w:tr w14:paraId="671A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470FBE40">
            <w:pPr>
              <w:jc w:val="center"/>
              <w:rPr>
                <w:rFonts w:hint="eastAsia" w:ascii="宋体" w:hAnsi="宋体" w:eastAsia="宋体" w:cs="宋体"/>
                <w:color w:val="000000"/>
                <w:sz w:val="24"/>
                <w:szCs w:val="24"/>
              </w:rPr>
            </w:pPr>
          </w:p>
        </w:tc>
        <w:tc>
          <w:tcPr>
            <w:tcW w:w="1073" w:type="dxa"/>
            <w:vMerge w:val="continue"/>
            <w:shd w:val="clear" w:color="auto" w:fill="auto"/>
          </w:tcPr>
          <w:p w14:paraId="59DDBD8A">
            <w:pPr>
              <w:jc w:val="center"/>
              <w:rPr>
                <w:rFonts w:hint="eastAsia" w:ascii="宋体" w:hAnsi="宋体" w:eastAsia="宋体" w:cs="宋体"/>
                <w:color w:val="000000"/>
                <w:sz w:val="24"/>
                <w:szCs w:val="24"/>
              </w:rPr>
            </w:pPr>
          </w:p>
        </w:tc>
        <w:tc>
          <w:tcPr>
            <w:tcW w:w="1425" w:type="dxa"/>
            <w:shd w:val="clear" w:color="auto" w:fill="auto"/>
            <w:vAlign w:val="center"/>
          </w:tcPr>
          <w:p w14:paraId="546DE99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护工信息</w:t>
            </w:r>
          </w:p>
        </w:tc>
        <w:tc>
          <w:tcPr>
            <w:tcW w:w="3990" w:type="dxa"/>
            <w:shd w:val="clear" w:color="auto" w:fill="auto"/>
            <w:vAlign w:val="center"/>
          </w:tcPr>
          <w:p w14:paraId="631C464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支持添加新的护工信息，包括姓名、性别、职位、绑定标签编号等信息的修改、删除、同步以及查询。</w:t>
            </w:r>
          </w:p>
        </w:tc>
        <w:tc>
          <w:tcPr>
            <w:tcW w:w="1067" w:type="dxa"/>
            <w:shd w:val="clear" w:color="auto" w:fill="auto"/>
          </w:tcPr>
          <w:p w14:paraId="3E4E6CD4">
            <w:pPr>
              <w:widowControl/>
              <w:jc w:val="left"/>
              <w:textAlignment w:val="center"/>
              <w:rPr>
                <w:rFonts w:hint="eastAsia" w:ascii="宋体" w:hAnsi="宋体" w:eastAsia="宋体" w:cs="宋体"/>
                <w:color w:val="000000"/>
                <w:kern w:val="0"/>
                <w:sz w:val="24"/>
                <w:szCs w:val="24"/>
                <w:lang w:bidi="ar"/>
              </w:rPr>
            </w:pPr>
          </w:p>
        </w:tc>
      </w:tr>
      <w:tr w14:paraId="6882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0D007FA5">
            <w:pPr>
              <w:jc w:val="center"/>
              <w:rPr>
                <w:rFonts w:hint="eastAsia" w:ascii="宋体" w:hAnsi="宋体" w:eastAsia="宋体" w:cs="宋体"/>
                <w:color w:val="000000"/>
                <w:sz w:val="24"/>
                <w:szCs w:val="24"/>
              </w:rPr>
            </w:pPr>
          </w:p>
        </w:tc>
        <w:tc>
          <w:tcPr>
            <w:tcW w:w="1073" w:type="dxa"/>
            <w:vMerge w:val="continue"/>
            <w:shd w:val="clear" w:color="auto" w:fill="auto"/>
          </w:tcPr>
          <w:p w14:paraId="7B4ED92B">
            <w:pPr>
              <w:jc w:val="center"/>
              <w:rPr>
                <w:rFonts w:hint="eastAsia" w:ascii="宋体" w:hAnsi="宋体" w:eastAsia="宋体" w:cs="宋体"/>
                <w:color w:val="000000"/>
                <w:sz w:val="24"/>
                <w:szCs w:val="24"/>
              </w:rPr>
            </w:pPr>
          </w:p>
        </w:tc>
        <w:tc>
          <w:tcPr>
            <w:tcW w:w="1425" w:type="dxa"/>
            <w:shd w:val="clear" w:color="auto" w:fill="auto"/>
            <w:vAlign w:val="center"/>
          </w:tcPr>
          <w:p w14:paraId="126A5DD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接警人</w:t>
            </w:r>
          </w:p>
        </w:tc>
        <w:tc>
          <w:tcPr>
            <w:tcW w:w="3990" w:type="dxa"/>
            <w:shd w:val="clear" w:color="auto" w:fill="auto"/>
            <w:vAlign w:val="center"/>
          </w:tcPr>
          <w:p w14:paraId="4E580DD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支持添加新的接警人信息，包括姓名、性别、职位、绑定标签编号等信息的修改、删除、同步以及查询。</w:t>
            </w:r>
          </w:p>
        </w:tc>
        <w:tc>
          <w:tcPr>
            <w:tcW w:w="1067" w:type="dxa"/>
            <w:shd w:val="clear" w:color="auto" w:fill="auto"/>
          </w:tcPr>
          <w:p w14:paraId="4272435C">
            <w:pPr>
              <w:widowControl/>
              <w:jc w:val="left"/>
              <w:textAlignment w:val="center"/>
              <w:rPr>
                <w:rFonts w:hint="eastAsia" w:ascii="宋体" w:hAnsi="宋体" w:eastAsia="宋体" w:cs="宋体"/>
                <w:color w:val="000000"/>
                <w:kern w:val="0"/>
                <w:sz w:val="24"/>
                <w:szCs w:val="24"/>
                <w:lang w:bidi="ar"/>
              </w:rPr>
            </w:pPr>
          </w:p>
        </w:tc>
      </w:tr>
      <w:tr w14:paraId="280C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90BA90A">
            <w:pPr>
              <w:jc w:val="center"/>
              <w:rPr>
                <w:rFonts w:hint="eastAsia" w:ascii="宋体" w:hAnsi="宋体" w:eastAsia="宋体" w:cs="宋体"/>
                <w:color w:val="000000"/>
                <w:sz w:val="24"/>
                <w:szCs w:val="24"/>
              </w:rPr>
            </w:pPr>
          </w:p>
        </w:tc>
        <w:tc>
          <w:tcPr>
            <w:tcW w:w="1073" w:type="dxa"/>
            <w:vMerge w:val="continue"/>
            <w:shd w:val="clear" w:color="auto" w:fill="auto"/>
          </w:tcPr>
          <w:p w14:paraId="5B68C58B">
            <w:pPr>
              <w:jc w:val="center"/>
              <w:rPr>
                <w:rFonts w:hint="eastAsia" w:ascii="宋体" w:hAnsi="宋体" w:eastAsia="宋体" w:cs="宋体"/>
                <w:color w:val="000000"/>
                <w:sz w:val="24"/>
                <w:szCs w:val="24"/>
              </w:rPr>
            </w:pPr>
          </w:p>
        </w:tc>
        <w:tc>
          <w:tcPr>
            <w:tcW w:w="1425" w:type="dxa"/>
            <w:shd w:val="clear" w:color="auto" w:fill="auto"/>
            <w:vAlign w:val="center"/>
          </w:tcPr>
          <w:p w14:paraId="3670C8D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其他人员信息</w:t>
            </w:r>
          </w:p>
        </w:tc>
        <w:tc>
          <w:tcPr>
            <w:tcW w:w="3990" w:type="dxa"/>
            <w:shd w:val="clear" w:color="auto" w:fill="auto"/>
            <w:vAlign w:val="center"/>
          </w:tcPr>
          <w:p w14:paraId="0BF2529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支持添加新的接警人信息，包括姓名、性别、职位、绑定标签编号等信息的修改、删除、同步以及查询。</w:t>
            </w:r>
          </w:p>
        </w:tc>
        <w:tc>
          <w:tcPr>
            <w:tcW w:w="1067" w:type="dxa"/>
            <w:shd w:val="clear" w:color="auto" w:fill="auto"/>
          </w:tcPr>
          <w:p w14:paraId="0280AFFF">
            <w:pPr>
              <w:widowControl/>
              <w:jc w:val="left"/>
              <w:textAlignment w:val="center"/>
              <w:rPr>
                <w:rFonts w:hint="eastAsia" w:ascii="宋体" w:hAnsi="宋体" w:eastAsia="宋体" w:cs="宋体"/>
                <w:color w:val="000000"/>
                <w:kern w:val="0"/>
                <w:sz w:val="24"/>
                <w:szCs w:val="24"/>
                <w:lang w:bidi="ar"/>
              </w:rPr>
            </w:pPr>
          </w:p>
        </w:tc>
      </w:tr>
      <w:tr w14:paraId="6B40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505D95A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073" w:type="dxa"/>
            <w:shd w:val="clear" w:color="auto" w:fill="auto"/>
            <w:vAlign w:val="center"/>
          </w:tcPr>
          <w:p w14:paraId="68A4AC1B">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基础字</w:t>
            </w:r>
          </w:p>
          <w:p w14:paraId="5931FC65">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典</w:t>
            </w:r>
          </w:p>
        </w:tc>
        <w:tc>
          <w:tcPr>
            <w:tcW w:w="1425" w:type="dxa"/>
            <w:shd w:val="clear" w:color="auto" w:fill="auto"/>
            <w:vAlign w:val="center"/>
          </w:tcPr>
          <w:p w14:paraId="4E66C71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护理等级管理</w:t>
            </w:r>
          </w:p>
        </w:tc>
        <w:tc>
          <w:tcPr>
            <w:tcW w:w="3990" w:type="dxa"/>
            <w:shd w:val="clear" w:color="auto" w:fill="auto"/>
            <w:vAlign w:val="center"/>
          </w:tcPr>
          <w:p w14:paraId="11459DE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支持进行护理等级管理的维护，护理等级名称、显示颜色等</w:t>
            </w:r>
          </w:p>
        </w:tc>
        <w:tc>
          <w:tcPr>
            <w:tcW w:w="1067" w:type="dxa"/>
            <w:shd w:val="clear" w:color="auto" w:fill="auto"/>
          </w:tcPr>
          <w:p w14:paraId="555E7F9E">
            <w:pPr>
              <w:widowControl/>
              <w:jc w:val="left"/>
              <w:textAlignment w:val="center"/>
              <w:rPr>
                <w:rFonts w:hint="eastAsia" w:ascii="宋体" w:hAnsi="宋体" w:eastAsia="宋体" w:cs="宋体"/>
                <w:color w:val="000000"/>
                <w:kern w:val="0"/>
                <w:sz w:val="24"/>
                <w:szCs w:val="24"/>
                <w:lang w:bidi="ar"/>
              </w:rPr>
            </w:pPr>
          </w:p>
        </w:tc>
      </w:tr>
      <w:tr w14:paraId="0A53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4D44F6DD">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7</w:t>
            </w:r>
          </w:p>
        </w:tc>
        <w:tc>
          <w:tcPr>
            <w:tcW w:w="1073" w:type="dxa"/>
            <w:vMerge w:val="restart"/>
            <w:shd w:val="clear" w:color="auto" w:fill="auto"/>
            <w:vAlign w:val="center"/>
          </w:tcPr>
          <w:p w14:paraId="2E592F04">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用户与</w:t>
            </w:r>
          </w:p>
          <w:p w14:paraId="3901E444">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权限</w:t>
            </w:r>
          </w:p>
        </w:tc>
        <w:tc>
          <w:tcPr>
            <w:tcW w:w="1425" w:type="dxa"/>
            <w:shd w:val="clear" w:color="auto" w:fill="auto"/>
            <w:vAlign w:val="center"/>
          </w:tcPr>
          <w:p w14:paraId="1E3D3C77">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用户管理</w:t>
            </w:r>
          </w:p>
        </w:tc>
        <w:tc>
          <w:tcPr>
            <w:tcW w:w="3990" w:type="dxa"/>
            <w:shd w:val="clear" w:color="auto" w:fill="auto"/>
            <w:vAlign w:val="center"/>
          </w:tcPr>
          <w:p w14:paraId="180608A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支持添加新的用户信息，包括账号名称、用户代码、所属角色、状态等信息。同时，支持对现有用户信息的修改、删除、同步以及查询。</w:t>
            </w:r>
          </w:p>
        </w:tc>
        <w:tc>
          <w:tcPr>
            <w:tcW w:w="1067" w:type="dxa"/>
            <w:shd w:val="clear" w:color="auto" w:fill="auto"/>
          </w:tcPr>
          <w:p w14:paraId="276AA910">
            <w:pPr>
              <w:widowControl/>
              <w:jc w:val="left"/>
              <w:textAlignment w:val="center"/>
              <w:rPr>
                <w:rFonts w:hint="eastAsia" w:ascii="宋体" w:hAnsi="宋体" w:eastAsia="宋体" w:cs="宋体"/>
                <w:color w:val="000000"/>
                <w:kern w:val="0"/>
                <w:sz w:val="24"/>
                <w:szCs w:val="24"/>
                <w:lang w:bidi="ar"/>
              </w:rPr>
            </w:pPr>
          </w:p>
        </w:tc>
      </w:tr>
      <w:tr w14:paraId="3917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595685CC">
            <w:pPr>
              <w:jc w:val="center"/>
              <w:rPr>
                <w:rFonts w:hint="eastAsia" w:ascii="宋体" w:hAnsi="宋体" w:eastAsia="宋体" w:cs="宋体"/>
                <w:color w:val="000000"/>
                <w:sz w:val="24"/>
                <w:szCs w:val="24"/>
              </w:rPr>
            </w:pPr>
          </w:p>
        </w:tc>
        <w:tc>
          <w:tcPr>
            <w:tcW w:w="1073" w:type="dxa"/>
            <w:vMerge w:val="continue"/>
            <w:shd w:val="clear" w:color="auto" w:fill="auto"/>
          </w:tcPr>
          <w:p w14:paraId="2A84F9BB">
            <w:pPr>
              <w:jc w:val="center"/>
              <w:rPr>
                <w:rFonts w:hint="eastAsia" w:ascii="宋体" w:hAnsi="宋体" w:eastAsia="宋体" w:cs="宋体"/>
                <w:color w:val="000000"/>
                <w:sz w:val="24"/>
                <w:szCs w:val="24"/>
              </w:rPr>
            </w:pPr>
          </w:p>
        </w:tc>
        <w:tc>
          <w:tcPr>
            <w:tcW w:w="1425" w:type="dxa"/>
            <w:shd w:val="clear" w:color="auto" w:fill="auto"/>
            <w:vAlign w:val="center"/>
          </w:tcPr>
          <w:p w14:paraId="656DA7A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角色管理</w:t>
            </w:r>
          </w:p>
        </w:tc>
        <w:tc>
          <w:tcPr>
            <w:tcW w:w="3990" w:type="dxa"/>
            <w:shd w:val="clear" w:color="auto" w:fill="auto"/>
            <w:vAlign w:val="center"/>
          </w:tcPr>
          <w:p w14:paraId="7C6DB3E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支持添加新的角色信息，包括角色名称、角色代码、备注、状态等信息。同时，支持对现有角色的修改、删除以及查询</w:t>
            </w:r>
          </w:p>
        </w:tc>
        <w:tc>
          <w:tcPr>
            <w:tcW w:w="1067" w:type="dxa"/>
            <w:shd w:val="clear" w:color="auto" w:fill="auto"/>
          </w:tcPr>
          <w:p w14:paraId="36B26642">
            <w:pPr>
              <w:widowControl/>
              <w:jc w:val="left"/>
              <w:textAlignment w:val="center"/>
              <w:rPr>
                <w:rFonts w:hint="eastAsia" w:ascii="宋体" w:hAnsi="宋体" w:eastAsia="宋体" w:cs="宋体"/>
                <w:color w:val="000000"/>
                <w:kern w:val="0"/>
                <w:sz w:val="24"/>
                <w:szCs w:val="24"/>
                <w:lang w:bidi="ar"/>
              </w:rPr>
            </w:pPr>
          </w:p>
        </w:tc>
      </w:tr>
      <w:tr w14:paraId="1D56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4161CB4">
            <w:pPr>
              <w:jc w:val="center"/>
              <w:rPr>
                <w:rFonts w:hint="eastAsia" w:ascii="宋体" w:hAnsi="宋体" w:eastAsia="宋体" w:cs="宋体"/>
                <w:color w:val="000000"/>
                <w:sz w:val="24"/>
                <w:szCs w:val="24"/>
              </w:rPr>
            </w:pPr>
          </w:p>
        </w:tc>
        <w:tc>
          <w:tcPr>
            <w:tcW w:w="1073" w:type="dxa"/>
            <w:vMerge w:val="continue"/>
            <w:shd w:val="clear" w:color="auto" w:fill="auto"/>
          </w:tcPr>
          <w:p w14:paraId="2C296A47">
            <w:pPr>
              <w:jc w:val="center"/>
              <w:rPr>
                <w:rFonts w:hint="eastAsia" w:ascii="宋体" w:hAnsi="宋体" w:eastAsia="宋体" w:cs="宋体"/>
                <w:color w:val="000000"/>
                <w:sz w:val="24"/>
                <w:szCs w:val="24"/>
              </w:rPr>
            </w:pPr>
          </w:p>
        </w:tc>
        <w:tc>
          <w:tcPr>
            <w:tcW w:w="1425" w:type="dxa"/>
            <w:shd w:val="clear" w:color="auto" w:fill="auto"/>
            <w:vAlign w:val="center"/>
          </w:tcPr>
          <w:p w14:paraId="2C1D476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权限分配</w:t>
            </w:r>
          </w:p>
        </w:tc>
        <w:tc>
          <w:tcPr>
            <w:tcW w:w="3990" w:type="dxa"/>
            <w:shd w:val="clear" w:color="auto" w:fill="auto"/>
            <w:vAlign w:val="center"/>
          </w:tcPr>
          <w:p w14:paraId="391964C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允许系统管理员或指定的权限管理员，根据医院的组织结构和岗位职责，为预定义的用户角色配置菜单访问权限。管理员可以查看系统所有可用的功能菜单及其层级结构，并选择性地为特定角色分配或取消分配这些菜单的访问权限。系统需确保权限配置的准确性和一致性，并能够清晰地展示每个角色的菜单访问权限列表。权限配置变更后，应能实时或按策略生效。</w:t>
            </w:r>
          </w:p>
        </w:tc>
        <w:tc>
          <w:tcPr>
            <w:tcW w:w="1067" w:type="dxa"/>
            <w:shd w:val="clear" w:color="auto" w:fill="auto"/>
          </w:tcPr>
          <w:p w14:paraId="2A73291A">
            <w:pPr>
              <w:widowControl/>
              <w:jc w:val="left"/>
              <w:textAlignment w:val="center"/>
              <w:rPr>
                <w:rFonts w:hint="eastAsia" w:ascii="宋体" w:hAnsi="宋体" w:eastAsia="宋体" w:cs="宋体"/>
                <w:color w:val="000000"/>
                <w:kern w:val="0"/>
                <w:sz w:val="24"/>
                <w:szCs w:val="24"/>
                <w:lang w:bidi="ar"/>
              </w:rPr>
            </w:pPr>
          </w:p>
        </w:tc>
      </w:tr>
      <w:tr w14:paraId="0D81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33A7065C">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8</w:t>
            </w:r>
          </w:p>
        </w:tc>
        <w:tc>
          <w:tcPr>
            <w:tcW w:w="1073" w:type="dxa"/>
            <w:vMerge w:val="restart"/>
            <w:shd w:val="clear" w:color="auto" w:fill="auto"/>
            <w:vAlign w:val="center"/>
          </w:tcPr>
          <w:p w14:paraId="2EF21BA4">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全局配</w:t>
            </w:r>
          </w:p>
          <w:p w14:paraId="16394416">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置</w:t>
            </w:r>
          </w:p>
        </w:tc>
        <w:tc>
          <w:tcPr>
            <w:tcW w:w="1425" w:type="dxa"/>
            <w:shd w:val="clear" w:color="auto" w:fill="auto"/>
            <w:vAlign w:val="center"/>
          </w:tcPr>
          <w:p w14:paraId="44B169F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护理巡视任务规则设置</w:t>
            </w:r>
          </w:p>
        </w:tc>
        <w:tc>
          <w:tcPr>
            <w:tcW w:w="3990" w:type="dxa"/>
            <w:shd w:val="clear" w:color="auto" w:fill="auto"/>
            <w:vAlign w:val="center"/>
          </w:tcPr>
          <w:p w14:paraId="3F39A24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本页面核心支持护理巡视规则的配置，可设置的关键信息包括巡视名称、护理等级、巡视停留时长、时间范围、间隔时间、误差时长、应用护士站等。</w:t>
            </w:r>
          </w:p>
        </w:tc>
        <w:tc>
          <w:tcPr>
            <w:tcW w:w="1067" w:type="dxa"/>
            <w:shd w:val="clear" w:color="auto" w:fill="auto"/>
          </w:tcPr>
          <w:p w14:paraId="73C7A23A">
            <w:pPr>
              <w:widowControl/>
              <w:jc w:val="left"/>
              <w:textAlignment w:val="center"/>
              <w:rPr>
                <w:rFonts w:hint="eastAsia" w:ascii="宋体" w:hAnsi="宋体" w:eastAsia="宋体" w:cs="宋体"/>
                <w:color w:val="000000"/>
                <w:kern w:val="0"/>
                <w:sz w:val="24"/>
                <w:szCs w:val="24"/>
                <w:lang w:bidi="ar"/>
              </w:rPr>
            </w:pPr>
          </w:p>
        </w:tc>
      </w:tr>
      <w:tr w14:paraId="4C80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154E1F11">
            <w:pPr>
              <w:jc w:val="center"/>
              <w:rPr>
                <w:rFonts w:hint="eastAsia" w:ascii="宋体" w:hAnsi="宋体" w:eastAsia="宋体" w:cs="宋体"/>
                <w:color w:val="000000"/>
                <w:sz w:val="24"/>
                <w:szCs w:val="24"/>
              </w:rPr>
            </w:pPr>
          </w:p>
        </w:tc>
        <w:tc>
          <w:tcPr>
            <w:tcW w:w="1073" w:type="dxa"/>
            <w:vMerge w:val="continue"/>
            <w:shd w:val="clear" w:color="auto" w:fill="auto"/>
          </w:tcPr>
          <w:p w14:paraId="4BD295CA">
            <w:pPr>
              <w:jc w:val="center"/>
              <w:rPr>
                <w:rFonts w:hint="eastAsia" w:ascii="宋体" w:hAnsi="宋体" w:eastAsia="宋体" w:cs="宋体"/>
                <w:color w:val="000000"/>
                <w:sz w:val="24"/>
                <w:szCs w:val="24"/>
              </w:rPr>
            </w:pPr>
          </w:p>
        </w:tc>
        <w:tc>
          <w:tcPr>
            <w:tcW w:w="1425" w:type="dxa"/>
            <w:shd w:val="clear" w:color="auto" w:fill="auto"/>
            <w:vAlign w:val="center"/>
          </w:tcPr>
          <w:p w14:paraId="5F029736">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医护sos告警设置</w:t>
            </w:r>
          </w:p>
        </w:tc>
        <w:tc>
          <w:tcPr>
            <w:tcW w:w="3990" w:type="dxa"/>
            <w:shd w:val="clear" w:color="auto" w:fill="auto"/>
            <w:vAlign w:val="center"/>
          </w:tcPr>
          <w:p w14:paraId="44820E6F">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本页面核心支持SOS告警的个性化设置，可配置的关键信息包括事件类型、适用角色、生效时间、通知接警人规则、二次通知间隔时间、警鸣位置等，满足不同场景下的告警需求。</w:t>
            </w:r>
          </w:p>
        </w:tc>
        <w:tc>
          <w:tcPr>
            <w:tcW w:w="1067" w:type="dxa"/>
            <w:shd w:val="clear" w:color="auto" w:fill="auto"/>
          </w:tcPr>
          <w:p w14:paraId="773640F6">
            <w:pPr>
              <w:widowControl/>
              <w:jc w:val="left"/>
              <w:textAlignment w:val="center"/>
              <w:rPr>
                <w:rFonts w:hint="eastAsia" w:ascii="宋体" w:hAnsi="宋体" w:eastAsia="宋体" w:cs="宋体"/>
                <w:color w:val="000000"/>
                <w:kern w:val="0"/>
                <w:sz w:val="24"/>
                <w:szCs w:val="24"/>
                <w:lang w:bidi="ar"/>
              </w:rPr>
            </w:pPr>
          </w:p>
        </w:tc>
      </w:tr>
      <w:tr w14:paraId="0CC0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1D3A66E5">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9</w:t>
            </w:r>
          </w:p>
        </w:tc>
        <w:tc>
          <w:tcPr>
            <w:tcW w:w="1073" w:type="dxa"/>
            <w:shd w:val="clear" w:color="auto" w:fill="auto"/>
            <w:vAlign w:val="center"/>
          </w:tcPr>
          <w:p w14:paraId="4BE710A6">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设备管</w:t>
            </w:r>
          </w:p>
          <w:p w14:paraId="7EA1C62C">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理</w:t>
            </w:r>
          </w:p>
        </w:tc>
        <w:tc>
          <w:tcPr>
            <w:tcW w:w="1425" w:type="dxa"/>
            <w:shd w:val="clear" w:color="auto" w:fill="auto"/>
            <w:vAlign w:val="center"/>
          </w:tcPr>
          <w:p w14:paraId="289AB56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设备管理</w:t>
            </w:r>
          </w:p>
        </w:tc>
        <w:tc>
          <w:tcPr>
            <w:tcW w:w="3990" w:type="dxa"/>
            <w:shd w:val="clear" w:color="auto" w:fill="auto"/>
            <w:vAlign w:val="center"/>
          </w:tcPr>
          <w:p w14:paraId="0DD1344E">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支持查看、同步系统中的标签信息，包括标签编号、类型、所属区域、电量、版本/类型、状态、最后通讯时间等信息</w:t>
            </w:r>
          </w:p>
        </w:tc>
        <w:tc>
          <w:tcPr>
            <w:tcW w:w="1067" w:type="dxa"/>
            <w:shd w:val="clear" w:color="auto" w:fill="auto"/>
          </w:tcPr>
          <w:p w14:paraId="7AC03509">
            <w:pPr>
              <w:widowControl/>
              <w:jc w:val="left"/>
              <w:textAlignment w:val="center"/>
              <w:rPr>
                <w:rFonts w:hint="eastAsia" w:ascii="宋体" w:hAnsi="宋体" w:eastAsia="宋体" w:cs="宋体"/>
                <w:color w:val="000000"/>
                <w:kern w:val="0"/>
                <w:sz w:val="24"/>
                <w:szCs w:val="24"/>
                <w:lang w:bidi="ar"/>
              </w:rPr>
            </w:pPr>
          </w:p>
        </w:tc>
      </w:tr>
      <w:tr w14:paraId="2688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32A3C663">
            <w:pPr>
              <w:widowControl/>
              <w:jc w:val="center"/>
              <w:textAlignment w:val="center"/>
              <w:rPr>
                <w:rFonts w:hint="eastAsia" w:ascii="宋体" w:hAnsi="宋体" w:eastAsia="宋体" w:cs="宋体"/>
                <w:sz w:val="24"/>
                <w:szCs w:val="24"/>
              </w:rPr>
            </w:pPr>
            <w:r>
              <w:rPr>
                <w:rFonts w:hint="eastAsia" w:ascii="宋体" w:hAnsi="宋体" w:eastAsia="宋体" w:cs="宋体"/>
                <w:color w:val="000000"/>
                <w:sz w:val="24"/>
                <w:szCs w:val="24"/>
              </w:rPr>
              <w:t>10</w:t>
            </w:r>
          </w:p>
        </w:tc>
        <w:tc>
          <w:tcPr>
            <w:tcW w:w="1073" w:type="dxa"/>
            <w:shd w:val="clear" w:color="auto" w:fill="auto"/>
            <w:vAlign w:val="center"/>
          </w:tcPr>
          <w:p w14:paraId="292385B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智能易拉扣标签（20只）</w:t>
            </w:r>
          </w:p>
        </w:tc>
        <w:tc>
          <w:tcPr>
            <w:tcW w:w="1425" w:type="dxa"/>
            <w:shd w:val="clear" w:color="auto" w:fill="auto"/>
            <w:vAlign w:val="center"/>
          </w:tcPr>
          <w:p w14:paraId="63BD19D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4089251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1、低功耗蓝牙模块，支持蓝牙协议；</w:t>
            </w:r>
          </w:p>
          <w:p w14:paraId="0FEDE49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2、配合物联网网关使用，支持蓝牙定位，工作频率：2400-2483.5MHz；蓝牙工作距离：≥10米；</w:t>
            </w:r>
          </w:p>
          <w:p w14:paraId="1279873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3、含一个呼叫按键；</w:t>
            </w:r>
          </w:p>
          <w:p w14:paraId="4FFEB975">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电池供电，电池连续使用时间大于4年</w:t>
            </w:r>
          </w:p>
        </w:tc>
        <w:tc>
          <w:tcPr>
            <w:tcW w:w="1067" w:type="dxa"/>
            <w:shd w:val="clear" w:color="auto" w:fill="auto"/>
          </w:tcPr>
          <w:p w14:paraId="600ABA20">
            <w:pPr>
              <w:widowControl/>
              <w:jc w:val="left"/>
              <w:textAlignment w:val="center"/>
              <w:rPr>
                <w:rFonts w:hint="eastAsia" w:ascii="宋体" w:hAnsi="宋体" w:eastAsia="宋体" w:cs="宋体"/>
                <w:color w:val="000000"/>
                <w:kern w:val="0"/>
                <w:sz w:val="24"/>
                <w:szCs w:val="24"/>
                <w:lang w:bidi="ar"/>
              </w:rPr>
            </w:pPr>
          </w:p>
          <w:p w14:paraId="10261F8C">
            <w:pPr>
              <w:widowControl/>
              <w:jc w:val="left"/>
              <w:textAlignment w:val="center"/>
              <w:rPr>
                <w:rFonts w:hint="eastAsia" w:ascii="宋体" w:hAnsi="宋体" w:eastAsia="宋体" w:cs="宋体"/>
                <w:color w:val="000000"/>
                <w:kern w:val="0"/>
                <w:sz w:val="24"/>
                <w:szCs w:val="24"/>
                <w:lang w:bidi="ar"/>
              </w:rPr>
            </w:pPr>
          </w:p>
          <w:p w14:paraId="71375298">
            <w:pPr>
              <w:widowControl/>
              <w:jc w:val="left"/>
              <w:textAlignment w:val="center"/>
              <w:rPr>
                <w:rFonts w:hint="eastAsia" w:ascii="宋体" w:hAnsi="宋体" w:eastAsia="宋体" w:cs="宋体"/>
                <w:color w:val="000000"/>
                <w:kern w:val="0"/>
                <w:sz w:val="24"/>
                <w:szCs w:val="24"/>
                <w:lang w:bidi="ar"/>
              </w:rPr>
            </w:pPr>
          </w:p>
          <w:p w14:paraId="42B4793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可做医护人员无感巡房</w:t>
            </w:r>
          </w:p>
        </w:tc>
      </w:tr>
      <w:tr w14:paraId="3450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189BAFB1">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11</w:t>
            </w:r>
          </w:p>
        </w:tc>
        <w:tc>
          <w:tcPr>
            <w:tcW w:w="1073" w:type="dxa"/>
            <w:shd w:val="clear" w:color="auto" w:fill="auto"/>
            <w:vAlign w:val="center"/>
          </w:tcPr>
          <w:p w14:paraId="287FEEC4">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室内外一体防拆智能腕式标签（5只）</w:t>
            </w:r>
          </w:p>
        </w:tc>
        <w:tc>
          <w:tcPr>
            <w:tcW w:w="1425" w:type="dxa"/>
            <w:shd w:val="clear" w:color="auto" w:fill="auto"/>
            <w:vAlign w:val="center"/>
          </w:tcPr>
          <w:p w14:paraId="64ACA97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04425880">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1、工作模式：双频三模，同时支持UHF+低频+红外工作；室外支持GPS或者北斗定位；</w:t>
            </w:r>
          </w:p>
          <w:p w14:paraId="6631E09E">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2、标签形式：防拆腕表式；</w:t>
            </w:r>
          </w:p>
          <w:p w14:paraId="403ABBF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3、UHF工作频率：400-960MHz范围内；</w:t>
            </w:r>
          </w:p>
          <w:p w14:paraId="4FA0D1E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4、低频激活：125KHz；</w:t>
            </w:r>
          </w:p>
          <w:p w14:paraId="2CBFC1E4">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5、红外光谱波长：950nm±1nm，红外载波频率38k；</w:t>
            </w:r>
          </w:p>
          <w:p w14:paraId="70FF714B">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6、唯一识别码：支持；</w:t>
            </w:r>
          </w:p>
          <w:p w14:paraId="66BECEC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7、工作时长：室内电池连续工作时间不少于6个月，不需要充电和更换电池；室外追踪模式工作时长不少于24小时；</w:t>
            </w:r>
          </w:p>
          <w:p w14:paraId="0B0F5745">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8、腕带材质：使用高品质材质腕带，保证舒适的佩戴体验；</w:t>
            </w:r>
          </w:p>
          <w:p w14:paraId="0C83A3D5">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9、剪断告警：支持；</w:t>
            </w:r>
          </w:p>
          <w:p w14:paraId="331C16FA">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10、RFID识别：支持；</w:t>
            </w:r>
          </w:p>
          <w:p w14:paraId="30C5794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11、设备发射功率≤10mW(e.r.p)，且设备载频容限、杂散发射（工作状态）或机箱端口辐射杂散（工作状态）符合工信部公告2019年第52号要求；（投标人须提供CNAS或CMA</w:t>
            </w:r>
            <w:r>
              <w:rPr>
                <w:rFonts w:hint="eastAsia" w:ascii="宋体" w:hAnsi="宋体" w:eastAsia="宋体" w:cs="宋体"/>
                <w:kern w:val="0"/>
                <w:sz w:val="24"/>
                <w:szCs w:val="24"/>
                <w:lang w:bidi="ar"/>
              </w:rPr>
              <w:t>认可机构出具的且检测项目在CNAS或CMA认可范围内的</w:t>
            </w:r>
            <w:r>
              <w:rPr>
                <w:rFonts w:hint="eastAsia" w:ascii="宋体" w:hAnsi="宋体" w:eastAsia="宋体" w:cs="宋体"/>
                <w:color w:val="000000"/>
                <w:kern w:val="0"/>
                <w:sz w:val="24"/>
                <w:szCs w:val="24"/>
                <w:lang w:bidi="ar"/>
              </w:rPr>
              <w:t>检测报告复印件佐证）</w:t>
            </w:r>
          </w:p>
        </w:tc>
        <w:tc>
          <w:tcPr>
            <w:tcW w:w="1067" w:type="dxa"/>
            <w:shd w:val="clear" w:color="auto" w:fill="auto"/>
          </w:tcPr>
          <w:p w14:paraId="39303B7E">
            <w:pPr>
              <w:widowControl/>
              <w:jc w:val="left"/>
              <w:textAlignment w:val="center"/>
              <w:rPr>
                <w:rFonts w:hint="eastAsia" w:ascii="宋体" w:hAnsi="宋体" w:eastAsia="宋体" w:cs="宋体"/>
                <w:color w:val="000000"/>
                <w:kern w:val="0"/>
                <w:sz w:val="24"/>
                <w:szCs w:val="24"/>
                <w:lang w:bidi="ar"/>
              </w:rPr>
            </w:pPr>
          </w:p>
          <w:p w14:paraId="093D3A6D">
            <w:pPr>
              <w:widowControl/>
              <w:jc w:val="left"/>
              <w:textAlignment w:val="center"/>
              <w:rPr>
                <w:rFonts w:hint="eastAsia" w:ascii="宋体" w:hAnsi="宋体" w:eastAsia="宋体" w:cs="宋体"/>
                <w:color w:val="000000"/>
                <w:kern w:val="0"/>
                <w:sz w:val="24"/>
                <w:szCs w:val="24"/>
                <w:lang w:bidi="ar"/>
              </w:rPr>
            </w:pPr>
          </w:p>
          <w:p w14:paraId="266482DD">
            <w:pPr>
              <w:widowControl/>
              <w:jc w:val="left"/>
              <w:textAlignment w:val="center"/>
              <w:rPr>
                <w:rFonts w:hint="eastAsia" w:ascii="宋体" w:hAnsi="宋体" w:eastAsia="宋体" w:cs="宋体"/>
                <w:color w:val="000000"/>
                <w:kern w:val="0"/>
                <w:sz w:val="24"/>
                <w:szCs w:val="24"/>
                <w:lang w:bidi="ar"/>
              </w:rPr>
            </w:pPr>
          </w:p>
          <w:p w14:paraId="4236B78B">
            <w:pPr>
              <w:widowControl/>
              <w:jc w:val="left"/>
              <w:textAlignment w:val="center"/>
              <w:rPr>
                <w:rFonts w:hint="eastAsia" w:ascii="宋体" w:hAnsi="宋体" w:eastAsia="宋体" w:cs="宋体"/>
                <w:color w:val="000000"/>
                <w:kern w:val="0"/>
                <w:sz w:val="24"/>
                <w:szCs w:val="24"/>
                <w:lang w:bidi="ar"/>
              </w:rPr>
            </w:pPr>
          </w:p>
          <w:p w14:paraId="15E7077B">
            <w:pPr>
              <w:widowControl/>
              <w:jc w:val="left"/>
              <w:textAlignment w:val="center"/>
              <w:rPr>
                <w:rFonts w:hint="eastAsia" w:ascii="宋体" w:hAnsi="宋体" w:eastAsia="宋体" w:cs="宋体"/>
                <w:color w:val="000000"/>
                <w:kern w:val="0"/>
                <w:sz w:val="24"/>
                <w:szCs w:val="24"/>
                <w:lang w:bidi="ar"/>
              </w:rPr>
            </w:pPr>
          </w:p>
          <w:p w14:paraId="797E1DA4">
            <w:pPr>
              <w:widowControl/>
              <w:jc w:val="left"/>
              <w:textAlignment w:val="center"/>
              <w:rPr>
                <w:rFonts w:hint="eastAsia" w:ascii="宋体" w:hAnsi="宋体" w:eastAsia="宋体" w:cs="宋体"/>
                <w:color w:val="000000"/>
                <w:kern w:val="0"/>
                <w:sz w:val="24"/>
                <w:szCs w:val="24"/>
                <w:lang w:bidi="ar"/>
              </w:rPr>
            </w:pPr>
          </w:p>
          <w:p w14:paraId="6A32135C">
            <w:pPr>
              <w:widowControl/>
              <w:jc w:val="left"/>
              <w:textAlignment w:val="center"/>
              <w:rPr>
                <w:rFonts w:hint="eastAsia" w:ascii="宋体" w:hAnsi="宋体" w:eastAsia="宋体" w:cs="宋体"/>
                <w:color w:val="000000"/>
                <w:kern w:val="0"/>
                <w:sz w:val="24"/>
                <w:szCs w:val="24"/>
                <w:lang w:bidi="ar"/>
              </w:rPr>
            </w:pPr>
          </w:p>
          <w:p w14:paraId="2EAF2CF1">
            <w:pPr>
              <w:widowControl/>
              <w:jc w:val="left"/>
              <w:textAlignment w:val="center"/>
              <w:rPr>
                <w:rFonts w:hint="eastAsia" w:ascii="宋体" w:hAnsi="宋体" w:eastAsia="宋体" w:cs="宋体"/>
                <w:color w:val="000000"/>
                <w:kern w:val="0"/>
                <w:sz w:val="24"/>
                <w:szCs w:val="24"/>
                <w:lang w:bidi="ar"/>
              </w:rPr>
            </w:pPr>
          </w:p>
          <w:p w14:paraId="0BDA387C">
            <w:pPr>
              <w:widowControl/>
              <w:jc w:val="left"/>
              <w:textAlignment w:val="center"/>
              <w:rPr>
                <w:rFonts w:hint="eastAsia" w:ascii="宋体" w:hAnsi="宋体" w:eastAsia="宋体" w:cs="宋体"/>
                <w:color w:val="000000"/>
                <w:kern w:val="0"/>
                <w:sz w:val="24"/>
                <w:szCs w:val="24"/>
                <w:lang w:bidi="ar"/>
              </w:rPr>
            </w:pPr>
          </w:p>
          <w:p w14:paraId="758C4A7A">
            <w:pPr>
              <w:widowControl/>
              <w:jc w:val="left"/>
              <w:textAlignment w:val="center"/>
              <w:rPr>
                <w:rFonts w:hint="eastAsia" w:ascii="宋体" w:hAnsi="宋体" w:eastAsia="宋体" w:cs="宋体"/>
                <w:color w:val="000000"/>
                <w:kern w:val="0"/>
                <w:sz w:val="24"/>
                <w:szCs w:val="24"/>
                <w:lang w:bidi="ar"/>
              </w:rPr>
            </w:pPr>
          </w:p>
          <w:p w14:paraId="7E19AFB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支持病人院内、院外防走失定位</w:t>
            </w:r>
          </w:p>
        </w:tc>
      </w:tr>
      <w:tr w14:paraId="25C9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321" w:type="dxa"/>
            <w:gridSpan w:val="5"/>
            <w:shd w:val="clear" w:color="auto" w:fill="auto"/>
            <w:vAlign w:val="center"/>
          </w:tcPr>
          <w:p w14:paraId="3AB61FE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（五）、物联网综合看板</w:t>
            </w:r>
          </w:p>
        </w:tc>
      </w:tr>
      <w:tr w14:paraId="7ED6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6D7CC92A">
            <w:pPr>
              <w:widowControl/>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073" w:type="dxa"/>
            <w:vMerge w:val="restart"/>
            <w:shd w:val="clear" w:color="auto" w:fill="auto"/>
            <w:vAlign w:val="center"/>
          </w:tcPr>
          <w:p w14:paraId="455421BD">
            <w:pPr>
              <w:widowControl/>
              <w:jc w:val="both"/>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监控中</w:t>
            </w:r>
          </w:p>
          <w:p w14:paraId="736322D4">
            <w:pPr>
              <w:widowControl/>
              <w:jc w:val="both"/>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心</w:t>
            </w:r>
          </w:p>
        </w:tc>
        <w:tc>
          <w:tcPr>
            <w:tcW w:w="1425" w:type="dxa"/>
            <w:shd w:val="clear" w:color="auto" w:fill="auto"/>
            <w:vAlign w:val="center"/>
          </w:tcPr>
          <w:p w14:paraId="4EFF1051">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输液监控</w:t>
            </w:r>
          </w:p>
        </w:tc>
        <w:tc>
          <w:tcPr>
            <w:tcW w:w="3990" w:type="dxa"/>
            <w:shd w:val="clear" w:color="auto" w:fill="auto"/>
            <w:vAlign w:val="center"/>
          </w:tcPr>
          <w:p w14:paraId="238CC768">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通过图形化展示全病区患者体征数据实时数据、在离床、体动、翻身状态，含后台计算逻辑</w:t>
            </w:r>
          </w:p>
        </w:tc>
        <w:tc>
          <w:tcPr>
            <w:tcW w:w="1067" w:type="dxa"/>
            <w:shd w:val="clear" w:color="auto" w:fill="auto"/>
          </w:tcPr>
          <w:p w14:paraId="05E09BF6">
            <w:pPr>
              <w:widowControl/>
              <w:jc w:val="left"/>
              <w:textAlignment w:val="center"/>
              <w:rPr>
                <w:rFonts w:hint="eastAsia" w:ascii="宋体" w:hAnsi="宋体" w:eastAsia="宋体" w:cs="宋体"/>
                <w:color w:val="000000"/>
                <w:kern w:val="0"/>
                <w:sz w:val="24"/>
                <w:szCs w:val="24"/>
                <w:lang w:bidi="ar"/>
              </w:rPr>
            </w:pPr>
          </w:p>
        </w:tc>
      </w:tr>
      <w:tr w14:paraId="374C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32ACB3DD">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tcPr>
          <w:p w14:paraId="6475FD4A">
            <w:pPr>
              <w:widowControl/>
              <w:jc w:val="center"/>
              <w:textAlignment w:val="center"/>
              <w:rPr>
                <w:rFonts w:hint="eastAsia" w:ascii="宋体" w:hAnsi="宋体" w:eastAsia="宋体" w:cs="宋体"/>
                <w:color w:val="000000"/>
                <w:kern w:val="0"/>
                <w:sz w:val="24"/>
                <w:szCs w:val="24"/>
                <w:lang w:bidi="ar"/>
              </w:rPr>
            </w:pPr>
          </w:p>
        </w:tc>
        <w:tc>
          <w:tcPr>
            <w:tcW w:w="1425" w:type="dxa"/>
            <w:shd w:val="clear" w:color="auto" w:fill="auto"/>
            <w:vAlign w:val="center"/>
          </w:tcPr>
          <w:p w14:paraId="6CD63D10">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体温监护</w:t>
            </w:r>
          </w:p>
        </w:tc>
        <w:tc>
          <w:tcPr>
            <w:tcW w:w="3990" w:type="dxa"/>
            <w:shd w:val="clear" w:color="auto" w:fill="auto"/>
            <w:vAlign w:val="center"/>
          </w:tcPr>
          <w:p w14:paraId="65C7AFC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图形化展示全病区患者体温数据实时数据，提示体温异常</w:t>
            </w:r>
          </w:p>
        </w:tc>
        <w:tc>
          <w:tcPr>
            <w:tcW w:w="1067" w:type="dxa"/>
            <w:shd w:val="clear" w:color="auto" w:fill="auto"/>
          </w:tcPr>
          <w:p w14:paraId="44FCF5FE">
            <w:pPr>
              <w:widowControl/>
              <w:jc w:val="left"/>
              <w:textAlignment w:val="center"/>
              <w:rPr>
                <w:rFonts w:hint="eastAsia" w:ascii="宋体" w:hAnsi="宋体" w:eastAsia="宋体" w:cs="宋体"/>
                <w:color w:val="000000"/>
                <w:kern w:val="0"/>
                <w:sz w:val="24"/>
                <w:szCs w:val="24"/>
                <w:lang w:bidi="ar"/>
              </w:rPr>
            </w:pPr>
          </w:p>
        </w:tc>
      </w:tr>
      <w:tr w14:paraId="2427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66053D63">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tcPr>
          <w:p w14:paraId="6B213F0A">
            <w:pPr>
              <w:widowControl/>
              <w:jc w:val="center"/>
              <w:textAlignment w:val="center"/>
              <w:rPr>
                <w:rFonts w:hint="eastAsia" w:ascii="宋体" w:hAnsi="宋体" w:eastAsia="宋体" w:cs="宋体"/>
                <w:color w:val="000000"/>
                <w:kern w:val="0"/>
                <w:sz w:val="24"/>
                <w:szCs w:val="24"/>
                <w:lang w:bidi="ar"/>
              </w:rPr>
            </w:pPr>
          </w:p>
        </w:tc>
        <w:tc>
          <w:tcPr>
            <w:tcW w:w="1425" w:type="dxa"/>
            <w:shd w:val="clear" w:color="auto" w:fill="auto"/>
            <w:vAlign w:val="center"/>
          </w:tcPr>
          <w:p w14:paraId="5DC2204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环境监控</w:t>
            </w:r>
          </w:p>
        </w:tc>
        <w:tc>
          <w:tcPr>
            <w:tcW w:w="3990" w:type="dxa"/>
            <w:shd w:val="clear" w:color="auto" w:fill="auto"/>
            <w:vAlign w:val="center"/>
          </w:tcPr>
          <w:p w14:paraId="4F9FFBA8">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图形化展示全区域环境参数数据实时数据，包含温度、湿度、二氧化碳、TVOC、PM1.0、PM2.5、PM10、噪声、光照</w:t>
            </w:r>
          </w:p>
        </w:tc>
        <w:tc>
          <w:tcPr>
            <w:tcW w:w="1067" w:type="dxa"/>
            <w:shd w:val="clear" w:color="auto" w:fill="auto"/>
          </w:tcPr>
          <w:p w14:paraId="080C6F1E">
            <w:pPr>
              <w:widowControl/>
              <w:jc w:val="left"/>
              <w:textAlignment w:val="center"/>
              <w:rPr>
                <w:rFonts w:hint="eastAsia" w:ascii="宋体" w:hAnsi="宋体" w:eastAsia="宋体" w:cs="宋体"/>
                <w:color w:val="000000"/>
                <w:kern w:val="0"/>
                <w:sz w:val="24"/>
                <w:szCs w:val="24"/>
                <w:lang w:bidi="ar"/>
              </w:rPr>
            </w:pPr>
          </w:p>
        </w:tc>
      </w:tr>
      <w:tr w14:paraId="7A32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tcPr>
          <w:p w14:paraId="72C17D82">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tcPr>
          <w:p w14:paraId="662836DE">
            <w:pPr>
              <w:widowControl/>
              <w:jc w:val="center"/>
              <w:textAlignment w:val="center"/>
              <w:rPr>
                <w:rFonts w:hint="eastAsia" w:ascii="宋体" w:hAnsi="宋体" w:eastAsia="宋体" w:cs="宋体"/>
                <w:color w:val="000000"/>
                <w:kern w:val="0"/>
                <w:sz w:val="24"/>
                <w:szCs w:val="24"/>
                <w:lang w:bidi="ar"/>
              </w:rPr>
            </w:pPr>
          </w:p>
        </w:tc>
        <w:tc>
          <w:tcPr>
            <w:tcW w:w="1425" w:type="dxa"/>
            <w:shd w:val="clear" w:color="auto" w:fill="auto"/>
            <w:vAlign w:val="center"/>
          </w:tcPr>
          <w:p w14:paraId="34C47B9C">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智能床垫</w:t>
            </w:r>
          </w:p>
        </w:tc>
        <w:tc>
          <w:tcPr>
            <w:tcW w:w="3990" w:type="dxa"/>
            <w:shd w:val="clear" w:color="auto" w:fill="auto"/>
            <w:vAlign w:val="center"/>
          </w:tcPr>
          <w:p w14:paraId="099907FA">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图形化展示全病区患者体征数据实时数据、在离床、体动、翻身状态，含后台计算逻辑</w:t>
            </w:r>
          </w:p>
        </w:tc>
        <w:tc>
          <w:tcPr>
            <w:tcW w:w="1067" w:type="dxa"/>
            <w:shd w:val="clear" w:color="auto" w:fill="auto"/>
          </w:tcPr>
          <w:p w14:paraId="27BEFF22">
            <w:pPr>
              <w:widowControl/>
              <w:jc w:val="left"/>
              <w:textAlignment w:val="center"/>
              <w:rPr>
                <w:rFonts w:hint="eastAsia" w:ascii="宋体" w:hAnsi="宋体" w:eastAsia="宋体" w:cs="宋体"/>
                <w:color w:val="000000"/>
                <w:kern w:val="0"/>
                <w:sz w:val="24"/>
                <w:szCs w:val="24"/>
                <w:lang w:bidi="ar"/>
              </w:rPr>
            </w:pPr>
          </w:p>
        </w:tc>
      </w:tr>
      <w:tr w14:paraId="6E48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03159B1D">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1073" w:type="dxa"/>
            <w:shd w:val="clear" w:color="auto" w:fill="auto"/>
            <w:vAlign w:val="center"/>
          </w:tcPr>
          <w:p w14:paraId="4B364D49">
            <w:pPr>
              <w:jc w:val="both"/>
              <w:rPr>
                <w:rFonts w:hint="eastAsia" w:ascii="宋体" w:hAnsi="宋体" w:eastAsia="宋体" w:cs="宋体"/>
                <w:color w:val="000000"/>
                <w:sz w:val="24"/>
                <w:szCs w:val="24"/>
              </w:rPr>
            </w:pPr>
            <w:r>
              <w:rPr>
                <w:rFonts w:hint="eastAsia" w:ascii="宋体" w:hAnsi="宋体" w:eastAsia="宋体" w:cs="宋体"/>
                <w:color w:val="000000"/>
                <w:sz w:val="24"/>
                <w:szCs w:val="24"/>
              </w:rPr>
              <w:t>运行管</w:t>
            </w:r>
          </w:p>
          <w:p w14:paraId="62A6EEFC">
            <w:pPr>
              <w:jc w:val="both"/>
              <w:rPr>
                <w:rFonts w:hint="eastAsia" w:ascii="宋体" w:hAnsi="宋体" w:eastAsia="宋体" w:cs="宋体"/>
                <w:color w:val="000000"/>
                <w:sz w:val="24"/>
                <w:szCs w:val="24"/>
              </w:rPr>
            </w:pPr>
            <w:r>
              <w:rPr>
                <w:rFonts w:hint="eastAsia" w:ascii="宋体" w:hAnsi="宋体" w:eastAsia="宋体" w:cs="宋体"/>
                <w:color w:val="000000"/>
                <w:sz w:val="24"/>
                <w:szCs w:val="24"/>
              </w:rPr>
              <w:t>理</w:t>
            </w:r>
          </w:p>
        </w:tc>
        <w:tc>
          <w:tcPr>
            <w:tcW w:w="1425" w:type="dxa"/>
            <w:shd w:val="clear" w:color="auto" w:fill="auto"/>
            <w:vAlign w:val="center"/>
          </w:tcPr>
          <w:p w14:paraId="48886C0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开机自启</w:t>
            </w:r>
          </w:p>
        </w:tc>
        <w:tc>
          <w:tcPr>
            <w:tcW w:w="3990" w:type="dxa"/>
            <w:shd w:val="clear" w:color="auto" w:fill="auto"/>
            <w:vAlign w:val="center"/>
          </w:tcPr>
          <w:p w14:paraId="2A40A31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支持开机自动运行物联网综合看板APP</w:t>
            </w:r>
          </w:p>
        </w:tc>
        <w:tc>
          <w:tcPr>
            <w:tcW w:w="1067" w:type="dxa"/>
            <w:shd w:val="clear" w:color="auto" w:fill="auto"/>
          </w:tcPr>
          <w:p w14:paraId="61148E16">
            <w:pPr>
              <w:widowControl/>
              <w:jc w:val="left"/>
              <w:textAlignment w:val="center"/>
              <w:rPr>
                <w:rFonts w:hint="eastAsia" w:ascii="宋体" w:hAnsi="宋体" w:eastAsia="宋体" w:cs="宋体"/>
                <w:color w:val="000000"/>
                <w:kern w:val="0"/>
                <w:sz w:val="24"/>
                <w:szCs w:val="24"/>
                <w:lang w:bidi="ar"/>
              </w:rPr>
            </w:pPr>
          </w:p>
        </w:tc>
      </w:tr>
      <w:tr w14:paraId="4CA0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restart"/>
            <w:shd w:val="clear" w:color="auto" w:fill="auto"/>
            <w:vAlign w:val="center"/>
          </w:tcPr>
          <w:p w14:paraId="6D26A84D">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1073" w:type="dxa"/>
            <w:vMerge w:val="restart"/>
            <w:shd w:val="clear" w:color="auto" w:fill="auto"/>
            <w:vAlign w:val="center"/>
          </w:tcPr>
          <w:p w14:paraId="75FAE9F3">
            <w:pPr>
              <w:jc w:val="both"/>
              <w:rPr>
                <w:rFonts w:hint="eastAsia" w:ascii="宋体" w:hAnsi="宋体" w:eastAsia="宋体" w:cs="宋体"/>
                <w:color w:val="000000"/>
                <w:sz w:val="24"/>
                <w:szCs w:val="24"/>
              </w:rPr>
            </w:pPr>
            <w:r>
              <w:rPr>
                <w:rFonts w:hint="eastAsia" w:ascii="宋体" w:hAnsi="宋体" w:eastAsia="宋体" w:cs="宋体"/>
                <w:color w:val="000000"/>
                <w:sz w:val="24"/>
                <w:szCs w:val="24"/>
              </w:rPr>
              <w:t>基础维</w:t>
            </w:r>
          </w:p>
          <w:p w14:paraId="0E414380">
            <w:pPr>
              <w:jc w:val="both"/>
              <w:rPr>
                <w:rFonts w:hint="eastAsia" w:ascii="宋体" w:hAnsi="宋体" w:eastAsia="宋体" w:cs="宋体"/>
                <w:color w:val="000000"/>
                <w:sz w:val="24"/>
                <w:szCs w:val="24"/>
              </w:rPr>
            </w:pPr>
            <w:r>
              <w:rPr>
                <w:rFonts w:hint="eastAsia" w:ascii="宋体" w:hAnsi="宋体" w:eastAsia="宋体" w:cs="宋体"/>
                <w:color w:val="000000"/>
                <w:sz w:val="24"/>
                <w:szCs w:val="24"/>
              </w:rPr>
              <w:t>护</w:t>
            </w:r>
          </w:p>
        </w:tc>
        <w:tc>
          <w:tcPr>
            <w:tcW w:w="1425" w:type="dxa"/>
            <w:shd w:val="clear" w:color="auto" w:fill="auto"/>
            <w:vAlign w:val="center"/>
          </w:tcPr>
          <w:p w14:paraId="66CEDD84">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病区管理 </w:t>
            </w:r>
          </w:p>
        </w:tc>
        <w:tc>
          <w:tcPr>
            <w:tcW w:w="3990" w:type="dxa"/>
            <w:shd w:val="clear" w:color="auto" w:fill="auto"/>
            <w:vAlign w:val="center"/>
          </w:tcPr>
          <w:p w14:paraId="0232F72B">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系统中维护科室名称、病区、病区编码</w:t>
            </w:r>
          </w:p>
        </w:tc>
        <w:tc>
          <w:tcPr>
            <w:tcW w:w="1067" w:type="dxa"/>
            <w:shd w:val="clear" w:color="auto" w:fill="auto"/>
          </w:tcPr>
          <w:p w14:paraId="1A4157E3">
            <w:pPr>
              <w:widowControl/>
              <w:jc w:val="left"/>
              <w:textAlignment w:val="center"/>
              <w:rPr>
                <w:rFonts w:hint="eastAsia" w:ascii="宋体" w:hAnsi="宋体" w:eastAsia="宋体" w:cs="宋体"/>
                <w:color w:val="000000"/>
                <w:kern w:val="0"/>
                <w:sz w:val="24"/>
                <w:szCs w:val="24"/>
                <w:lang w:bidi="ar"/>
              </w:rPr>
            </w:pPr>
          </w:p>
        </w:tc>
      </w:tr>
      <w:tr w14:paraId="6AE7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vMerge w:val="continue"/>
            <w:shd w:val="clear" w:color="auto" w:fill="auto"/>
            <w:vAlign w:val="center"/>
          </w:tcPr>
          <w:p w14:paraId="16A50F7D">
            <w:pPr>
              <w:widowControl/>
              <w:jc w:val="center"/>
              <w:textAlignment w:val="center"/>
              <w:rPr>
                <w:rFonts w:hint="eastAsia" w:ascii="宋体" w:hAnsi="宋体" w:eastAsia="宋体" w:cs="宋体"/>
                <w:color w:val="000000"/>
                <w:sz w:val="24"/>
                <w:szCs w:val="24"/>
              </w:rPr>
            </w:pPr>
          </w:p>
        </w:tc>
        <w:tc>
          <w:tcPr>
            <w:tcW w:w="1073" w:type="dxa"/>
            <w:vMerge w:val="continue"/>
            <w:shd w:val="clear" w:color="auto" w:fill="auto"/>
            <w:vAlign w:val="center"/>
          </w:tcPr>
          <w:p w14:paraId="3820F8E8">
            <w:pPr>
              <w:widowControl/>
              <w:jc w:val="center"/>
              <w:textAlignment w:val="center"/>
              <w:rPr>
                <w:rFonts w:hint="eastAsia" w:ascii="宋体" w:hAnsi="宋体" w:eastAsia="宋体" w:cs="宋体"/>
                <w:color w:val="000000"/>
                <w:kern w:val="0"/>
                <w:sz w:val="24"/>
                <w:szCs w:val="24"/>
                <w:lang w:bidi="ar"/>
              </w:rPr>
            </w:pPr>
          </w:p>
        </w:tc>
        <w:tc>
          <w:tcPr>
            <w:tcW w:w="1425" w:type="dxa"/>
            <w:shd w:val="clear" w:color="auto" w:fill="auto"/>
            <w:vAlign w:val="center"/>
          </w:tcPr>
          <w:p w14:paraId="48661122">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床位管理 </w:t>
            </w:r>
          </w:p>
        </w:tc>
        <w:tc>
          <w:tcPr>
            <w:tcW w:w="3990" w:type="dxa"/>
            <w:shd w:val="clear" w:color="auto" w:fill="auto"/>
            <w:vAlign w:val="center"/>
          </w:tcPr>
          <w:p w14:paraId="43C62973">
            <w:pPr>
              <w:widowControl/>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根据医院HIS/ESB床位编号规则，按照科室建立对应的床位编号。支持不同形式的加床编号规则</w:t>
            </w:r>
          </w:p>
        </w:tc>
        <w:tc>
          <w:tcPr>
            <w:tcW w:w="1067" w:type="dxa"/>
            <w:shd w:val="clear" w:color="auto" w:fill="auto"/>
          </w:tcPr>
          <w:p w14:paraId="70F3A31C">
            <w:pPr>
              <w:widowControl/>
              <w:jc w:val="left"/>
              <w:textAlignment w:val="center"/>
              <w:rPr>
                <w:rFonts w:hint="eastAsia" w:ascii="宋体" w:hAnsi="宋体" w:eastAsia="宋体" w:cs="宋体"/>
                <w:color w:val="000000"/>
                <w:kern w:val="0"/>
                <w:sz w:val="24"/>
                <w:szCs w:val="24"/>
                <w:lang w:bidi="ar"/>
              </w:rPr>
            </w:pPr>
          </w:p>
        </w:tc>
      </w:tr>
      <w:tr w14:paraId="40C5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0C7BB707">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1073" w:type="dxa"/>
            <w:shd w:val="clear" w:color="auto" w:fill="auto"/>
            <w:vAlign w:val="center"/>
          </w:tcPr>
          <w:p w14:paraId="6E08FC2D">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智能物联网网关（17台）</w:t>
            </w:r>
          </w:p>
        </w:tc>
        <w:tc>
          <w:tcPr>
            <w:tcW w:w="1425" w:type="dxa"/>
            <w:shd w:val="clear" w:color="auto" w:fill="auto"/>
            <w:vAlign w:val="center"/>
          </w:tcPr>
          <w:p w14:paraId="4AD8FF1F">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0947ADCA">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1、工作模式：多频多模，支持蓝牙+WIFI+125K低频，可接收输液监控器、体温标签、智能床垫、资产设备标签、患者腕式标签、智能胸卡等物联网终端的数据；</w:t>
            </w:r>
          </w:p>
          <w:p w14:paraId="128CF41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2、网络传输：400-5800MHz；</w:t>
            </w:r>
          </w:p>
          <w:p w14:paraId="52E8C8F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3、LCD屏幕尺寸：≥2.8寸；</w:t>
            </w:r>
          </w:p>
          <w:p w14:paraId="48830604">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4、读取距离：0-1.5米；</w:t>
            </w:r>
          </w:p>
          <w:p w14:paraId="055426F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 xml:space="preserve">5、蓝牙覆盖范围：≥10米（空旷场景）； </w:t>
            </w:r>
          </w:p>
          <w:p w14:paraId="0484535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6、组网方式：自动组网；</w:t>
            </w:r>
          </w:p>
          <w:p w14:paraId="1B2FC9A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7、心跳状态：支持心跳收发；</w:t>
            </w:r>
          </w:p>
          <w:p w14:paraId="4CC0C881">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8、升级：支持OTA升级固件；</w:t>
            </w:r>
          </w:p>
          <w:p w14:paraId="282873A1">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9、电源：12V-24V直流电源；</w:t>
            </w:r>
          </w:p>
          <w:p w14:paraId="7244914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10、功耗：≤2W；</w:t>
            </w:r>
          </w:p>
          <w:p w14:paraId="058EC6E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11、安装方式：支持设备带安装、墙面安装，配安装支架；</w:t>
            </w:r>
          </w:p>
          <w:p w14:paraId="799BD65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12、物理尺寸：≤99.7*85.7*13.6mm；</w:t>
            </w:r>
          </w:p>
          <w:p w14:paraId="070949C0">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13、环境要求：贮存温度：-20 to +85℃，运行温度：-10 to +55℃，运行湿度：10 to 90 percent (非凝结)</w:t>
            </w:r>
          </w:p>
        </w:tc>
        <w:tc>
          <w:tcPr>
            <w:tcW w:w="1067" w:type="dxa"/>
            <w:shd w:val="clear" w:color="auto" w:fill="auto"/>
          </w:tcPr>
          <w:p w14:paraId="01F46874">
            <w:pPr>
              <w:widowControl/>
              <w:jc w:val="left"/>
              <w:textAlignment w:val="center"/>
              <w:rPr>
                <w:rFonts w:hint="eastAsia" w:ascii="宋体" w:hAnsi="宋体" w:eastAsia="宋体" w:cs="宋体"/>
                <w:color w:val="000000"/>
                <w:kern w:val="0"/>
                <w:sz w:val="24"/>
                <w:szCs w:val="24"/>
                <w:lang w:bidi="ar"/>
              </w:rPr>
            </w:pPr>
          </w:p>
          <w:p w14:paraId="49E9570D">
            <w:pPr>
              <w:widowControl/>
              <w:jc w:val="left"/>
              <w:textAlignment w:val="center"/>
              <w:rPr>
                <w:rFonts w:hint="eastAsia" w:ascii="宋体" w:hAnsi="宋体" w:eastAsia="宋体" w:cs="宋体"/>
                <w:color w:val="000000"/>
                <w:kern w:val="0"/>
                <w:sz w:val="24"/>
                <w:szCs w:val="24"/>
                <w:lang w:bidi="ar"/>
              </w:rPr>
            </w:pPr>
          </w:p>
          <w:p w14:paraId="01F8651F">
            <w:pPr>
              <w:widowControl/>
              <w:jc w:val="left"/>
              <w:textAlignment w:val="center"/>
              <w:rPr>
                <w:rFonts w:hint="eastAsia" w:ascii="宋体" w:hAnsi="宋体" w:eastAsia="宋体" w:cs="宋体"/>
                <w:color w:val="000000"/>
                <w:kern w:val="0"/>
                <w:sz w:val="24"/>
                <w:szCs w:val="24"/>
                <w:lang w:bidi="ar"/>
              </w:rPr>
            </w:pPr>
          </w:p>
          <w:p w14:paraId="41E9E88E">
            <w:pPr>
              <w:widowControl/>
              <w:jc w:val="left"/>
              <w:textAlignment w:val="center"/>
              <w:rPr>
                <w:rFonts w:hint="eastAsia" w:ascii="宋体" w:hAnsi="宋体" w:eastAsia="宋体" w:cs="宋体"/>
                <w:color w:val="000000"/>
                <w:kern w:val="0"/>
                <w:sz w:val="24"/>
                <w:szCs w:val="24"/>
                <w:lang w:bidi="ar"/>
              </w:rPr>
            </w:pPr>
          </w:p>
          <w:p w14:paraId="3870136D">
            <w:pPr>
              <w:widowControl/>
              <w:jc w:val="left"/>
              <w:textAlignment w:val="center"/>
              <w:rPr>
                <w:rFonts w:hint="eastAsia" w:ascii="宋体" w:hAnsi="宋体" w:eastAsia="宋体" w:cs="宋体"/>
                <w:color w:val="000000"/>
                <w:kern w:val="0"/>
                <w:sz w:val="24"/>
                <w:szCs w:val="24"/>
                <w:lang w:bidi="ar"/>
              </w:rPr>
            </w:pPr>
          </w:p>
          <w:p w14:paraId="535B0614">
            <w:pPr>
              <w:widowControl/>
              <w:jc w:val="left"/>
              <w:textAlignment w:val="center"/>
              <w:rPr>
                <w:rFonts w:hint="eastAsia" w:ascii="宋体" w:hAnsi="宋体" w:eastAsia="宋体" w:cs="宋体"/>
                <w:color w:val="000000"/>
                <w:kern w:val="0"/>
                <w:sz w:val="24"/>
                <w:szCs w:val="24"/>
                <w:lang w:bidi="ar"/>
              </w:rPr>
            </w:pPr>
          </w:p>
          <w:p w14:paraId="494E5E38">
            <w:pPr>
              <w:widowControl/>
              <w:jc w:val="left"/>
              <w:textAlignment w:val="center"/>
              <w:rPr>
                <w:rFonts w:hint="eastAsia" w:ascii="宋体" w:hAnsi="宋体" w:eastAsia="宋体" w:cs="宋体"/>
                <w:color w:val="000000"/>
                <w:kern w:val="0"/>
                <w:sz w:val="24"/>
                <w:szCs w:val="24"/>
                <w:lang w:bidi="ar"/>
              </w:rPr>
            </w:pPr>
          </w:p>
          <w:p w14:paraId="643F8D49">
            <w:pPr>
              <w:widowControl/>
              <w:jc w:val="left"/>
              <w:textAlignment w:val="center"/>
              <w:rPr>
                <w:rFonts w:hint="eastAsia" w:ascii="宋体" w:hAnsi="宋体" w:eastAsia="宋体" w:cs="宋体"/>
                <w:color w:val="000000"/>
                <w:kern w:val="0"/>
                <w:sz w:val="24"/>
                <w:szCs w:val="24"/>
                <w:lang w:bidi="ar"/>
              </w:rPr>
            </w:pPr>
          </w:p>
          <w:p w14:paraId="62A9849B">
            <w:pPr>
              <w:widowControl/>
              <w:jc w:val="left"/>
              <w:textAlignment w:val="center"/>
              <w:rPr>
                <w:rFonts w:hint="eastAsia" w:ascii="宋体" w:hAnsi="宋体" w:eastAsia="宋体" w:cs="宋体"/>
                <w:color w:val="000000"/>
                <w:kern w:val="0"/>
                <w:sz w:val="24"/>
                <w:szCs w:val="24"/>
                <w:lang w:bidi="ar"/>
              </w:rPr>
            </w:pPr>
          </w:p>
          <w:p w14:paraId="576CF8A4">
            <w:pPr>
              <w:widowControl/>
              <w:jc w:val="left"/>
              <w:textAlignment w:val="center"/>
              <w:rPr>
                <w:rFonts w:hint="eastAsia" w:ascii="宋体" w:hAnsi="宋体" w:eastAsia="宋体" w:cs="宋体"/>
                <w:color w:val="000000"/>
                <w:kern w:val="0"/>
                <w:sz w:val="24"/>
                <w:szCs w:val="24"/>
                <w:lang w:bidi="ar"/>
              </w:rPr>
            </w:pPr>
          </w:p>
          <w:p w14:paraId="02987E6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部署在房间</w:t>
            </w:r>
          </w:p>
        </w:tc>
      </w:tr>
      <w:tr w14:paraId="7A47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3D31D150">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1073" w:type="dxa"/>
            <w:shd w:val="clear" w:color="auto" w:fill="auto"/>
            <w:vAlign w:val="center"/>
          </w:tcPr>
          <w:p w14:paraId="651D55E6">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物联网基站（2台）</w:t>
            </w:r>
          </w:p>
        </w:tc>
        <w:tc>
          <w:tcPr>
            <w:tcW w:w="1425" w:type="dxa"/>
            <w:shd w:val="clear" w:color="auto" w:fill="auto"/>
            <w:vAlign w:val="center"/>
          </w:tcPr>
          <w:p w14:paraId="3F37E548">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5CFF71B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1、带载能力：最多可接2个物联网定位天线；</w:t>
            </w:r>
          </w:p>
          <w:p w14:paraId="62999826">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2、数据通信：实时采集、存储和处理定位标签和定位天线上传的定位数据和事件数据等；实时采集、存储和处理数据引擎下达的定位天线配置指令，定位器事件指令等；</w:t>
            </w:r>
          </w:p>
          <w:p w14:paraId="3B94EAC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3、参数配置：支持console口配置基站网络参数，支持定位引擎远程配置参数；</w:t>
            </w:r>
          </w:p>
          <w:p w14:paraId="0EC12F6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4、网络接口：≥2个RJ45接口，符合RS485协议；≥1个RJ45接口，符合TCP/IP协议；</w:t>
            </w:r>
          </w:p>
          <w:p w14:paraId="62B1E452">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5、Console接口：≥1个；</w:t>
            </w:r>
          </w:p>
          <w:p w14:paraId="65F4616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6、输出接口：≥2个12直流输出端口，可接声光报警器；≥2个继电器输出口；</w:t>
            </w:r>
          </w:p>
          <w:p w14:paraId="21347349">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7、物理尺寸：长宽高不大于155mm*150mm*32mm；</w:t>
            </w:r>
          </w:p>
          <w:p w14:paraId="467ECAB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8、电源：支持IEEE802.3af标准PoE供电或24V直流适配器；</w:t>
            </w:r>
          </w:p>
          <w:p w14:paraId="182F0ADC">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9、设备发射功率≤10mW(e.r.p)，且设备载频容限、杂散发射（工作状态）或机箱端口辐射杂散（工作状态）符合工信部公告2019年第52号要求；（投标人须提供CNAS或CMA</w:t>
            </w:r>
            <w:r>
              <w:rPr>
                <w:rFonts w:hint="eastAsia" w:ascii="宋体" w:hAnsi="宋体" w:eastAsia="宋体" w:cs="宋体"/>
                <w:kern w:val="0"/>
                <w:sz w:val="24"/>
                <w:szCs w:val="24"/>
                <w:lang w:bidi="ar"/>
              </w:rPr>
              <w:t>认可机构出具的且检测项目在CNAS或CMA认可范围内的</w:t>
            </w:r>
            <w:r>
              <w:rPr>
                <w:rFonts w:hint="eastAsia" w:ascii="宋体" w:hAnsi="宋体" w:eastAsia="宋体" w:cs="宋体"/>
                <w:color w:val="000000"/>
                <w:kern w:val="0"/>
                <w:sz w:val="24"/>
                <w:szCs w:val="24"/>
                <w:lang w:bidi="ar"/>
              </w:rPr>
              <w:t>检测报告复印件佐证）</w:t>
            </w:r>
          </w:p>
        </w:tc>
        <w:tc>
          <w:tcPr>
            <w:tcW w:w="1067" w:type="dxa"/>
            <w:shd w:val="clear" w:color="auto" w:fill="auto"/>
          </w:tcPr>
          <w:p w14:paraId="3D451CB6">
            <w:pPr>
              <w:widowControl/>
              <w:jc w:val="left"/>
              <w:textAlignment w:val="center"/>
              <w:rPr>
                <w:rFonts w:hint="eastAsia" w:ascii="宋体" w:hAnsi="宋体" w:eastAsia="宋体" w:cs="宋体"/>
                <w:color w:val="000000"/>
                <w:kern w:val="0"/>
                <w:sz w:val="24"/>
                <w:szCs w:val="24"/>
                <w:lang w:bidi="ar"/>
              </w:rPr>
            </w:pPr>
          </w:p>
          <w:p w14:paraId="50B87950">
            <w:pPr>
              <w:widowControl/>
              <w:jc w:val="left"/>
              <w:textAlignment w:val="center"/>
              <w:rPr>
                <w:rFonts w:hint="eastAsia" w:ascii="宋体" w:hAnsi="宋体" w:eastAsia="宋体" w:cs="宋体"/>
                <w:color w:val="000000"/>
                <w:kern w:val="0"/>
                <w:sz w:val="24"/>
                <w:szCs w:val="24"/>
                <w:lang w:bidi="ar"/>
              </w:rPr>
            </w:pPr>
          </w:p>
          <w:p w14:paraId="0E3ED97F">
            <w:pPr>
              <w:widowControl/>
              <w:jc w:val="left"/>
              <w:textAlignment w:val="center"/>
              <w:rPr>
                <w:rFonts w:hint="eastAsia" w:ascii="宋体" w:hAnsi="宋体" w:eastAsia="宋体" w:cs="宋体"/>
                <w:color w:val="000000"/>
                <w:kern w:val="0"/>
                <w:sz w:val="24"/>
                <w:szCs w:val="24"/>
                <w:lang w:bidi="ar"/>
              </w:rPr>
            </w:pPr>
          </w:p>
          <w:p w14:paraId="7A138B3A">
            <w:pPr>
              <w:widowControl/>
              <w:jc w:val="left"/>
              <w:textAlignment w:val="center"/>
              <w:rPr>
                <w:rFonts w:hint="eastAsia" w:ascii="宋体" w:hAnsi="宋体" w:eastAsia="宋体" w:cs="宋体"/>
                <w:color w:val="000000"/>
                <w:kern w:val="0"/>
                <w:sz w:val="24"/>
                <w:szCs w:val="24"/>
                <w:lang w:bidi="ar"/>
              </w:rPr>
            </w:pPr>
          </w:p>
          <w:p w14:paraId="6C753A5F">
            <w:pPr>
              <w:widowControl/>
              <w:jc w:val="left"/>
              <w:textAlignment w:val="center"/>
              <w:rPr>
                <w:rFonts w:hint="eastAsia" w:ascii="宋体" w:hAnsi="宋体" w:eastAsia="宋体" w:cs="宋体"/>
                <w:color w:val="000000"/>
                <w:kern w:val="0"/>
                <w:sz w:val="24"/>
                <w:szCs w:val="24"/>
                <w:lang w:bidi="ar"/>
              </w:rPr>
            </w:pPr>
          </w:p>
          <w:p w14:paraId="3BA93DAE">
            <w:pPr>
              <w:widowControl/>
              <w:jc w:val="left"/>
              <w:textAlignment w:val="center"/>
              <w:rPr>
                <w:rFonts w:hint="eastAsia" w:ascii="宋体" w:hAnsi="宋体" w:eastAsia="宋体" w:cs="宋体"/>
                <w:color w:val="000000"/>
                <w:kern w:val="0"/>
                <w:sz w:val="24"/>
                <w:szCs w:val="24"/>
                <w:lang w:bidi="ar"/>
              </w:rPr>
            </w:pPr>
          </w:p>
          <w:p w14:paraId="5DEF091D">
            <w:pPr>
              <w:widowControl/>
              <w:jc w:val="left"/>
              <w:textAlignment w:val="center"/>
              <w:rPr>
                <w:rFonts w:hint="eastAsia" w:ascii="宋体" w:hAnsi="宋体" w:eastAsia="宋体" w:cs="宋体"/>
                <w:color w:val="000000"/>
                <w:kern w:val="0"/>
                <w:sz w:val="24"/>
                <w:szCs w:val="24"/>
                <w:lang w:bidi="ar"/>
              </w:rPr>
            </w:pPr>
          </w:p>
          <w:p w14:paraId="347C175C">
            <w:pPr>
              <w:widowControl/>
              <w:jc w:val="left"/>
              <w:textAlignment w:val="center"/>
              <w:rPr>
                <w:rFonts w:hint="eastAsia" w:ascii="宋体" w:hAnsi="宋体" w:eastAsia="宋体" w:cs="宋体"/>
                <w:color w:val="000000"/>
                <w:kern w:val="0"/>
                <w:sz w:val="24"/>
                <w:szCs w:val="24"/>
                <w:lang w:bidi="ar"/>
              </w:rPr>
            </w:pPr>
          </w:p>
          <w:p w14:paraId="71A2BC7A">
            <w:pPr>
              <w:widowControl/>
              <w:jc w:val="left"/>
              <w:textAlignment w:val="center"/>
              <w:rPr>
                <w:rFonts w:hint="eastAsia" w:ascii="宋体" w:hAnsi="宋体" w:eastAsia="宋体" w:cs="宋体"/>
                <w:color w:val="000000"/>
                <w:kern w:val="0"/>
                <w:sz w:val="24"/>
                <w:szCs w:val="24"/>
                <w:lang w:bidi="ar"/>
              </w:rPr>
            </w:pPr>
          </w:p>
          <w:p w14:paraId="0A9735C0">
            <w:pPr>
              <w:widowControl/>
              <w:jc w:val="left"/>
              <w:textAlignment w:val="center"/>
              <w:rPr>
                <w:rFonts w:hint="eastAsia" w:ascii="宋体" w:hAnsi="宋体" w:eastAsia="宋体" w:cs="宋体"/>
                <w:color w:val="000000"/>
                <w:kern w:val="0"/>
                <w:sz w:val="24"/>
                <w:szCs w:val="24"/>
                <w:lang w:bidi="ar"/>
              </w:rPr>
            </w:pPr>
          </w:p>
          <w:p w14:paraId="22DC6AB1">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部署在病区出入口</w:t>
            </w:r>
          </w:p>
        </w:tc>
      </w:tr>
      <w:tr w14:paraId="5F0A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66AC2F2C">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1073" w:type="dxa"/>
            <w:shd w:val="clear" w:color="auto" w:fill="auto"/>
            <w:vAlign w:val="center"/>
          </w:tcPr>
          <w:p w14:paraId="482B6F1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物联网定位天线（4个）</w:t>
            </w:r>
          </w:p>
        </w:tc>
        <w:tc>
          <w:tcPr>
            <w:tcW w:w="1425" w:type="dxa"/>
            <w:shd w:val="clear" w:color="auto" w:fill="auto"/>
            <w:vAlign w:val="center"/>
          </w:tcPr>
          <w:p w14:paraId="34E33FF2">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4C04F29A">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1、工作频率：433-960MHz；</w:t>
            </w:r>
          </w:p>
          <w:p w14:paraId="19F96DD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2、低频激活范围：0.5-3.5米，激活半径可调；</w:t>
            </w:r>
          </w:p>
          <w:p w14:paraId="6A945DB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3、支持RF辅助定位；</w:t>
            </w:r>
          </w:p>
          <w:p w14:paraId="3367362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4、支持RS485通信；</w:t>
            </w:r>
          </w:p>
          <w:p w14:paraId="3EFE97C1">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5、支持OTA升级；</w:t>
            </w:r>
          </w:p>
          <w:p w14:paraId="6C68AF93">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6、支持iBeacon蓝牙导航，支持蓝牙定位；</w:t>
            </w:r>
          </w:p>
          <w:p w14:paraId="5F2F8020">
            <w:pPr>
              <w:pStyle w:val="2"/>
              <w:rPr>
                <w:rFonts w:hint="eastAsia" w:ascii="宋体" w:hAnsi="宋体" w:eastAsia="宋体" w:cs="宋体"/>
                <w:color w:val="000000"/>
                <w:kern w:val="0"/>
                <w:sz w:val="24"/>
                <w:szCs w:val="24"/>
                <w:lang w:bidi="ar"/>
              </w:rPr>
            </w:pPr>
            <w:r>
              <w:rPr>
                <w:rFonts w:hint="eastAsia" w:ascii="宋体" w:hAnsi="宋体" w:eastAsia="宋体" w:cs="宋体"/>
                <w:color w:val="000000"/>
                <w:sz w:val="24"/>
                <w:szCs w:val="24"/>
                <w:lang w:val="en-US" w:bidi="ar"/>
              </w:rPr>
              <w:t>7、设备发射功率≤10mW(e.r.p)，且设备载频容限、</w:t>
            </w:r>
            <w:r>
              <w:rPr>
                <w:rFonts w:hint="eastAsia" w:ascii="宋体" w:hAnsi="宋体" w:eastAsia="宋体" w:cs="宋体"/>
                <w:sz w:val="24"/>
                <w:szCs w:val="24"/>
                <w:lang w:val="en-US" w:bidi="ar"/>
              </w:rPr>
              <w:t>杂散发射（工作状态）或机箱端口辐射杂散（工作状态）</w:t>
            </w:r>
            <w:r>
              <w:rPr>
                <w:rFonts w:hint="eastAsia" w:ascii="宋体" w:hAnsi="宋体" w:eastAsia="宋体" w:cs="宋体"/>
                <w:color w:val="000000"/>
                <w:sz w:val="24"/>
                <w:szCs w:val="24"/>
                <w:lang w:val="en-US" w:bidi="ar"/>
              </w:rPr>
              <w:t>符合工信部公告2019年第52号要求；（投标人须提供CNAS或CMA</w:t>
            </w:r>
            <w:r>
              <w:rPr>
                <w:rFonts w:hint="eastAsia" w:ascii="宋体" w:hAnsi="宋体" w:eastAsia="宋体" w:cs="宋体"/>
                <w:sz w:val="24"/>
                <w:szCs w:val="24"/>
                <w:lang w:val="en-US" w:bidi="ar"/>
              </w:rPr>
              <w:t>认可机构出具的且检测项目在CNAS或CMA认可范围内的</w:t>
            </w:r>
            <w:r>
              <w:rPr>
                <w:rFonts w:hint="eastAsia" w:ascii="宋体" w:hAnsi="宋体" w:eastAsia="宋体" w:cs="宋体"/>
                <w:color w:val="000000"/>
                <w:sz w:val="24"/>
                <w:szCs w:val="24"/>
                <w:lang w:val="en-US" w:bidi="ar"/>
              </w:rPr>
              <w:t>检测报告复印件佐证）</w:t>
            </w:r>
          </w:p>
        </w:tc>
        <w:tc>
          <w:tcPr>
            <w:tcW w:w="1067" w:type="dxa"/>
            <w:shd w:val="clear" w:color="auto" w:fill="auto"/>
          </w:tcPr>
          <w:p w14:paraId="2D2C4FDA">
            <w:pPr>
              <w:widowControl/>
              <w:jc w:val="left"/>
              <w:textAlignment w:val="center"/>
              <w:rPr>
                <w:rFonts w:hint="eastAsia" w:ascii="宋体" w:hAnsi="宋体" w:eastAsia="宋体" w:cs="宋体"/>
                <w:color w:val="000000"/>
                <w:kern w:val="0"/>
                <w:sz w:val="24"/>
                <w:szCs w:val="24"/>
                <w:lang w:bidi="ar"/>
              </w:rPr>
            </w:pPr>
          </w:p>
          <w:p w14:paraId="734016E3">
            <w:pPr>
              <w:widowControl/>
              <w:jc w:val="left"/>
              <w:textAlignment w:val="center"/>
              <w:rPr>
                <w:rFonts w:hint="eastAsia" w:ascii="宋体" w:hAnsi="宋体" w:eastAsia="宋体" w:cs="宋体"/>
                <w:color w:val="000000"/>
                <w:kern w:val="0"/>
                <w:sz w:val="24"/>
                <w:szCs w:val="24"/>
                <w:lang w:bidi="ar"/>
              </w:rPr>
            </w:pPr>
          </w:p>
          <w:p w14:paraId="55462516">
            <w:pPr>
              <w:widowControl/>
              <w:jc w:val="left"/>
              <w:textAlignment w:val="center"/>
              <w:rPr>
                <w:rFonts w:hint="eastAsia" w:ascii="宋体" w:hAnsi="宋体" w:eastAsia="宋体" w:cs="宋体"/>
                <w:color w:val="000000"/>
                <w:kern w:val="0"/>
                <w:sz w:val="24"/>
                <w:szCs w:val="24"/>
                <w:lang w:bidi="ar"/>
              </w:rPr>
            </w:pPr>
          </w:p>
          <w:p w14:paraId="4F67FAD6">
            <w:pPr>
              <w:widowControl/>
              <w:jc w:val="left"/>
              <w:textAlignment w:val="center"/>
              <w:rPr>
                <w:rFonts w:hint="eastAsia" w:ascii="宋体" w:hAnsi="宋体" w:eastAsia="宋体" w:cs="宋体"/>
                <w:color w:val="000000"/>
                <w:kern w:val="0"/>
                <w:sz w:val="24"/>
                <w:szCs w:val="24"/>
                <w:lang w:bidi="ar"/>
              </w:rPr>
            </w:pPr>
          </w:p>
          <w:p w14:paraId="4254138C">
            <w:pPr>
              <w:widowControl/>
              <w:jc w:val="left"/>
              <w:textAlignment w:val="center"/>
              <w:rPr>
                <w:rFonts w:hint="eastAsia" w:ascii="宋体" w:hAnsi="宋体" w:eastAsia="宋体" w:cs="宋体"/>
                <w:color w:val="000000"/>
                <w:kern w:val="0"/>
                <w:sz w:val="24"/>
                <w:szCs w:val="24"/>
                <w:lang w:bidi="ar"/>
              </w:rPr>
            </w:pPr>
          </w:p>
          <w:p w14:paraId="283888D2">
            <w:pPr>
              <w:widowControl/>
              <w:jc w:val="left"/>
              <w:textAlignment w:val="center"/>
              <w:rPr>
                <w:rFonts w:hint="eastAsia" w:ascii="宋体" w:hAnsi="宋体" w:eastAsia="宋体" w:cs="宋体"/>
                <w:color w:val="000000"/>
                <w:kern w:val="0"/>
                <w:sz w:val="24"/>
                <w:szCs w:val="24"/>
                <w:lang w:bidi="ar"/>
              </w:rPr>
            </w:pPr>
          </w:p>
          <w:p w14:paraId="18F4A0BD">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部署在病区出入口</w:t>
            </w:r>
          </w:p>
        </w:tc>
      </w:tr>
      <w:tr w14:paraId="384B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6" w:type="dxa"/>
            <w:shd w:val="clear" w:color="auto" w:fill="auto"/>
            <w:vAlign w:val="center"/>
          </w:tcPr>
          <w:p w14:paraId="4D777EAE">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p>
        </w:tc>
        <w:tc>
          <w:tcPr>
            <w:tcW w:w="1073" w:type="dxa"/>
            <w:shd w:val="clear" w:color="auto" w:fill="auto"/>
            <w:vAlign w:val="center"/>
          </w:tcPr>
          <w:p w14:paraId="418AA3E5">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RFID无源资产标签（1800个）</w:t>
            </w:r>
          </w:p>
        </w:tc>
        <w:tc>
          <w:tcPr>
            <w:tcW w:w="1425" w:type="dxa"/>
            <w:shd w:val="clear" w:color="auto" w:fill="auto"/>
            <w:vAlign w:val="center"/>
          </w:tcPr>
          <w:p w14:paraId="5C6311D1">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硬件</w:t>
            </w:r>
          </w:p>
        </w:tc>
        <w:tc>
          <w:tcPr>
            <w:tcW w:w="3990" w:type="dxa"/>
            <w:shd w:val="clear" w:color="auto" w:fill="auto"/>
            <w:vAlign w:val="center"/>
          </w:tcPr>
          <w:p w14:paraId="70786B47">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RFID无源标签：尺寸规格：65*35；颜色：白色：</w:t>
            </w:r>
          </w:p>
          <w:p w14:paraId="0F7F9130">
            <w:pPr>
              <w:widowControl/>
              <w:jc w:val="left"/>
              <w:textAlignment w:val="center"/>
              <w:rPr>
                <w:rFonts w:hint="eastAsia" w:ascii="宋体" w:hAnsi="宋体" w:eastAsia="宋体" w:cs="宋体"/>
                <w:sz w:val="24"/>
                <w:szCs w:val="24"/>
                <w:lang w:val="en-US"/>
              </w:rPr>
            </w:pPr>
            <w:r>
              <w:rPr>
                <w:rFonts w:hint="eastAsia" w:ascii="宋体" w:hAnsi="宋体" w:eastAsia="宋体" w:cs="宋体"/>
                <w:color w:val="000000"/>
                <w:kern w:val="0"/>
                <w:sz w:val="24"/>
                <w:szCs w:val="24"/>
                <w:lang w:bidi="ar"/>
              </w:rPr>
              <w:t>使用场景：大理石、木材、塑料等非金属被贴物</w:t>
            </w:r>
          </w:p>
        </w:tc>
        <w:tc>
          <w:tcPr>
            <w:tcW w:w="1067" w:type="dxa"/>
            <w:shd w:val="clear" w:color="auto" w:fill="auto"/>
          </w:tcPr>
          <w:p w14:paraId="19F8764F">
            <w:pPr>
              <w:widowControl/>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按需配置</w:t>
            </w:r>
          </w:p>
        </w:tc>
      </w:tr>
    </w:tbl>
    <w:p w14:paraId="528F19B5">
      <w:pPr>
        <w:pStyle w:val="3"/>
        <w:numPr>
          <w:ilvl w:val="0"/>
          <w:numId w:val="0"/>
        </w:numPr>
        <w:spacing w:before="0" w:after="0" w:line="312" w:lineRule="auto"/>
        <w:rPr>
          <w:rFonts w:hint="eastAsia" w:ascii="宋体" w:hAnsi="宋体"/>
          <w:bCs w:val="0"/>
          <w:sz w:val="32"/>
          <w:szCs w:val="32"/>
          <w:lang w:val="en-US"/>
        </w:rPr>
      </w:pPr>
      <w:bookmarkStart w:id="4" w:name="_GoBack"/>
      <w:bookmarkEnd w:id="4"/>
      <w:r>
        <w:rPr>
          <w:rFonts w:hint="eastAsia" w:ascii="宋体" w:hAnsi="宋体"/>
          <w:bCs w:val="0"/>
          <w:sz w:val="32"/>
          <w:szCs w:val="32"/>
          <w:lang w:val="en-US"/>
        </w:rPr>
        <w:t>三、对接口及系统改造的要求</w:t>
      </w:r>
    </w:p>
    <w:p w14:paraId="75E4CC12">
      <w:pPr>
        <w:spacing w:line="312" w:lineRule="auto"/>
        <w:rPr>
          <w:rFonts w:ascii="宋体" w:hAnsi="宋体" w:eastAsia="宋体" w:cs="宋体"/>
          <w:b/>
          <w:bCs/>
          <w:sz w:val="24"/>
          <w:szCs w:val="24"/>
        </w:rPr>
      </w:pPr>
      <w:r>
        <w:rPr>
          <w:rFonts w:hint="eastAsia" w:ascii="宋体" w:hAnsi="宋体" w:eastAsia="宋体" w:cs="宋体"/>
          <w:b/>
          <w:bCs/>
          <w:sz w:val="24"/>
          <w:szCs w:val="24"/>
        </w:rPr>
        <w:tab/>
      </w:r>
      <w:r>
        <w:rPr>
          <w:rFonts w:hint="eastAsia" w:ascii="宋体" w:hAnsi="宋体" w:eastAsia="宋体" w:cs="宋体"/>
          <w:b/>
          <w:bCs/>
          <w:sz w:val="24"/>
          <w:szCs w:val="24"/>
        </w:rPr>
        <w:t>质保期和维保期内</w:t>
      </w:r>
      <w:r>
        <w:rPr>
          <w:rFonts w:hint="eastAsia" w:ascii="宋体" w:hAnsi="宋体" w:eastAsia="宋体" w:cs="宋体"/>
          <w:b/>
          <w:bCs/>
          <w:color w:val="auto"/>
          <w:sz w:val="24"/>
          <w:szCs w:val="24"/>
          <w:lang w:val="en-US" w:eastAsia="zh-CN"/>
        </w:rPr>
        <w:t>投标方</w:t>
      </w:r>
      <w:r>
        <w:rPr>
          <w:rFonts w:hint="eastAsia" w:ascii="宋体" w:hAnsi="宋体" w:eastAsia="宋体" w:cs="宋体"/>
          <w:b/>
          <w:bCs/>
          <w:sz w:val="24"/>
          <w:szCs w:val="24"/>
        </w:rPr>
        <w:t>实现以下要求：</w:t>
      </w:r>
    </w:p>
    <w:p w14:paraId="5710D3D2">
      <w:pPr>
        <w:pStyle w:val="2"/>
        <w:spacing w:after="0" w:line="312" w:lineRule="auto"/>
        <w:ind w:firstLine="420"/>
        <w:rPr>
          <w:rFonts w:hint="eastAsia" w:ascii="宋体" w:hAnsi="宋体" w:eastAsia="宋体" w:cs="宋体"/>
          <w:sz w:val="24"/>
          <w:lang w:val="en-US"/>
        </w:rPr>
      </w:pPr>
      <w:r>
        <w:rPr>
          <w:rFonts w:hint="eastAsia" w:ascii="宋体" w:hAnsi="宋体" w:eastAsia="宋体" w:cs="宋体"/>
          <w:sz w:val="24"/>
          <w:lang w:val="en-US"/>
        </w:rPr>
        <w:t>3.1提供全面的接口技术，与第三方系统共享数据和功能，这些接口技术包括中间件技术接口、WEBSEVICE通用接口、数据库级接口、文件文本接口等。</w:t>
      </w:r>
    </w:p>
    <w:p w14:paraId="32549C6E">
      <w:pPr>
        <w:pStyle w:val="2"/>
        <w:spacing w:after="0" w:line="312" w:lineRule="auto"/>
        <w:ind w:firstLine="420"/>
        <w:rPr>
          <w:rFonts w:hint="eastAsia" w:ascii="宋体" w:hAnsi="宋体" w:eastAsia="宋体" w:cs="宋体"/>
          <w:sz w:val="24"/>
          <w:lang w:val="en-US"/>
        </w:rPr>
      </w:pPr>
      <w:r>
        <w:rPr>
          <w:rFonts w:hint="eastAsia" w:ascii="宋体" w:hAnsi="宋体" w:eastAsia="宋体" w:cs="宋体"/>
          <w:sz w:val="24"/>
          <w:lang w:val="en-US"/>
        </w:rPr>
        <w:t>3.2提供与医院第三方系统统一接口的维护与管理，与HIS、电子病历、LIS、PACS、心电系统、体检系统、集成平台、智慧运营平台、成本管理系统、排班系统、人力资源管理系统、财务管理系统、互联网医院、OA平台、企业微信、自助服务平台、DRG管理、绩效管理、电子发票、短信平台、财务电子档案、CA签名、单点登录系统、数据资产平台、运营一体化管理系统等其他所有医院相关业务系统（包括以上医院系统但不仅限于以上系统）进行接口对接，实现数据交换。</w:t>
      </w:r>
    </w:p>
    <w:p w14:paraId="1B987388">
      <w:pPr>
        <w:pStyle w:val="2"/>
        <w:spacing w:after="0" w:line="312" w:lineRule="auto"/>
        <w:ind w:firstLine="420"/>
        <w:rPr>
          <w:rFonts w:hint="eastAsia" w:ascii="宋体" w:hAnsi="宋体" w:eastAsia="宋体" w:cs="宋体"/>
          <w:sz w:val="24"/>
          <w:lang w:val="en-US" w:eastAsia="zh-CN"/>
        </w:rPr>
      </w:pPr>
      <w:r>
        <w:rPr>
          <w:rFonts w:hint="eastAsia" w:ascii="宋体" w:hAnsi="宋体" w:eastAsia="宋体" w:cs="宋体"/>
          <w:sz w:val="24"/>
          <w:lang w:val="en-US"/>
        </w:rPr>
        <w:t>3.3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r>
        <w:rPr>
          <w:rFonts w:hint="eastAsia" w:ascii="宋体" w:hAnsi="宋体" w:eastAsia="宋体" w:cs="宋体"/>
          <w:sz w:val="24"/>
          <w:lang w:val="en-US" w:eastAsia="zh-CN"/>
        </w:rPr>
        <w:t>。</w:t>
      </w:r>
    </w:p>
    <w:p w14:paraId="3BC04EB1">
      <w:pPr>
        <w:pStyle w:val="2"/>
        <w:spacing w:after="0" w:line="312" w:lineRule="auto"/>
        <w:ind w:firstLine="420"/>
        <w:rPr>
          <w:rFonts w:hint="eastAsia" w:ascii="宋体" w:hAnsi="宋体" w:eastAsia="宋体" w:cs="宋体"/>
          <w:sz w:val="24"/>
          <w:lang w:val="en-US" w:eastAsia="zh-CN"/>
        </w:rPr>
      </w:pPr>
      <w:r>
        <w:rPr>
          <w:rFonts w:hint="eastAsia" w:ascii="宋体" w:hAnsi="宋体" w:eastAsia="宋体" w:cs="宋体"/>
          <w:sz w:val="24"/>
          <w:lang w:val="en-US"/>
        </w:rPr>
        <w:t>3.4提供软件升级及个性化修改服务，实现采购方的个性化需求；软件自身错误类问题提供永久性修改服务</w:t>
      </w:r>
      <w:r>
        <w:rPr>
          <w:rFonts w:hint="eastAsia" w:ascii="宋体" w:hAnsi="宋体" w:eastAsia="宋体" w:cs="宋体"/>
          <w:sz w:val="24"/>
          <w:lang w:val="en-US" w:eastAsia="zh-CN"/>
        </w:rPr>
        <w:t>。</w:t>
      </w:r>
    </w:p>
    <w:p w14:paraId="1D0AC0C8">
      <w:pPr>
        <w:pStyle w:val="10"/>
        <w:spacing w:line="360" w:lineRule="auto"/>
        <w:ind w:firstLineChars="0"/>
        <w:rPr>
          <w:rFonts w:hint="eastAsia" w:ascii="宋体" w:hAnsi="宋体" w:eastAsia="宋体" w:cs="宋体"/>
          <w:sz w:val="24"/>
        </w:rPr>
      </w:pPr>
      <w:r>
        <w:rPr>
          <w:rFonts w:hint="eastAsia" w:ascii="宋体" w:hAnsi="宋体" w:eastAsia="宋体" w:cs="宋体"/>
          <w:sz w:val="24"/>
        </w:rPr>
        <w:t>3.5提供</w:t>
      </w:r>
      <w:r>
        <w:rPr>
          <w:rFonts w:hint="eastAsia" w:ascii="宋体" w:hAnsi="宋体" w:eastAsia="宋体" w:cs="宋体"/>
          <w:sz w:val="24"/>
          <w:lang w:val="en-US"/>
        </w:rPr>
        <w:t>采购方</w:t>
      </w:r>
      <w:r>
        <w:rPr>
          <w:rFonts w:hint="eastAsia" w:ascii="宋体" w:hAnsi="宋体" w:eastAsia="宋体" w:cs="宋体"/>
          <w:sz w:val="24"/>
        </w:rPr>
        <w:t>新增业务信息系统的对接、实现医院上级管理部门要求的系统接口对接要求。</w:t>
      </w:r>
    </w:p>
    <w:p w14:paraId="6F38BCCE">
      <w:pPr>
        <w:pStyle w:val="10"/>
        <w:spacing w:line="360" w:lineRule="auto"/>
        <w:ind w:firstLineChars="0"/>
        <w:rPr>
          <w:rFonts w:hint="eastAsia" w:ascii="宋体" w:hAnsi="宋体" w:eastAsia="宋体" w:cs="宋体"/>
          <w:sz w:val="24"/>
        </w:rPr>
      </w:pPr>
      <w:r>
        <w:rPr>
          <w:rFonts w:hint="eastAsia" w:ascii="宋体" w:hAnsi="宋体" w:eastAsia="宋体" w:cs="宋体"/>
          <w:sz w:val="24"/>
          <w:szCs w:val="24"/>
        </w:rPr>
        <w:t>3.6若</w:t>
      </w:r>
      <w:r>
        <w:rPr>
          <w:rFonts w:hint="eastAsia" w:ascii="宋体" w:hAnsi="宋体" w:eastAsia="宋体" w:cs="宋体"/>
          <w:sz w:val="24"/>
          <w:lang w:val="en-US"/>
        </w:rPr>
        <w:t>采购方</w:t>
      </w:r>
      <w:r>
        <w:rPr>
          <w:rFonts w:hint="eastAsia" w:ascii="宋体" w:hAnsi="宋体" w:eastAsia="宋体" w:cs="宋体"/>
          <w:sz w:val="24"/>
          <w:szCs w:val="24"/>
        </w:rPr>
        <w:t>更换已对接的业务系统、投标方须提供与新业务系统的对接及联调服务。</w:t>
      </w:r>
    </w:p>
    <w:p w14:paraId="0E6B5CD5">
      <w:pPr>
        <w:pStyle w:val="3"/>
        <w:numPr>
          <w:ilvl w:val="0"/>
          <w:numId w:val="0"/>
        </w:numPr>
        <w:spacing w:before="0" w:after="0" w:line="312" w:lineRule="auto"/>
        <w:rPr>
          <w:rFonts w:hint="eastAsia" w:ascii="宋体" w:hAnsi="宋体"/>
          <w:bCs w:val="0"/>
          <w:sz w:val="32"/>
          <w:szCs w:val="32"/>
        </w:rPr>
      </w:pPr>
      <w:r>
        <w:rPr>
          <w:rFonts w:hint="eastAsia" w:ascii="宋体" w:hAnsi="宋体"/>
          <w:bCs w:val="0"/>
          <w:sz w:val="32"/>
          <w:szCs w:val="32"/>
        </w:rPr>
        <w:t>四、项目实施要求</w:t>
      </w:r>
    </w:p>
    <w:p w14:paraId="23797CD6">
      <w:pPr>
        <w:pStyle w:val="2"/>
        <w:spacing w:after="0" w:line="312" w:lineRule="auto"/>
        <w:ind w:firstLine="420"/>
        <w:rPr>
          <w:rFonts w:hint="eastAsia" w:ascii="宋体" w:hAnsi="宋体" w:eastAsia="宋体" w:cs="宋体"/>
          <w:sz w:val="24"/>
          <w:szCs w:val="24"/>
          <w:lang w:val="en-US" w:eastAsia="zh-CN"/>
        </w:rPr>
      </w:pPr>
      <w:r>
        <w:rPr>
          <w:rFonts w:hint="eastAsia" w:ascii="宋体" w:hAnsi="宋体" w:eastAsia="宋体" w:cs="宋体"/>
          <w:sz w:val="24"/>
          <w:szCs w:val="24"/>
          <w:lang w:val="en-US"/>
        </w:rPr>
        <w:t>4.1驻场、实施工期要求：合同签订后，7个工作日内项目实施人员必须进场，系统需在</w:t>
      </w:r>
      <w:r>
        <w:rPr>
          <w:rFonts w:hint="eastAsia" w:ascii="宋体" w:hAnsi="宋体" w:eastAsia="宋体" w:cs="宋体"/>
          <w:color w:val="auto"/>
          <w:sz w:val="24"/>
          <w:szCs w:val="24"/>
          <w:highlight w:val="none"/>
          <w:lang w:val="en-US" w:eastAsia="zh-CN"/>
        </w:rPr>
        <w:t>1</w:t>
      </w:r>
      <w:r>
        <w:rPr>
          <w:rFonts w:hint="eastAsia" w:ascii="宋体" w:hAnsi="宋体" w:eastAsia="宋体" w:cs="宋体"/>
          <w:sz w:val="24"/>
          <w:szCs w:val="24"/>
          <w:lang w:val="en-US"/>
        </w:rPr>
        <w:t>个月内完成项目实施上线，请分别列出每个系统实施的工作计划及周期。</w:t>
      </w:r>
    </w:p>
    <w:p w14:paraId="26CE1195">
      <w:pPr>
        <w:pStyle w:val="2"/>
        <w:spacing w:after="0" w:line="312" w:lineRule="auto"/>
        <w:ind w:firstLine="420"/>
        <w:rPr>
          <w:rFonts w:ascii="宋体" w:hAnsi="宋体" w:eastAsia="宋体" w:cs="宋体"/>
          <w:sz w:val="24"/>
          <w:szCs w:val="24"/>
          <w:lang w:val="en-US"/>
        </w:rPr>
      </w:pPr>
      <w:r>
        <w:rPr>
          <w:rFonts w:hint="eastAsia" w:ascii="宋体" w:hAnsi="宋体" w:eastAsia="宋体" w:cs="宋体"/>
          <w:sz w:val="24"/>
          <w:szCs w:val="24"/>
          <w:lang w:val="en-US"/>
        </w:rPr>
        <w:t>4.2驻场人员要求：</w:t>
      </w:r>
    </w:p>
    <w:p w14:paraId="23F9A95C">
      <w:pPr>
        <w:pStyle w:val="2"/>
        <w:spacing w:after="0" w:line="312" w:lineRule="auto"/>
        <w:ind w:firstLine="420"/>
        <w:rPr>
          <w:rFonts w:ascii="宋体" w:hAnsi="宋体" w:eastAsia="宋体" w:cs="宋体"/>
          <w:sz w:val="24"/>
          <w:szCs w:val="24"/>
          <w:lang w:val="en-US"/>
        </w:rPr>
      </w:pPr>
      <w:r>
        <w:rPr>
          <w:rFonts w:hint="eastAsia" w:ascii="宋体" w:hAnsi="宋体" w:eastAsia="宋体" w:cs="宋体"/>
          <w:sz w:val="24"/>
          <w:szCs w:val="24"/>
          <w:lang w:val="en-US"/>
        </w:rPr>
        <w:t>实施工程师：项目驻场实施工程师需有2年以上本投标方同等项目实施经验。项目实施阶段，驻场实施工程师不得少于</w:t>
      </w:r>
      <w:r>
        <w:rPr>
          <w:rFonts w:hint="eastAsia" w:ascii="宋体" w:hAnsi="宋体" w:eastAsia="宋体" w:cs="宋体"/>
          <w:sz w:val="24"/>
          <w:szCs w:val="24"/>
          <w:highlight w:val="none"/>
          <w:lang w:val="en-US"/>
        </w:rPr>
        <w:t>1</w:t>
      </w:r>
      <w:r>
        <w:rPr>
          <w:rFonts w:hint="eastAsia" w:ascii="宋体" w:hAnsi="宋体" w:eastAsia="宋体" w:cs="宋体"/>
          <w:sz w:val="24"/>
          <w:szCs w:val="24"/>
          <w:lang w:val="en-US"/>
        </w:rPr>
        <w:t>名。</w:t>
      </w:r>
    </w:p>
    <w:p w14:paraId="03AA2EE5">
      <w:pPr>
        <w:pStyle w:val="2"/>
        <w:spacing w:after="0" w:line="312" w:lineRule="auto"/>
        <w:ind w:firstLine="420"/>
        <w:rPr>
          <w:rFonts w:ascii="宋体" w:hAnsi="宋体" w:eastAsia="宋体" w:cs="宋体"/>
          <w:sz w:val="24"/>
          <w:szCs w:val="24"/>
          <w:lang w:val="en-US"/>
        </w:rPr>
      </w:pPr>
      <w:r>
        <w:rPr>
          <w:rFonts w:hint="eastAsia" w:ascii="宋体" w:hAnsi="宋体" w:eastAsia="宋体" w:cs="宋体"/>
          <w:sz w:val="24"/>
          <w:szCs w:val="24"/>
          <w:lang w:val="en-US"/>
        </w:rPr>
        <w:t>如需更换开发工程师、实施工程师，投标方需提交书面申请，经采购方同意才可更换。</w:t>
      </w:r>
    </w:p>
    <w:p w14:paraId="5135A268">
      <w:pPr>
        <w:pStyle w:val="2"/>
        <w:spacing w:after="0" w:line="312" w:lineRule="auto"/>
        <w:ind w:firstLine="420"/>
        <w:rPr>
          <w:rFonts w:ascii="宋体" w:hAnsi="宋体" w:eastAsia="宋体" w:cs="宋体"/>
          <w:sz w:val="24"/>
          <w:szCs w:val="24"/>
          <w:lang w:val="en-US"/>
        </w:rPr>
      </w:pPr>
      <w:r>
        <w:rPr>
          <w:rFonts w:hint="eastAsia" w:ascii="宋体" w:hAnsi="宋体" w:eastAsia="宋体" w:cs="宋体"/>
          <w:sz w:val="24"/>
          <w:szCs w:val="24"/>
          <w:lang w:val="en-US"/>
        </w:rPr>
        <w:t>竞标文件中需提供软件提供商项目驻场人员清单（含项目开发和项目实施人员），清单中标明驻场人员详细信息，如姓名、联系方式、技术职称、社保证明（不少于半年）等。</w:t>
      </w:r>
    </w:p>
    <w:p w14:paraId="21F61223">
      <w:pPr>
        <w:spacing w:line="312" w:lineRule="auto"/>
        <w:ind w:firstLine="480" w:firstLineChars="200"/>
        <w:jc w:val="left"/>
        <w:rPr>
          <w:rFonts w:ascii="宋体" w:hAnsi="宋体" w:eastAsia="宋体" w:cs="宋体"/>
          <w:sz w:val="24"/>
          <w:szCs w:val="24"/>
        </w:rPr>
      </w:pPr>
      <w:r>
        <w:rPr>
          <w:rFonts w:hint="eastAsia" w:ascii="宋体" w:hAnsi="宋体" w:eastAsia="宋体" w:cs="宋体"/>
          <w:sz w:val="24"/>
          <w:szCs w:val="24"/>
        </w:rPr>
        <w:t>4.3因投标方与采购方存在对需求理解有差异的可能性，要求所有软件功能需求的响应以采购方意见为准。</w:t>
      </w:r>
    </w:p>
    <w:p w14:paraId="50846791">
      <w:pPr>
        <w:spacing w:line="312" w:lineRule="auto"/>
        <w:ind w:firstLine="480" w:firstLineChars="200"/>
        <w:jc w:val="left"/>
        <w:rPr>
          <w:rFonts w:ascii="宋体" w:hAnsi="宋体" w:eastAsia="宋体" w:cs="宋体"/>
          <w:sz w:val="24"/>
          <w:szCs w:val="24"/>
        </w:rPr>
      </w:pPr>
      <w:r>
        <w:rPr>
          <w:rFonts w:hint="eastAsia" w:ascii="宋体" w:hAnsi="宋体" w:eastAsia="宋体" w:cs="宋体"/>
          <w:sz w:val="24"/>
          <w:szCs w:val="24"/>
        </w:rPr>
        <w:t>4.4培训要求：</w:t>
      </w:r>
    </w:p>
    <w:p w14:paraId="08458AA9">
      <w:pPr>
        <w:spacing w:line="312" w:lineRule="auto"/>
        <w:ind w:firstLine="480" w:firstLineChars="200"/>
        <w:jc w:val="left"/>
        <w:rPr>
          <w:rFonts w:hint="eastAsia" w:eastAsia="宋体"/>
          <w:sz w:val="24"/>
          <w:szCs w:val="24"/>
          <w:lang w:eastAsia="zh-CN"/>
        </w:rPr>
      </w:pPr>
      <w:r>
        <w:rPr>
          <w:rFonts w:hint="eastAsia" w:ascii="宋体" w:hAnsi="宋体" w:eastAsia="宋体" w:cs="宋体"/>
          <w:sz w:val="24"/>
          <w:szCs w:val="24"/>
        </w:rPr>
        <w:t>培训应至少包括但不限于：软硬件系统的安装、部署、维护方法、系统的功能使用培训</w:t>
      </w:r>
      <w:r>
        <w:rPr>
          <w:rFonts w:hint="eastAsia" w:ascii="宋体" w:hAnsi="宋体" w:eastAsia="宋体" w:cs="宋体"/>
          <w:sz w:val="24"/>
          <w:szCs w:val="24"/>
          <w:lang w:eastAsia="zh-CN"/>
        </w:rPr>
        <w:t>。</w:t>
      </w:r>
    </w:p>
    <w:p w14:paraId="62E6D1C2">
      <w:pPr>
        <w:pStyle w:val="3"/>
        <w:numPr>
          <w:ilvl w:val="0"/>
          <w:numId w:val="0"/>
        </w:numPr>
        <w:spacing w:before="0" w:after="0" w:line="312" w:lineRule="auto"/>
        <w:rPr>
          <w:rFonts w:ascii="宋体" w:hAnsi="宋体"/>
          <w:bCs w:val="0"/>
          <w:sz w:val="32"/>
          <w:szCs w:val="32"/>
        </w:rPr>
      </w:pPr>
      <w:r>
        <w:rPr>
          <w:rFonts w:hint="eastAsia" w:ascii="宋体" w:hAnsi="宋体"/>
          <w:bCs w:val="0"/>
          <w:sz w:val="32"/>
          <w:szCs w:val="32"/>
        </w:rPr>
        <w:t>五、售后服务及其他要求</w:t>
      </w:r>
    </w:p>
    <w:p w14:paraId="7D78FE28">
      <w:pPr>
        <w:spacing w:line="312" w:lineRule="auto"/>
        <w:ind w:firstLine="420"/>
        <w:jc w:val="left"/>
        <w:rPr>
          <w:rFonts w:ascii="宋体" w:hAnsi="宋体" w:cs="宋体"/>
          <w:sz w:val="24"/>
          <w:szCs w:val="24"/>
        </w:rPr>
      </w:pPr>
      <w:r>
        <w:rPr>
          <w:rFonts w:hint="eastAsia" w:ascii="宋体" w:hAnsi="宋体" w:cs="宋体"/>
          <w:sz w:val="24"/>
          <w:szCs w:val="24"/>
        </w:rPr>
        <w:t>5.1自本项目整体最终验收之日起，所有产品要求提供</w:t>
      </w:r>
      <w:r>
        <w:rPr>
          <w:rFonts w:hint="eastAsia" w:ascii="宋体" w:hAnsi="宋体" w:cs="宋体"/>
          <w:color w:val="000000" w:themeColor="text1"/>
          <w:sz w:val="24"/>
          <w:szCs w:val="24"/>
          <w:highlight w:val="none"/>
          <w:lang w:val="en-US" w:eastAsia="zh-CN"/>
          <w14:textFill>
            <w14:solidFill>
              <w14:schemeClr w14:val="tx1"/>
            </w14:solidFill>
          </w14:textFill>
        </w:rPr>
        <w:t>两</w:t>
      </w:r>
      <w:r>
        <w:rPr>
          <w:rFonts w:hint="eastAsia" w:ascii="宋体" w:hAnsi="宋体" w:cs="宋体"/>
          <w:color w:val="000000" w:themeColor="text1"/>
          <w:sz w:val="24"/>
          <w:szCs w:val="24"/>
          <w:highlight w:val="none"/>
          <w14:textFill>
            <w14:solidFill>
              <w14:schemeClr w14:val="tx1"/>
            </w14:solidFill>
          </w14:textFill>
        </w:rPr>
        <w:t>年</w:t>
      </w:r>
      <w:r>
        <w:rPr>
          <w:rFonts w:hint="eastAsia" w:ascii="宋体" w:hAnsi="宋体" w:cs="宋体"/>
          <w:sz w:val="24"/>
          <w:szCs w:val="24"/>
        </w:rPr>
        <w:t>的质保服务，含软硬件维护和系统软件升级、系统BUG及漏洞修复、技术支持服务、系统管理及操作培训服务，提供系统个性化修改需求。请详细说明售后服务的内容。</w:t>
      </w:r>
    </w:p>
    <w:p w14:paraId="6FEDFDE5">
      <w:pPr>
        <w:spacing w:line="312" w:lineRule="auto"/>
        <w:ind w:firstLine="420"/>
        <w:jc w:val="left"/>
        <w:rPr>
          <w:rFonts w:ascii="宋体" w:hAnsi="宋体" w:cs="宋体"/>
          <w:sz w:val="24"/>
          <w:szCs w:val="24"/>
        </w:rPr>
      </w:pPr>
      <w:r>
        <w:rPr>
          <w:rFonts w:hint="eastAsia" w:ascii="宋体" w:hAnsi="宋体" w:cs="宋体"/>
          <w:sz w:val="24"/>
          <w:szCs w:val="24"/>
        </w:rPr>
        <w:t>5.2安装调试要求：送货上门、安装调试、提供完善的设备及软件系统使用中文操作手册、图纸、网络详细拓扑图、系统配置、功能配置、设备配置及互联记录。</w:t>
      </w:r>
    </w:p>
    <w:p w14:paraId="196C83E3">
      <w:pPr>
        <w:spacing w:line="312" w:lineRule="auto"/>
        <w:ind w:firstLine="420"/>
        <w:jc w:val="left"/>
        <w:rPr>
          <w:rFonts w:ascii="宋体" w:hAnsi="宋体" w:cs="宋体"/>
          <w:color w:val="auto"/>
          <w:sz w:val="24"/>
          <w:szCs w:val="24"/>
          <w:highlight w:val="none"/>
        </w:rPr>
      </w:pPr>
      <w:r>
        <w:rPr>
          <w:rFonts w:hint="eastAsia" w:ascii="宋体" w:hAnsi="宋体" w:cs="宋体"/>
          <w:color w:val="auto"/>
          <w:sz w:val="24"/>
          <w:szCs w:val="24"/>
          <w:highlight w:val="none"/>
        </w:rPr>
        <w:t>5.3原厂技术人员提供售后服务，含电话支持、现场响应、远程操作、网上客服中心等多种方式服务，应做到7×24小时全天候电话或微信等常用联系方式响应。</w:t>
      </w:r>
      <w:bookmarkStart w:id="1" w:name="_Toc507405798"/>
      <w:r>
        <w:rPr>
          <w:rFonts w:hint="eastAsia" w:ascii="宋体" w:hAnsi="宋体" w:cs="宋体"/>
          <w:color w:val="auto"/>
          <w:sz w:val="24"/>
          <w:szCs w:val="24"/>
          <w:highlight w:val="none"/>
        </w:rPr>
        <w:t>当出现故障时，接到故障通知后，原厂技术人员应在30分钟内响应，远程技术支持无法解决的，6小时内需到达现场处理修复，并调查分析事故原因，如现场仍不能解决问题，需24小时内提供同档次或更高档次的备用设备解决问题。</w:t>
      </w:r>
    </w:p>
    <w:p w14:paraId="11C4032F">
      <w:pPr>
        <w:spacing w:line="312" w:lineRule="auto"/>
        <w:ind w:firstLine="420"/>
        <w:jc w:val="left"/>
        <w:rPr>
          <w:rFonts w:ascii="宋体" w:hAnsi="宋体" w:cs="宋体"/>
          <w:color w:val="auto"/>
          <w:sz w:val="24"/>
          <w:szCs w:val="24"/>
          <w:highlight w:val="none"/>
        </w:rPr>
      </w:pPr>
      <w:r>
        <w:rPr>
          <w:rFonts w:hint="eastAsia" w:ascii="宋体" w:hAnsi="宋体" w:eastAsia="宋体" w:cs="微软雅黑"/>
          <w:color w:val="auto"/>
          <w:sz w:val="24"/>
          <w:szCs w:val="24"/>
          <w:highlight w:val="none"/>
        </w:rPr>
        <w:t>5.4</w:t>
      </w:r>
      <w:r>
        <w:rPr>
          <w:rFonts w:hint="eastAsia" w:ascii="宋体" w:hAnsi="宋体" w:eastAsia="宋体" w:cs="宋体"/>
          <w:color w:val="auto"/>
          <w:sz w:val="24"/>
          <w:szCs w:val="24"/>
          <w:highlight w:val="none"/>
        </w:rPr>
        <w:t>投标方</w:t>
      </w:r>
      <w:r>
        <w:rPr>
          <w:rFonts w:hint="eastAsia" w:ascii="宋体" w:hAnsi="宋体" w:cs="宋体"/>
          <w:color w:val="auto"/>
          <w:sz w:val="24"/>
          <w:szCs w:val="24"/>
          <w:highlight w:val="none"/>
        </w:rPr>
        <w:t>提供软件、硬件原厂技术人员巡检服务，通过电话或其他方式访问用户，了解产品使用情况及网络安全情况：按院方要求巡检（国家法定节假日前巡检或按院方需求时间巡检），每季度巡检不得少于一次/每年巡检不得少于两次，形成巡检报告反馈给采购方。</w:t>
      </w:r>
    </w:p>
    <w:p w14:paraId="2DAFCF5E">
      <w:pPr>
        <w:pStyle w:val="10"/>
        <w:spacing w:line="360" w:lineRule="auto"/>
        <w:ind w:firstLineChars="0"/>
        <w:rPr>
          <w:rFonts w:ascii="宋体" w:hAnsi="宋体" w:eastAsia="宋体"/>
          <w:sz w:val="24"/>
          <w:szCs w:val="24"/>
        </w:rPr>
      </w:pPr>
      <w:r>
        <w:rPr>
          <w:rFonts w:hint="eastAsia" w:ascii="宋体" w:hAnsi="宋体" w:eastAsia="宋体"/>
          <w:sz w:val="24"/>
          <w:szCs w:val="24"/>
        </w:rPr>
        <w:t>5.5支持系统改造，支持信创电脑和服务器。</w:t>
      </w:r>
    </w:p>
    <w:p w14:paraId="72BDF7F4">
      <w:pPr>
        <w:pStyle w:val="2"/>
        <w:spacing w:after="0" w:line="312" w:lineRule="auto"/>
        <w:rPr>
          <w:rFonts w:ascii="宋体" w:hAnsi="宋体" w:eastAsia="宋体" w:cs="宋体"/>
          <w:b/>
          <w:bCs/>
          <w:sz w:val="28"/>
          <w:lang w:val="en-US"/>
        </w:rPr>
      </w:pPr>
      <w:r>
        <w:rPr>
          <w:rFonts w:hint="eastAsia" w:ascii="宋体" w:hAnsi="宋体" w:eastAsia="宋体" w:cs="宋体"/>
          <w:b/>
          <w:bCs/>
          <w:sz w:val="28"/>
          <w:lang w:val="en-US"/>
        </w:rPr>
        <w:t>六、违约责任</w:t>
      </w:r>
    </w:p>
    <w:p w14:paraId="7274214A">
      <w:pPr>
        <w:spacing w:line="312" w:lineRule="auto"/>
        <w:ind w:firstLine="480" w:firstLineChars="200"/>
        <w:jc w:val="left"/>
        <w:rPr>
          <w:rFonts w:ascii="宋体" w:hAnsi="宋体" w:eastAsia="宋体" w:cs="宋体"/>
          <w:color w:val="auto"/>
          <w:sz w:val="24"/>
          <w:szCs w:val="24"/>
        </w:rPr>
      </w:pPr>
      <w:r>
        <w:rPr>
          <w:rFonts w:hint="eastAsia" w:ascii="宋体" w:hAnsi="宋体" w:eastAsia="宋体" w:cs="宋体"/>
          <w:color w:val="auto"/>
          <w:sz w:val="24"/>
          <w:szCs w:val="24"/>
        </w:rPr>
        <w:t>6.1投标方所提供的产品/软件规格、技术标准、材料等质量有缺陷的，应及时更换，更换不及时的按逾期交货/交付扣罚；因质量问题采购方不同意接收的，投标方应向采购方支付违约货款额5%违约金并赔偿采购方经济损失。</w:t>
      </w:r>
    </w:p>
    <w:p w14:paraId="288DCB10">
      <w:pPr>
        <w:spacing w:line="312" w:lineRule="auto"/>
        <w:ind w:firstLine="480" w:firstLineChars="200"/>
        <w:jc w:val="left"/>
        <w:rPr>
          <w:rFonts w:ascii="宋体" w:hAnsi="宋体" w:eastAsia="宋体" w:cs="宋体"/>
          <w:sz w:val="24"/>
          <w:szCs w:val="24"/>
        </w:rPr>
      </w:pPr>
      <w:r>
        <w:rPr>
          <w:rFonts w:hint="eastAsia" w:ascii="宋体" w:hAnsi="宋体" w:eastAsia="宋体" w:cs="宋体"/>
          <w:color w:val="auto"/>
          <w:sz w:val="24"/>
          <w:szCs w:val="24"/>
        </w:rPr>
        <w:t>6.2若投标方提供的产品或软件侵犯了第三方合法权</w:t>
      </w:r>
      <w:r>
        <w:rPr>
          <w:rFonts w:hint="eastAsia" w:ascii="宋体" w:hAnsi="宋体" w:eastAsia="宋体" w:cs="宋体"/>
          <w:sz w:val="24"/>
          <w:szCs w:val="24"/>
        </w:rPr>
        <w:t>益而引发的任何纠纷或诉讼，均由投标方负责交涉并承担全部责任。</w:t>
      </w:r>
    </w:p>
    <w:p w14:paraId="096AB46A">
      <w:pPr>
        <w:spacing w:line="312" w:lineRule="auto"/>
        <w:ind w:firstLine="420"/>
        <w:jc w:val="left"/>
        <w:rPr>
          <w:rFonts w:ascii="宋体" w:hAnsi="宋体" w:eastAsia="宋体" w:cs="宋体"/>
          <w:color w:val="auto"/>
          <w:sz w:val="24"/>
          <w:szCs w:val="24"/>
        </w:rPr>
      </w:pPr>
      <w:r>
        <w:rPr>
          <w:rFonts w:hint="eastAsia" w:ascii="宋体" w:hAnsi="宋体" w:eastAsia="宋体" w:cs="宋体"/>
          <w:color w:val="auto"/>
          <w:sz w:val="24"/>
          <w:szCs w:val="24"/>
        </w:rPr>
        <w:t>6.3因包装、运输引起的货物损坏，按质量不合格处理。设备安装、调试完成之日起三个月内为设备质保期，在质保期期间若出现设备硬件故障或损坏的情况，采购方有权要求投标方更换同等型号和配置的新设备，设备换新、安装、调试产生的所有费用由投标方承担。</w:t>
      </w:r>
    </w:p>
    <w:p w14:paraId="5A44036D">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6.4</w:t>
      </w:r>
      <w:r>
        <w:rPr>
          <w:rFonts w:hint="eastAsia" w:ascii="宋体" w:hAnsi="宋体" w:eastAsia="宋体" w:cs="宋体"/>
          <w:color w:val="auto"/>
          <w:sz w:val="24"/>
        </w:rPr>
        <w:t> 投标方逾期交货</w:t>
      </w:r>
      <w:r>
        <w:rPr>
          <w:rFonts w:hint="eastAsia" w:ascii="宋体" w:hAnsi="宋体" w:eastAsia="宋体" w:cs="宋体"/>
          <w:color w:val="auto"/>
          <w:sz w:val="24"/>
          <w:lang w:val="en-US"/>
        </w:rPr>
        <w:t>/交付</w:t>
      </w:r>
      <w:r>
        <w:rPr>
          <w:rFonts w:hint="eastAsia" w:ascii="宋体" w:hAnsi="宋体" w:eastAsia="宋体" w:cs="宋体"/>
          <w:color w:val="auto"/>
          <w:sz w:val="24"/>
        </w:rPr>
        <w:t>的，每天向采购方偿付违约货款额3‰违约金，但违约金累计不得超过违约货款额 5% ，超过30天对方有权解除合同，违约方承担因此给对方造成的经济损失；</w:t>
      </w:r>
    </w:p>
    <w:p w14:paraId="66465DAC">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6.5售后服务违约：</w:t>
      </w:r>
    </w:p>
    <w:p w14:paraId="5E4C561E">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6.5.1不能按本技术参数文档</w:t>
      </w:r>
      <w:r>
        <w:rPr>
          <w:rFonts w:hint="eastAsia" w:ascii="宋体" w:hAnsi="宋体" w:eastAsia="宋体" w:cs="宋体"/>
          <w:color w:val="auto"/>
          <w:sz w:val="24"/>
          <w:highlight w:val="none"/>
          <w:lang w:val="en-US"/>
        </w:rPr>
        <w:t>第5.3</w:t>
      </w:r>
      <w:r>
        <w:rPr>
          <w:rFonts w:hint="eastAsia" w:ascii="宋体" w:hAnsi="宋体" w:eastAsia="宋体" w:cs="宋体"/>
          <w:color w:val="auto"/>
          <w:sz w:val="24"/>
          <w:lang w:val="en-US"/>
        </w:rPr>
        <w:t>要求中按时提供设备备件的，故障上报24小时不能提供同档次或更高档次的备用设备解决问题，每超期一天，按500元/天向采购方支付违约金；</w:t>
      </w:r>
    </w:p>
    <w:p w14:paraId="58E15C23">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6.5.2投标方未按本技术要求和响应文件中规定的其他服务承诺提供售后服务的，每次投标方应按合同合计金额的5% 向采购方支付违约金。</w:t>
      </w:r>
    </w:p>
    <w:p w14:paraId="0F6B6E78">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rPr>
        <w:t>6.6合同签订后7个工作日内进场实施，每个模块计划实施周期需在合同内写明。因软件提供商原因逾期不进场实施的，需按每天向院方支付合同款金额3‰作为违约金，超过30天，采购方有权解除合同，投标方需承担因此给院方造成的经济损失；</w:t>
      </w:r>
      <w:r>
        <w:rPr>
          <w:rFonts w:hint="eastAsia" w:ascii="宋体" w:hAnsi="宋体" w:eastAsia="宋体" w:cs="宋体"/>
          <w:color w:val="auto"/>
          <w:sz w:val="24"/>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投标方违约，采购方有权单方面解除合同，并要求投标方退回所有医院已支付款项，同时按合同总金额的20%做为违约金支付给采购方。</w:t>
      </w:r>
    </w:p>
    <w:p w14:paraId="49050419">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6.7任何一方违反本技术要求中“保密、廉洁条款”要求的，应承担相应的违约责任并赔偿由此造成的损失，损失累计金额超过合同款项的5%的，损失方同时有权终止合同并收回已付款项。</w:t>
      </w:r>
    </w:p>
    <w:p w14:paraId="4FC919FD">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6.8投标方未按本技术要求和响应文件中规定的其他服务承诺提供售后服务的，按损失情况，每次应按合同合计金额的0.1‰-0.1%由投标方向采购方支付违约金，损失累计金额超过合同款项的5%的，损失方同时有权终止合同并收回已付款项。</w:t>
      </w:r>
    </w:p>
    <w:p w14:paraId="4B172AA3">
      <w:pPr>
        <w:pStyle w:val="2"/>
        <w:spacing w:after="0" w:line="312" w:lineRule="auto"/>
        <w:ind w:firstLine="420"/>
        <w:rPr>
          <w:rFonts w:ascii="宋体" w:hAnsi="宋体" w:eastAsia="宋体" w:cs="宋体"/>
          <w:color w:val="auto"/>
          <w:kern w:val="2"/>
          <w:sz w:val="24"/>
          <w:lang w:val="en-US"/>
        </w:rPr>
      </w:pPr>
      <w:r>
        <w:rPr>
          <w:rFonts w:hint="eastAsia" w:ascii="宋体" w:hAnsi="宋体" w:eastAsia="宋体" w:cs="宋体"/>
          <w:color w:val="auto"/>
          <w:kern w:val="2"/>
          <w:sz w:val="24"/>
          <w:lang w:val="en-US"/>
        </w:rPr>
        <w:t>6.9不得在提供的硬件及软件系统中设置包括且不限于如：软硬件加密狗、加密软件、时间锁、授权码等限制硬件及软件系统正常运行的措施，</w:t>
      </w:r>
      <w:r>
        <w:rPr>
          <w:rFonts w:ascii="宋体" w:hAnsi="宋体" w:cs="宋体"/>
          <w:color w:val="auto"/>
          <w:kern w:val="2"/>
          <w:sz w:val="24"/>
          <w:lang w:val="en-US"/>
        </w:rPr>
        <w:t>如有</w:t>
      </w:r>
      <w:r>
        <w:rPr>
          <w:rFonts w:hint="eastAsia" w:ascii="宋体" w:hAnsi="宋体" w:cs="宋体"/>
          <w:color w:val="auto"/>
          <w:kern w:val="2"/>
          <w:sz w:val="24"/>
          <w:lang w:val="en-US"/>
        </w:rPr>
        <w:t>特殊</w:t>
      </w:r>
      <w:r>
        <w:rPr>
          <w:rFonts w:ascii="宋体" w:hAnsi="宋体" w:cs="宋体"/>
          <w:color w:val="auto"/>
          <w:kern w:val="2"/>
          <w:sz w:val="24"/>
          <w:lang w:val="en-US"/>
        </w:rPr>
        <w:t>需要</w:t>
      </w:r>
      <w:r>
        <w:rPr>
          <w:rFonts w:hint="eastAsia" w:ascii="宋体" w:hAnsi="宋体" w:cs="宋体"/>
          <w:color w:val="auto"/>
          <w:kern w:val="2"/>
          <w:sz w:val="24"/>
          <w:lang w:val="en-US"/>
        </w:rPr>
        <w:t>必须提交</w:t>
      </w:r>
      <w:r>
        <w:rPr>
          <w:rFonts w:ascii="宋体" w:hAnsi="宋体" w:cs="宋体"/>
          <w:color w:val="auto"/>
          <w:kern w:val="2"/>
          <w:sz w:val="24"/>
          <w:lang w:val="en-US"/>
        </w:rPr>
        <w:t>纸质</w:t>
      </w:r>
      <w:r>
        <w:rPr>
          <w:rFonts w:hint="eastAsia" w:ascii="宋体" w:hAnsi="宋体" w:cs="宋体"/>
          <w:color w:val="auto"/>
          <w:kern w:val="2"/>
          <w:sz w:val="24"/>
          <w:lang w:val="en-US"/>
        </w:rPr>
        <w:t>文件说明</w:t>
      </w:r>
      <w:r>
        <w:rPr>
          <w:rFonts w:ascii="宋体" w:hAnsi="宋体" w:cs="宋体"/>
          <w:color w:val="auto"/>
          <w:kern w:val="2"/>
          <w:sz w:val="24"/>
          <w:lang w:val="en-US"/>
        </w:rPr>
        <w:t>，经过</w:t>
      </w:r>
      <w:r>
        <w:rPr>
          <w:rFonts w:hint="eastAsia" w:ascii="宋体" w:hAnsi="宋体" w:cs="宋体"/>
          <w:color w:val="auto"/>
          <w:kern w:val="2"/>
          <w:sz w:val="24"/>
          <w:lang w:val="en-US"/>
        </w:rPr>
        <w:t>采购方签字同意</w:t>
      </w:r>
      <w:r>
        <w:rPr>
          <w:rFonts w:ascii="宋体" w:hAnsi="宋体" w:cs="宋体"/>
          <w:color w:val="auto"/>
          <w:kern w:val="2"/>
          <w:sz w:val="24"/>
          <w:lang w:val="en-US"/>
        </w:rPr>
        <w:t>才可设置</w:t>
      </w:r>
      <w:r>
        <w:rPr>
          <w:rFonts w:hint="eastAsia" w:ascii="宋体" w:hAnsi="宋体" w:cs="宋体"/>
          <w:color w:val="auto"/>
          <w:kern w:val="2"/>
          <w:sz w:val="24"/>
          <w:lang w:val="en-US"/>
        </w:rPr>
        <w:t>，</w:t>
      </w:r>
      <w:r>
        <w:rPr>
          <w:rFonts w:hint="eastAsia" w:ascii="宋体" w:hAnsi="宋体" w:eastAsia="宋体" w:cs="宋体"/>
          <w:color w:val="auto"/>
          <w:kern w:val="2"/>
          <w:sz w:val="24"/>
          <w:lang w:val="en-US"/>
        </w:rPr>
        <w:t>否则视为投标方违约，投标方需要支付医院违约金500000元（伍拾万元），在此基础上医院有权要求投标方退回采购方已支付的所有款项。如对医院造成损失的，采购方有权要求投标方赔偿。</w:t>
      </w:r>
    </w:p>
    <w:p w14:paraId="59A7CBDA">
      <w:pPr>
        <w:pStyle w:val="2"/>
        <w:spacing w:after="0" w:line="312" w:lineRule="auto"/>
        <w:ind w:firstLine="420"/>
        <w:rPr>
          <w:rFonts w:ascii="宋体" w:hAnsi="宋体" w:eastAsia="宋体" w:cs="宋体"/>
          <w:color w:val="auto"/>
          <w:kern w:val="2"/>
          <w:sz w:val="24"/>
          <w:lang w:val="en-US"/>
        </w:rPr>
      </w:pPr>
      <w:r>
        <w:rPr>
          <w:rFonts w:hint="eastAsia" w:ascii="宋体" w:hAnsi="宋体" w:eastAsia="宋体" w:cs="宋体"/>
          <w:color w:val="auto"/>
          <w:kern w:val="2"/>
          <w:sz w:val="24"/>
          <w:lang w:val="en-US"/>
        </w:rPr>
        <w:t>6.10</w:t>
      </w:r>
      <w:r>
        <w:rPr>
          <w:rFonts w:ascii="宋体" w:hAnsi="宋体" w:eastAsia="宋体" w:cs="宋体"/>
          <w:color w:val="auto"/>
          <w:kern w:val="2"/>
          <w:sz w:val="24"/>
          <w:lang w:val="en-US"/>
        </w:rPr>
        <w:t>驻场工程师人员变更必须得到医院书面同意，否则视为</w:t>
      </w:r>
      <w:r>
        <w:rPr>
          <w:rFonts w:hint="eastAsia" w:ascii="宋体" w:hAnsi="宋体" w:eastAsia="宋体" w:cs="宋体"/>
          <w:color w:val="auto"/>
          <w:kern w:val="2"/>
          <w:sz w:val="24"/>
          <w:lang w:val="en-US"/>
        </w:rPr>
        <w:t>投标方</w:t>
      </w:r>
      <w:r>
        <w:rPr>
          <w:rFonts w:ascii="宋体" w:hAnsi="宋体" w:eastAsia="宋体" w:cs="宋体"/>
          <w:color w:val="auto"/>
          <w:kern w:val="2"/>
          <w:sz w:val="24"/>
          <w:lang w:val="en-US"/>
        </w:rPr>
        <w:t>违约，</w:t>
      </w:r>
      <w:r>
        <w:rPr>
          <w:rFonts w:hint="eastAsia" w:ascii="宋体" w:hAnsi="宋体" w:eastAsia="宋体" w:cs="宋体"/>
          <w:color w:val="auto"/>
          <w:kern w:val="2"/>
          <w:sz w:val="24"/>
          <w:lang w:val="en-US"/>
        </w:rPr>
        <w:t>采购方</w:t>
      </w:r>
      <w:r>
        <w:rPr>
          <w:rFonts w:ascii="宋体" w:hAnsi="宋体" w:eastAsia="宋体" w:cs="宋体"/>
          <w:color w:val="auto"/>
          <w:kern w:val="2"/>
          <w:sz w:val="24"/>
          <w:lang w:val="en-US"/>
        </w:rPr>
        <w:t>有权按500</w:t>
      </w:r>
      <w:r>
        <w:rPr>
          <w:rFonts w:hint="eastAsia" w:ascii="宋体" w:hAnsi="宋体" w:eastAsia="宋体" w:cs="宋体"/>
          <w:color w:val="auto"/>
          <w:kern w:val="2"/>
          <w:sz w:val="24"/>
          <w:lang w:val="en-US"/>
        </w:rPr>
        <w:t>0</w:t>
      </w:r>
      <w:r>
        <w:rPr>
          <w:rFonts w:ascii="宋体" w:hAnsi="宋体" w:eastAsia="宋体" w:cs="宋体"/>
          <w:color w:val="auto"/>
          <w:kern w:val="2"/>
          <w:sz w:val="24"/>
          <w:lang w:val="en-US"/>
        </w:rPr>
        <w:t>元/人/次从合同总款中扣除</w:t>
      </w:r>
      <w:r>
        <w:rPr>
          <w:rFonts w:hint="eastAsia" w:ascii="宋体" w:hAnsi="宋体" w:eastAsia="宋体" w:cs="宋体"/>
          <w:color w:val="auto"/>
          <w:kern w:val="2"/>
          <w:sz w:val="24"/>
          <w:lang w:val="en-US"/>
        </w:rPr>
        <w:t>。</w:t>
      </w:r>
    </w:p>
    <w:p w14:paraId="58CDFC34">
      <w:pPr>
        <w:pStyle w:val="2"/>
        <w:spacing w:after="0" w:line="312" w:lineRule="auto"/>
        <w:ind w:firstLine="420"/>
        <w:rPr>
          <w:rFonts w:ascii="宋体" w:hAnsi="宋体" w:eastAsia="宋体" w:cs="宋体"/>
          <w:color w:val="auto"/>
          <w:sz w:val="24"/>
          <w:lang w:val="en-US"/>
        </w:rPr>
      </w:pPr>
      <w:r>
        <w:rPr>
          <w:rFonts w:hint="eastAsia" w:ascii="宋体" w:hAnsi="宋体" w:eastAsia="宋体" w:cs="宋体"/>
          <w:color w:val="auto"/>
          <w:sz w:val="24"/>
          <w:lang w:val="en-US"/>
        </w:rPr>
        <w:t>6.11如合同投标方非软件提供商，软件提供商需承担连带责任，即本技术参数中对投标方的所有约束要求、违约条件均等同于对软件提供商的要求，采购方在追究投标方违约责任的同时可以同步追究软件提供商同等责任，投标方在投标时必须提供软件提供商的售后服务承诺书原件（须加盖软件提供商公章）。</w:t>
      </w:r>
    </w:p>
    <w:bookmarkEnd w:id="1"/>
    <w:p w14:paraId="5BDDFFCF">
      <w:pPr>
        <w:pStyle w:val="2"/>
        <w:spacing w:after="0" w:line="312" w:lineRule="auto"/>
        <w:rPr>
          <w:rFonts w:ascii="宋体" w:hAnsi="宋体" w:eastAsia="宋体" w:cs="宋体"/>
          <w:b/>
          <w:bCs/>
          <w:sz w:val="28"/>
          <w:lang w:val="en-US"/>
        </w:rPr>
      </w:pPr>
      <w:bookmarkStart w:id="2" w:name="_Toc507405799"/>
      <w:bookmarkStart w:id="3" w:name="_Toc507405800"/>
      <w:r>
        <w:rPr>
          <w:rFonts w:hint="eastAsia" w:ascii="宋体" w:hAnsi="宋体" w:eastAsia="宋体" w:cs="宋体"/>
          <w:b/>
          <w:bCs/>
          <w:sz w:val="28"/>
          <w:lang w:val="en-US"/>
        </w:rPr>
        <w:t>七、保密、廉洁协议</w:t>
      </w:r>
    </w:p>
    <w:p w14:paraId="4BEA13F4">
      <w:pPr>
        <w:spacing w:line="312" w:lineRule="auto"/>
        <w:ind w:firstLine="480" w:firstLineChars="200"/>
        <w:jc w:val="left"/>
        <w:rPr>
          <w:rFonts w:ascii="宋体" w:hAnsi="宋体" w:eastAsia="宋体" w:cs="宋体"/>
          <w:sz w:val="24"/>
          <w:szCs w:val="24"/>
        </w:rPr>
      </w:pPr>
      <w:r>
        <w:rPr>
          <w:rFonts w:hint="eastAsia" w:ascii="宋体" w:hAnsi="宋体" w:eastAsia="宋体" w:cs="宋体"/>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5B7D7FD5">
      <w:pPr>
        <w:spacing w:line="312" w:lineRule="auto"/>
        <w:ind w:firstLine="480" w:firstLineChars="200"/>
        <w:jc w:val="left"/>
        <w:rPr>
          <w:rFonts w:ascii="宋体" w:hAnsi="宋体" w:eastAsia="宋体" w:cs="宋体"/>
          <w:sz w:val="24"/>
          <w:szCs w:val="24"/>
        </w:rPr>
      </w:pPr>
      <w:r>
        <w:rPr>
          <w:rFonts w:hint="eastAsia" w:ascii="宋体" w:hAnsi="宋体" w:eastAsia="宋体" w:cs="宋体"/>
          <w:sz w:val="24"/>
          <w:szCs w:val="24"/>
        </w:rPr>
        <w:t>7.2 双方不得以任何方式向第三方泄露本项目的软件技术、设计方案以及功能配置等内容。</w:t>
      </w:r>
    </w:p>
    <w:p w14:paraId="5CBC353E">
      <w:pPr>
        <w:spacing w:line="312"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7.3不以任何方式向第三方泄露在本协议开发实施过程中获取的经济、技术、数据以及双方其他非公开的信息。</w:t>
      </w:r>
    </w:p>
    <w:p w14:paraId="03348753">
      <w:pPr>
        <w:spacing w:line="312"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7.4</w:t>
      </w:r>
      <w:r>
        <w:rPr>
          <w:rFonts w:hint="eastAsia" w:asciiTheme="minorEastAsia" w:hAnsiTheme="minorEastAsia" w:eastAsiaTheme="minorEastAsia" w:cstheme="minorEastAsia"/>
          <w:kern w:val="0"/>
          <w:sz w:val="24"/>
          <w:szCs w:val="24"/>
          <w:lang w:val="en-US" w:eastAsia="zh-CN" w:bidi="ar-SA"/>
        </w:rPr>
        <w:t>项目系统和数据存储均在</w:t>
      </w:r>
      <w:r>
        <w:rPr>
          <w:rFonts w:hint="eastAsia" w:asciiTheme="minorEastAsia" w:hAnsiTheme="minorEastAsia" w:eastAsiaTheme="minorEastAsia" w:cstheme="minorEastAsia"/>
          <w:sz w:val="24"/>
          <w:lang w:val="en-US"/>
        </w:rPr>
        <w:t>采购方</w:t>
      </w:r>
      <w:r>
        <w:rPr>
          <w:rFonts w:hint="eastAsia" w:asciiTheme="minorEastAsia" w:hAnsiTheme="minorEastAsia" w:eastAsiaTheme="minorEastAsia" w:cstheme="minorEastAsia"/>
          <w:kern w:val="0"/>
          <w:sz w:val="24"/>
          <w:szCs w:val="24"/>
          <w:lang w:val="en-US" w:eastAsia="zh-CN" w:bidi="ar-SA"/>
        </w:rPr>
        <w:t>服务器进行本地化部署</w:t>
      </w:r>
      <w:r>
        <w:rPr>
          <w:rFonts w:hint="eastAsia" w:asciiTheme="minorEastAsia" w:hAnsiTheme="minorEastAsia" w:cstheme="minorEastAsia"/>
          <w:kern w:val="0"/>
          <w:sz w:val="24"/>
          <w:szCs w:val="24"/>
          <w:lang w:val="en-US" w:eastAsia="zh-CN" w:bidi="ar-SA"/>
        </w:rPr>
        <w:t>，</w:t>
      </w:r>
      <w:r>
        <w:rPr>
          <w:rFonts w:hint="eastAsia" w:asciiTheme="minorEastAsia" w:hAnsiTheme="minorEastAsia" w:eastAsiaTheme="minorEastAsia" w:cstheme="minorEastAsia"/>
          <w:kern w:val="0"/>
          <w:sz w:val="24"/>
          <w:szCs w:val="24"/>
          <w:lang w:val="en-US" w:eastAsia="zh-CN" w:bidi="ar-SA"/>
        </w:rPr>
        <w:t>系统</w:t>
      </w:r>
      <w:r>
        <w:rPr>
          <w:rFonts w:hint="eastAsia" w:asciiTheme="minorEastAsia" w:hAnsiTheme="minorEastAsia" w:cstheme="minorEastAsia"/>
          <w:kern w:val="0"/>
          <w:sz w:val="24"/>
          <w:szCs w:val="24"/>
          <w:lang w:val="en-US" w:eastAsia="zh-CN" w:bidi="ar-SA"/>
        </w:rPr>
        <w:t>运行过程中产生的数据的所有权归采购方，投标方不得将其用于本项目以外的分析、训练或商业化用途。发生数据泄露、账号失控或其他安全事件时，投标方应立即控制风险并通知采购方，即发生数据泄露后1小时内书面通知采购方并提交事件报告，配合调查、恢复和依法开展后续处置。</w:t>
      </w:r>
    </w:p>
    <w:p w14:paraId="023F286E">
      <w:pPr>
        <w:spacing w:line="312" w:lineRule="auto"/>
        <w:ind w:firstLine="480" w:firstLineChars="200"/>
        <w:jc w:val="left"/>
        <w:rPr>
          <w:rFonts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 不从事商业贿赂行为，遵守廉洁协议或相关规定。采购方发现投标方有违反廉洁协议或相关规定采用不正当手段进行不正当竞争行为的，或被有关部门生效文书认定有行贿或者受贿行为的，采购方有权解除该业务合同，由此给采购方造成的损失以及发生的一切费用均由投标方承担，采购方有权对投标方实施商业贿赂不良记录，列入“黑名单”，并三年内取消其业务往来资格。</w:t>
      </w:r>
    </w:p>
    <w:p w14:paraId="6E420B72">
      <w:pPr>
        <w:spacing w:line="312" w:lineRule="auto"/>
        <w:ind w:firstLine="480" w:firstLineChars="200"/>
        <w:jc w:val="left"/>
        <w:rPr>
          <w:lang w:val="en-US"/>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rPr>
        <w:t>保密期限自本合同生效之日起永久有效，如投标方需解除保密协议需向采购方提出书面申请，双方协商同意签字确认后方可解除。</w:t>
      </w:r>
    </w:p>
    <w:p w14:paraId="1C53029E">
      <w:pPr>
        <w:pStyle w:val="2"/>
        <w:spacing w:after="0" w:line="312" w:lineRule="auto"/>
        <w:rPr>
          <w:rFonts w:ascii="宋体" w:hAnsi="宋体" w:eastAsia="宋体" w:cs="宋体"/>
          <w:b/>
          <w:bCs/>
          <w:sz w:val="28"/>
          <w:lang w:val="en-US"/>
        </w:rPr>
      </w:pPr>
      <w:r>
        <w:rPr>
          <w:rFonts w:hint="eastAsia" w:ascii="宋体" w:hAnsi="宋体" w:eastAsia="宋体" w:cs="宋体"/>
          <w:b/>
          <w:bCs/>
          <w:sz w:val="28"/>
          <w:lang w:val="en-US"/>
        </w:rPr>
        <w:t>八、报价</w:t>
      </w:r>
    </w:p>
    <w:p w14:paraId="74B18548">
      <w:pPr>
        <w:pStyle w:val="2"/>
        <w:spacing w:after="0" w:line="312" w:lineRule="auto"/>
        <w:ind w:firstLine="420"/>
        <w:rPr>
          <w:rFonts w:ascii="宋体" w:hAnsi="宋体" w:eastAsia="宋体" w:cs="宋体"/>
          <w:color w:val="auto"/>
          <w:sz w:val="24"/>
        </w:rPr>
      </w:pPr>
      <w:r>
        <w:rPr>
          <w:rFonts w:hint="eastAsia" w:ascii="宋体" w:hAnsi="宋体" w:eastAsia="宋体" w:cs="宋体"/>
          <w:color w:val="auto"/>
          <w:sz w:val="24"/>
          <w:lang w:val="en-US"/>
        </w:rPr>
        <w:t>8.1</w:t>
      </w:r>
      <w:r>
        <w:rPr>
          <w:rFonts w:hint="eastAsia" w:ascii="宋体" w:hAnsi="宋体" w:eastAsia="宋体" w:cs="宋体"/>
          <w:color w:val="auto"/>
          <w:sz w:val="24"/>
        </w:rPr>
        <w:t>竞标文件提供技术偏离表、服务偏离表，并标明详细的技术和服务内容。竞标文件按系统模块报价，报价表价格包含系统软硬件品牌、型号及费用；产品安装、调试实施、培训费用、产品升级费用；接口费（包括第三方厂家的接口费）等费用，以及明示所有责任、义务和一切风险。</w:t>
      </w:r>
    </w:p>
    <w:p w14:paraId="5C098861">
      <w:pPr>
        <w:pStyle w:val="2"/>
        <w:spacing w:after="0" w:line="312" w:lineRule="auto"/>
        <w:ind w:firstLine="420"/>
        <w:rPr>
          <w:rFonts w:ascii="宋体" w:hAnsi="宋体" w:eastAsia="宋体" w:cs="宋体"/>
          <w:color w:val="auto"/>
          <w:sz w:val="24"/>
        </w:rPr>
      </w:pPr>
      <w:r>
        <w:rPr>
          <w:rFonts w:hint="eastAsia" w:ascii="宋体" w:hAnsi="宋体" w:eastAsia="宋体" w:cs="宋体"/>
          <w:color w:val="auto"/>
          <w:sz w:val="24"/>
          <w:lang w:val="en-US"/>
        </w:rPr>
        <w:t>8.2</w:t>
      </w:r>
      <w:r>
        <w:rPr>
          <w:rFonts w:hint="eastAsia" w:ascii="宋体" w:hAnsi="宋体" w:eastAsia="宋体" w:cs="宋体"/>
          <w:color w:val="auto"/>
          <w:sz w:val="24"/>
        </w:rPr>
        <w:t>竞标文件需提供</w:t>
      </w:r>
      <w:r>
        <w:rPr>
          <w:rFonts w:hint="eastAsia" w:ascii="宋体" w:hAnsi="宋体" w:cs="宋体"/>
          <w:color w:val="auto"/>
          <w:sz w:val="24"/>
        </w:rPr>
        <w:t>维保期方案及报价</w:t>
      </w:r>
      <w:r>
        <w:rPr>
          <w:rFonts w:hint="eastAsia" w:ascii="宋体" w:hAnsi="宋体" w:eastAsia="宋体" w:cs="宋体"/>
          <w:color w:val="auto"/>
          <w:sz w:val="24"/>
        </w:rPr>
        <w:t>。</w:t>
      </w:r>
    </w:p>
    <w:p w14:paraId="59CD8891">
      <w:pPr>
        <w:pStyle w:val="2"/>
        <w:spacing w:after="0" w:line="312" w:lineRule="auto"/>
        <w:ind w:firstLine="420"/>
        <w:rPr>
          <w:rFonts w:ascii="宋体" w:hAnsi="宋体" w:eastAsia="宋体" w:cs="宋体"/>
          <w:color w:val="auto"/>
          <w:sz w:val="24"/>
        </w:rPr>
      </w:pPr>
      <w:r>
        <w:rPr>
          <w:rFonts w:hint="eastAsia" w:ascii="宋体" w:hAnsi="宋体" w:eastAsia="宋体" w:cs="宋体"/>
          <w:color w:val="auto"/>
          <w:sz w:val="24"/>
          <w:lang w:val="en-US"/>
        </w:rPr>
        <w:t>8.3</w:t>
      </w:r>
      <w:r>
        <w:rPr>
          <w:rFonts w:hint="eastAsia" w:ascii="宋体" w:hAnsi="宋体" w:eastAsia="宋体" w:cs="宋体"/>
          <w:color w:val="auto"/>
          <w:sz w:val="24"/>
        </w:rPr>
        <w:t>竞标文件需提供系统详细图文介绍。系统实施验收参照本技术文档及竞标文件提供的图文介绍为依据。</w:t>
      </w:r>
    </w:p>
    <w:p w14:paraId="3A0D15CE">
      <w:pPr>
        <w:spacing w:line="312" w:lineRule="auto"/>
        <w:ind w:firstLine="480" w:firstLineChars="200"/>
        <w:jc w:val="left"/>
        <w:rPr>
          <w:rFonts w:ascii="宋体" w:hAnsi="宋体" w:eastAsia="宋体" w:cs="宋体"/>
          <w:color w:val="auto"/>
          <w:sz w:val="24"/>
          <w:szCs w:val="24"/>
        </w:rPr>
      </w:pPr>
      <w:r>
        <w:rPr>
          <w:rFonts w:hint="eastAsia" w:ascii="宋体" w:hAnsi="宋体" w:eastAsia="宋体" w:cs="宋体"/>
          <w:color w:val="auto"/>
          <w:sz w:val="24"/>
          <w:szCs w:val="24"/>
        </w:rPr>
        <w:t>8.4如项目功能二次开发内容涉及采购方采购的第三方产品，请在标书内标明哪些功能的实现需要二次开发接口。</w:t>
      </w:r>
    </w:p>
    <w:p w14:paraId="46E7F633">
      <w:pPr>
        <w:pStyle w:val="3"/>
        <w:numPr>
          <w:ilvl w:val="0"/>
          <w:numId w:val="0"/>
        </w:numPr>
        <w:spacing w:before="0" w:after="0" w:line="312" w:lineRule="auto"/>
        <w:rPr>
          <w:rFonts w:ascii="宋体" w:hAnsi="宋体"/>
          <w:bCs w:val="0"/>
          <w:sz w:val="32"/>
          <w:szCs w:val="32"/>
        </w:rPr>
      </w:pPr>
      <w:r>
        <w:rPr>
          <w:rFonts w:hint="eastAsia" w:ascii="宋体" w:hAnsi="宋体"/>
          <w:bCs w:val="0"/>
          <w:sz w:val="32"/>
          <w:szCs w:val="32"/>
        </w:rPr>
        <w:t>九、付款方式</w:t>
      </w:r>
      <w:bookmarkEnd w:id="2"/>
    </w:p>
    <w:bookmarkEnd w:id="3"/>
    <w:p w14:paraId="3EF26CEC">
      <w:pPr>
        <w:pStyle w:val="10"/>
        <w:spacing w:line="360" w:lineRule="auto"/>
        <w:ind w:firstLine="614" w:firstLineChars="256"/>
        <w:rPr>
          <w:rFonts w:hint="eastAsia" w:ascii="宋体" w:hAnsi="宋体" w:eastAsia="宋体" w:cs="微软雅黑"/>
          <w:sz w:val="24"/>
          <w:szCs w:val="24"/>
        </w:rPr>
      </w:pPr>
      <w:r>
        <w:rPr>
          <w:rFonts w:hint="eastAsia" w:ascii="宋体" w:hAnsi="宋体" w:eastAsia="宋体" w:cs="微软雅黑"/>
          <w:sz w:val="24"/>
          <w:szCs w:val="24"/>
        </w:rPr>
        <w:t>双方签订合同后，乙方开具请款函和全额增值税普通发票，乙方向甲方缴纳合同总额5%的履约保证金，甲方收到乙方全额发票后支付合同总额100%的货款,项目验收之日起，</w:t>
      </w:r>
      <w:r>
        <w:rPr>
          <w:rFonts w:hint="eastAsia" w:ascii="宋体" w:hAnsi="宋体" w:eastAsia="宋体" w:cs="微软雅黑"/>
          <w:sz w:val="24"/>
          <w:szCs w:val="24"/>
          <w:lang w:val="en-US" w:eastAsia="zh-CN"/>
        </w:rPr>
        <w:t>两</w:t>
      </w:r>
      <w:r>
        <w:rPr>
          <w:rFonts w:hint="eastAsia" w:ascii="宋体" w:hAnsi="宋体" w:eastAsia="宋体" w:cs="微软雅黑"/>
          <w:sz w:val="24"/>
          <w:szCs w:val="24"/>
        </w:rPr>
        <w:t>年期满后，甲方向乙方退还合同总额5%的履约保证金(不计利息)。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3"/>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F"/>
    <w:rsid w:val="000E2410"/>
    <w:rsid w:val="001A11FC"/>
    <w:rsid w:val="001A1C12"/>
    <w:rsid w:val="002A29C0"/>
    <w:rsid w:val="00306E6E"/>
    <w:rsid w:val="003E62DF"/>
    <w:rsid w:val="00435C7C"/>
    <w:rsid w:val="00481560"/>
    <w:rsid w:val="00491534"/>
    <w:rsid w:val="004D3BA6"/>
    <w:rsid w:val="005D449A"/>
    <w:rsid w:val="006A3CAE"/>
    <w:rsid w:val="006C202C"/>
    <w:rsid w:val="00845941"/>
    <w:rsid w:val="008C322F"/>
    <w:rsid w:val="00960DBB"/>
    <w:rsid w:val="00A140D3"/>
    <w:rsid w:val="00B759E0"/>
    <w:rsid w:val="00D5380E"/>
    <w:rsid w:val="00DC1FBB"/>
    <w:rsid w:val="00E61AD4"/>
    <w:rsid w:val="00F13AA1"/>
    <w:rsid w:val="01414527"/>
    <w:rsid w:val="038608DA"/>
    <w:rsid w:val="04106E64"/>
    <w:rsid w:val="04394FFD"/>
    <w:rsid w:val="06DF14B2"/>
    <w:rsid w:val="072E01FC"/>
    <w:rsid w:val="07F925E5"/>
    <w:rsid w:val="08741252"/>
    <w:rsid w:val="09F42DD4"/>
    <w:rsid w:val="0A791D80"/>
    <w:rsid w:val="0B6E0EC6"/>
    <w:rsid w:val="0F2A1F3D"/>
    <w:rsid w:val="109B068D"/>
    <w:rsid w:val="12D1790A"/>
    <w:rsid w:val="14782DB8"/>
    <w:rsid w:val="14AF00BD"/>
    <w:rsid w:val="153D4F2B"/>
    <w:rsid w:val="156F586E"/>
    <w:rsid w:val="165C1DAE"/>
    <w:rsid w:val="16ED2D59"/>
    <w:rsid w:val="174D1CA9"/>
    <w:rsid w:val="17536FF6"/>
    <w:rsid w:val="17541870"/>
    <w:rsid w:val="19151124"/>
    <w:rsid w:val="1A251034"/>
    <w:rsid w:val="1AA944D3"/>
    <w:rsid w:val="1B5C436C"/>
    <w:rsid w:val="1B91509A"/>
    <w:rsid w:val="1D9262D5"/>
    <w:rsid w:val="20401102"/>
    <w:rsid w:val="208244B0"/>
    <w:rsid w:val="22293C01"/>
    <w:rsid w:val="224243ED"/>
    <w:rsid w:val="249D6AFE"/>
    <w:rsid w:val="24DA1462"/>
    <w:rsid w:val="251F0377"/>
    <w:rsid w:val="25D43FBF"/>
    <w:rsid w:val="26AA16D4"/>
    <w:rsid w:val="284C2F0D"/>
    <w:rsid w:val="290632D5"/>
    <w:rsid w:val="2B083E74"/>
    <w:rsid w:val="2C6E439E"/>
    <w:rsid w:val="2C8F073A"/>
    <w:rsid w:val="2CA67011"/>
    <w:rsid w:val="2E55261B"/>
    <w:rsid w:val="2F8135BA"/>
    <w:rsid w:val="31417BC7"/>
    <w:rsid w:val="34906983"/>
    <w:rsid w:val="34A02F04"/>
    <w:rsid w:val="34B94A38"/>
    <w:rsid w:val="367D4F11"/>
    <w:rsid w:val="37312A7C"/>
    <w:rsid w:val="395C56DE"/>
    <w:rsid w:val="3A6B617C"/>
    <w:rsid w:val="3A965B44"/>
    <w:rsid w:val="3B4F3BCB"/>
    <w:rsid w:val="3D655CAD"/>
    <w:rsid w:val="3DCF123E"/>
    <w:rsid w:val="3E3103B1"/>
    <w:rsid w:val="3F90337A"/>
    <w:rsid w:val="3FFE146B"/>
    <w:rsid w:val="41971DBD"/>
    <w:rsid w:val="42FB6870"/>
    <w:rsid w:val="43CC4B30"/>
    <w:rsid w:val="44511123"/>
    <w:rsid w:val="455A3219"/>
    <w:rsid w:val="457173F8"/>
    <w:rsid w:val="45DD2DB8"/>
    <w:rsid w:val="46374CC6"/>
    <w:rsid w:val="47FA24B7"/>
    <w:rsid w:val="480C0CC5"/>
    <w:rsid w:val="48946BC9"/>
    <w:rsid w:val="494E02E7"/>
    <w:rsid w:val="49C017DB"/>
    <w:rsid w:val="4BF413EA"/>
    <w:rsid w:val="4F640350"/>
    <w:rsid w:val="4FFF0191"/>
    <w:rsid w:val="507D710A"/>
    <w:rsid w:val="50844495"/>
    <w:rsid w:val="508670F0"/>
    <w:rsid w:val="50A873B9"/>
    <w:rsid w:val="51E20200"/>
    <w:rsid w:val="52C84CF5"/>
    <w:rsid w:val="530F2FAD"/>
    <w:rsid w:val="54361EC0"/>
    <w:rsid w:val="54E82BB7"/>
    <w:rsid w:val="55B43D13"/>
    <w:rsid w:val="562C3FA0"/>
    <w:rsid w:val="56864135"/>
    <w:rsid w:val="56CD30AE"/>
    <w:rsid w:val="585573E7"/>
    <w:rsid w:val="5A334C18"/>
    <w:rsid w:val="5C2974BB"/>
    <w:rsid w:val="5C4B79F0"/>
    <w:rsid w:val="5C6164F3"/>
    <w:rsid w:val="5ED12FB2"/>
    <w:rsid w:val="5EEF047E"/>
    <w:rsid w:val="602A28C3"/>
    <w:rsid w:val="606A2F3D"/>
    <w:rsid w:val="607B2E53"/>
    <w:rsid w:val="63EF6D4C"/>
    <w:rsid w:val="65EF576E"/>
    <w:rsid w:val="67234BE8"/>
    <w:rsid w:val="67C37F93"/>
    <w:rsid w:val="686C39B1"/>
    <w:rsid w:val="68B72934"/>
    <w:rsid w:val="69A9737D"/>
    <w:rsid w:val="6A5B6461"/>
    <w:rsid w:val="6B9E401E"/>
    <w:rsid w:val="6C1A6998"/>
    <w:rsid w:val="70716758"/>
    <w:rsid w:val="711C77D0"/>
    <w:rsid w:val="73051406"/>
    <w:rsid w:val="73F71B2F"/>
    <w:rsid w:val="7524075C"/>
    <w:rsid w:val="763A7E81"/>
    <w:rsid w:val="76C64F98"/>
    <w:rsid w:val="776F5621"/>
    <w:rsid w:val="77783D3E"/>
    <w:rsid w:val="79792DFF"/>
    <w:rsid w:val="7AB427B8"/>
    <w:rsid w:val="7ED45A9B"/>
    <w:rsid w:val="7F89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kern w:val="0"/>
      <w:sz w:val="20"/>
      <w:szCs w:val="24"/>
      <w:lang w:val="zh-CN"/>
    </w:rPr>
  </w:style>
  <w:style w:type="paragraph" w:styleId="4">
    <w:name w:val="Body Text Indent 2"/>
    <w:basedOn w:val="1"/>
    <w:qFormat/>
    <w:uiPriority w:val="0"/>
    <w:pPr>
      <w:ind w:firstLine="630"/>
    </w:pPr>
    <w:rPr>
      <w:sz w:val="32"/>
      <w:szCs w:val="20"/>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paragraph" w:customStyle="1" w:styleId="11">
    <w:name w:val="p15"/>
    <w:basedOn w:val="1"/>
    <w:qFormat/>
    <w:uiPriority w:val="0"/>
    <w:pPr>
      <w:widowControl/>
      <w:ind w:firstLine="420"/>
    </w:pPr>
    <w:rPr>
      <w:kern w:val="0"/>
      <w:szCs w:val="21"/>
    </w:rPr>
  </w:style>
  <w:style w:type="character" w:customStyle="1" w:styleId="12">
    <w:name w:val="页眉 字符"/>
    <w:basedOn w:val="9"/>
    <w:link w:val="6"/>
    <w:qFormat/>
    <w:uiPriority w:val="0"/>
    <w:rPr>
      <w:rFonts w:asciiTheme="minorHAnsi" w:hAnsiTheme="minorHAnsi" w:eastAsiaTheme="minorEastAsia" w:cstheme="minorBidi"/>
      <w:kern w:val="2"/>
      <w:sz w:val="18"/>
      <w:szCs w:val="18"/>
    </w:rPr>
  </w:style>
  <w:style w:type="character" w:customStyle="1" w:styleId="13">
    <w:name w:val="页脚 字符"/>
    <w:basedOn w:val="9"/>
    <w:link w:val="5"/>
    <w:qFormat/>
    <w:uiPriority w:val="0"/>
    <w:rPr>
      <w:rFonts w:asciiTheme="minorHAnsi" w:hAnsiTheme="minorHAnsi" w:eastAsiaTheme="minorEastAsia" w:cstheme="minorBidi"/>
      <w:kern w:val="2"/>
      <w:sz w:val="18"/>
      <w:szCs w:val="18"/>
    </w:rPr>
  </w:style>
  <w:style w:type="character" w:customStyle="1" w:styleId="14">
    <w:name w:val="font11"/>
    <w:basedOn w:val="9"/>
    <w:qFormat/>
    <w:uiPriority w:val="0"/>
    <w:rPr>
      <w:rFonts w:hint="eastAsia" w:ascii="宋体" w:hAnsi="宋体" w:eastAsia="宋体" w:cs="宋体"/>
      <w:color w:val="000000"/>
      <w:sz w:val="20"/>
      <w:szCs w:val="20"/>
      <w:u w:val="none"/>
    </w:rPr>
  </w:style>
  <w:style w:type="character" w:customStyle="1" w:styleId="15">
    <w:name w:val="font21"/>
    <w:basedOn w:val="9"/>
    <w:qFormat/>
    <w:uiPriority w:val="0"/>
    <w:rPr>
      <w:rFonts w:hint="eastAsia" w:ascii="宋体" w:hAnsi="宋体" w:eastAsia="宋体" w:cs="宋体"/>
      <w:color w:val="000000"/>
      <w:sz w:val="21"/>
      <w:szCs w:val="21"/>
      <w:u w:val="none"/>
    </w:rPr>
  </w:style>
  <w:style w:type="character" w:customStyle="1" w:styleId="16">
    <w:name w:val="font61"/>
    <w:basedOn w:val="9"/>
    <w:qFormat/>
    <w:uiPriority w:val="0"/>
    <w:rPr>
      <w:rFonts w:ascii="Arial" w:hAnsi="Arial" w:cs="Arial"/>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18</Pages>
  <Words>12248</Words>
  <Characters>12901</Characters>
  <Lines>32</Lines>
  <Paragraphs>9</Paragraphs>
  <TotalTime>1</TotalTime>
  <ScaleCrop>false</ScaleCrop>
  <LinksUpToDate>false</LinksUpToDate>
  <CharactersWithSpaces>12985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2021-09-14T03:36:00Z</dcterms:created>
  <dc:creator>LGYY-USER</dc:creator>
  <cp:lastModifiedBy>Administrator</cp:lastModifiedBy>
  <dcterms:modified xsi:type="dcterms:W3CDTF">2026-11-06T03:15:11Z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eyJoZGlkIjoiMzc0M2Y3YjJjMmI5MzYyOGEzNDBlNzM2ZjkzMGM5MjciLCJ1c2VySWQiOiIyNjgwODQ5NzUifQ==</vt:lpwstr>
  </property>
  <property fmtid="{D5CDD505-2E9C-101B-9397-08002B2CF9AE}" pid="4" name="ICV">
    <vt:lpwstr>6042B3FD550F40DDBE2F73065AEF25E0_12</vt:lpwstr>
  </property>
</Properties>
</file>