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33AAB">
      <w:pPr>
        <w:keepNext/>
        <w:keepLines/>
        <w:spacing w:line="312" w:lineRule="auto"/>
        <w:jc w:val="center"/>
        <w:rPr>
          <w:rFonts w:ascii="宋体" w:hAnsi="宋体" w:eastAsia="宋体" w:cs="微软雅黑"/>
          <w:b/>
          <w:bCs/>
          <w:color w:val="000000" w:themeColor="text1"/>
          <w:kern w:val="44"/>
          <w:sz w:val="30"/>
          <w:szCs w:val="30"/>
          <w:highlight w:val="none"/>
          <w14:textFill>
            <w14:solidFill>
              <w14:schemeClr w14:val="tx1"/>
            </w14:solidFill>
          </w14:textFill>
        </w:rPr>
      </w:pPr>
      <w:bookmarkStart w:id="0" w:name="_Toc344816509"/>
      <w:r>
        <w:rPr>
          <w:rFonts w:hint="eastAsia" w:ascii="宋体" w:hAnsi="宋体" w:eastAsia="宋体" w:cs="微软雅黑"/>
          <w:b/>
          <w:bCs/>
          <w:color w:val="000000" w:themeColor="text1"/>
          <w:kern w:val="44"/>
          <w:sz w:val="30"/>
          <w:szCs w:val="30"/>
          <w:highlight w:val="none"/>
          <w14:textFill>
            <w14:solidFill>
              <w14:schemeClr w14:val="tx1"/>
            </w14:solidFill>
          </w14:textFill>
        </w:rPr>
        <w:t>柳州市工人医院</w:t>
      </w:r>
      <w:bookmarkStart w:id="4" w:name="_GoBack"/>
      <w:r>
        <w:rPr>
          <w:rFonts w:hint="eastAsia" w:ascii="宋体" w:hAnsi="宋体" w:eastAsia="宋体" w:cs="微软雅黑"/>
          <w:b/>
          <w:bCs/>
          <w:color w:val="000000" w:themeColor="text1"/>
          <w:kern w:val="44"/>
          <w:sz w:val="30"/>
          <w:szCs w:val="30"/>
          <w:highlight w:val="none"/>
          <w14:textFill>
            <w14:solidFill>
              <w14:schemeClr w14:val="tx1"/>
            </w14:solidFill>
          </w14:textFill>
        </w:rPr>
        <w:t>区域影像中心管理系统</w:t>
      </w:r>
      <w:bookmarkEnd w:id="4"/>
      <w:r>
        <w:rPr>
          <w:rFonts w:hint="eastAsia" w:ascii="宋体" w:hAnsi="宋体" w:eastAsia="宋体" w:cs="微软雅黑"/>
          <w:b/>
          <w:bCs/>
          <w:color w:val="000000" w:themeColor="text1"/>
          <w:kern w:val="44"/>
          <w:sz w:val="30"/>
          <w:szCs w:val="30"/>
          <w:highlight w:val="none"/>
          <w14:textFill>
            <w14:solidFill>
              <w14:schemeClr w14:val="tx1"/>
            </w14:solidFill>
          </w14:textFill>
        </w:rPr>
        <w:t>技术参数要求</w:t>
      </w:r>
    </w:p>
    <w:p w14:paraId="60F5211A">
      <w:pPr>
        <w:keepNext/>
        <w:keepLines/>
        <w:spacing w:line="312" w:lineRule="auto"/>
        <w:ind w:left="420" w:leftChars="200"/>
        <w:jc w:val="left"/>
        <w:rPr>
          <w:rFonts w:ascii="宋体" w:hAnsi="宋体" w:eastAsia="宋体" w:cs="微软雅黑"/>
          <w:b/>
          <w:bCs/>
          <w:color w:val="000000" w:themeColor="text1"/>
          <w:kern w:val="44"/>
          <w:sz w:val="24"/>
          <w:szCs w:val="24"/>
          <w:highlight w:val="none"/>
          <w14:textFill>
            <w14:solidFill>
              <w14:schemeClr w14:val="tx1"/>
            </w14:solidFill>
          </w14:textFill>
        </w:rPr>
      </w:pPr>
    </w:p>
    <w:bookmarkEnd w:id="0"/>
    <w:p w14:paraId="64B7AE5F">
      <w:pPr>
        <w:pStyle w:val="14"/>
        <w:spacing w:line="312" w:lineRule="auto"/>
        <w:ind w:firstLine="0" w:firstLineChars="0"/>
        <w:rPr>
          <w:rFonts w:ascii="宋体" w:hAnsi="宋体" w:eastAsia="宋体"/>
          <w:b/>
          <w:color w:val="000000" w:themeColor="text1"/>
          <w:sz w:val="28"/>
          <w:szCs w:val="28"/>
          <w:highlight w:val="none"/>
          <w14:textFill>
            <w14:solidFill>
              <w14:schemeClr w14:val="tx1"/>
            </w14:solidFill>
          </w14:textFill>
        </w:rPr>
      </w:pPr>
      <w:r>
        <w:rPr>
          <w:rFonts w:hint="eastAsia" w:ascii="宋体" w:hAnsi="宋体" w:eastAsia="宋体"/>
          <w:b/>
          <w:color w:val="000000" w:themeColor="text1"/>
          <w:sz w:val="28"/>
          <w:szCs w:val="28"/>
          <w:highlight w:val="none"/>
          <w14:textFill>
            <w14:solidFill>
              <w14:schemeClr w14:val="tx1"/>
            </w14:solidFill>
          </w14:textFill>
        </w:rPr>
        <w:t>一、项目背景</w:t>
      </w:r>
    </w:p>
    <w:p w14:paraId="48C2924B">
      <w:pPr>
        <w:pStyle w:val="4"/>
        <w:spacing w:after="0" w:line="312" w:lineRule="auto"/>
        <w:ind w:firstLine="420"/>
        <w:rPr>
          <w:rFonts w:ascii="宋体" w:hAnsi="宋体" w:eastAsia="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随着我国医疗卫生体制改革的深入推进，分级诊疗和医联体建设成为优化医疗资源配置、提升基层医疗服务能力的重要举措。然而，在实际运行中，我院与基层医疗机构仍面临影像检查数据共享不足、协同诊断能力薄弱等问题，为有效利用我院医疗资源、解决基层医院诊断能力不足、同时能安全管理影像数据，现需要建设一套总院和各基层医疗单位之间的医联体影像信息系统。</w:t>
      </w:r>
    </w:p>
    <w:p w14:paraId="166E8A24">
      <w:pPr>
        <w:pStyle w:val="14"/>
        <w:numPr>
          <w:ilvl w:val="0"/>
          <w:numId w:val="3"/>
        </w:numPr>
        <w:spacing w:line="312" w:lineRule="auto"/>
        <w:ind w:firstLine="0" w:firstLineChars="0"/>
        <w:rPr>
          <w:rFonts w:ascii="宋体" w:hAnsi="宋体" w:eastAsia="宋体"/>
          <w:b/>
          <w:color w:val="000000" w:themeColor="text1"/>
          <w:sz w:val="28"/>
          <w:szCs w:val="28"/>
          <w:highlight w:val="none"/>
          <w14:textFill>
            <w14:solidFill>
              <w14:schemeClr w14:val="tx1"/>
            </w14:solidFill>
          </w14:textFill>
        </w:rPr>
      </w:pPr>
      <w:r>
        <w:rPr>
          <w:rFonts w:hint="eastAsia" w:ascii="宋体" w:hAnsi="宋体" w:eastAsia="宋体"/>
          <w:b/>
          <w:color w:val="000000" w:themeColor="text1"/>
          <w:sz w:val="28"/>
          <w:szCs w:val="28"/>
          <w:highlight w:val="none"/>
          <w14:textFill>
            <w14:solidFill>
              <w14:schemeClr w14:val="tx1"/>
            </w14:solidFill>
          </w14:textFill>
        </w:rPr>
        <w:t>项目建设内容及要求</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2"/>
        <w:gridCol w:w="7969"/>
      </w:tblGrid>
      <w:tr w14:paraId="3C97C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7A7A420F">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w:t>
            </w:r>
          </w:p>
        </w:tc>
        <w:tc>
          <w:tcPr>
            <w:tcW w:w="7969" w:type="dxa"/>
          </w:tcPr>
          <w:p w14:paraId="23811EEB">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工作流程管理实现自动的、可配置的、基于规则的管理。</w:t>
            </w:r>
          </w:p>
        </w:tc>
      </w:tr>
      <w:tr w14:paraId="3A15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60163625">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p>
        </w:tc>
        <w:tc>
          <w:tcPr>
            <w:tcW w:w="7969" w:type="dxa"/>
          </w:tcPr>
          <w:p w14:paraId="4D360746">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支持全面的DICOM影像类型，包括CT、MR、CR、DR、RF、MG、DF、SC、DSA、NM、PET、ECG等。</w:t>
            </w:r>
          </w:p>
        </w:tc>
      </w:tr>
      <w:tr w14:paraId="68F9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1BC73809">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p>
        </w:tc>
        <w:tc>
          <w:tcPr>
            <w:tcW w:w="7969" w:type="dxa"/>
          </w:tcPr>
          <w:p w14:paraId="58475FEF">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系统服务器软件提供DICOM Storage SCU/SCP SOP Class，可直接接收符合DICOM 3.0标准的影像数据。</w:t>
            </w:r>
          </w:p>
        </w:tc>
      </w:tr>
      <w:tr w14:paraId="778C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012D4557">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4</w:t>
            </w:r>
          </w:p>
        </w:tc>
        <w:tc>
          <w:tcPr>
            <w:tcW w:w="7969" w:type="dxa"/>
          </w:tcPr>
          <w:p w14:paraId="7CD54C37">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提供DICOM Patient/Study Root Find/Move的SOP Class，支持根据患者姓名、检查设备、检查部位、影像号、检查时间等条件查询与调阅影像。</w:t>
            </w:r>
          </w:p>
        </w:tc>
      </w:tr>
      <w:tr w14:paraId="1DCA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04ED019B">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5</w:t>
            </w:r>
          </w:p>
        </w:tc>
        <w:tc>
          <w:tcPr>
            <w:tcW w:w="7969" w:type="dxa"/>
          </w:tcPr>
          <w:p w14:paraId="42C5224F">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可同时接收多个影像传输任务，支持多个用户对同一影像数据的并发调阅请求。</w:t>
            </w:r>
          </w:p>
        </w:tc>
      </w:tr>
      <w:tr w14:paraId="2F29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56D354AF">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6</w:t>
            </w:r>
          </w:p>
        </w:tc>
        <w:tc>
          <w:tcPr>
            <w:tcW w:w="7969" w:type="dxa"/>
          </w:tcPr>
          <w:p w14:paraId="69748D1D">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支持影像预取和影像自动路由。</w:t>
            </w:r>
          </w:p>
        </w:tc>
      </w:tr>
      <w:tr w14:paraId="423B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1694B2DD">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w:t>
            </w:r>
          </w:p>
        </w:tc>
        <w:tc>
          <w:tcPr>
            <w:tcW w:w="7969" w:type="dxa"/>
          </w:tcPr>
          <w:p w14:paraId="49631C96">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采用集中式数据库及独立的集中式和分布式影像存储管理机制，记录影像存储位置。</w:t>
            </w:r>
          </w:p>
        </w:tc>
      </w:tr>
      <w:tr w14:paraId="267D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0B5D5B50">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8</w:t>
            </w:r>
          </w:p>
        </w:tc>
        <w:tc>
          <w:tcPr>
            <w:tcW w:w="7969" w:type="dxa"/>
          </w:tcPr>
          <w:p w14:paraId="6A130874">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数据库自动记录患者及检查信息、影像属性资料、系统参数及用户个性化设置。</w:t>
            </w:r>
          </w:p>
        </w:tc>
      </w:tr>
      <w:tr w14:paraId="02AC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3A099551">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9</w:t>
            </w:r>
          </w:p>
        </w:tc>
        <w:tc>
          <w:tcPr>
            <w:tcW w:w="7969" w:type="dxa"/>
          </w:tcPr>
          <w:p w14:paraId="73F3D17C">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提供影像存档、调阅、传输等操作日志及相应分析工具。</w:t>
            </w:r>
          </w:p>
        </w:tc>
      </w:tr>
      <w:tr w14:paraId="0A43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2" w:type="dxa"/>
            <w:shd w:val="clear" w:color="auto" w:fill="auto"/>
            <w:vAlign w:val="top"/>
          </w:tcPr>
          <w:p w14:paraId="6E82F6DD">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10</w:t>
            </w:r>
          </w:p>
        </w:tc>
        <w:tc>
          <w:tcPr>
            <w:tcW w:w="7969" w:type="dxa"/>
          </w:tcPr>
          <w:p w14:paraId="79C27A69">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支持DICOM JPEG有损及无损压缩算法的传输和存储。</w:t>
            </w:r>
          </w:p>
        </w:tc>
      </w:tr>
      <w:tr w14:paraId="234F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604BFEA3">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11</w:t>
            </w:r>
          </w:p>
        </w:tc>
        <w:tc>
          <w:tcPr>
            <w:tcW w:w="7969" w:type="dxa"/>
          </w:tcPr>
          <w:p w14:paraId="05954B48">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支持影像设备的在线动态添加和管理，无需停止服务即可配置DICOM参数。</w:t>
            </w:r>
          </w:p>
        </w:tc>
      </w:tr>
      <w:tr w14:paraId="33A7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45D561F9">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12</w:t>
            </w:r>
          </w:p>
        </w:tc>
        <w:tc>
          <w:tcPr>
            <w:tcW w:w="7969" w:type="dxa"/>
          </w:tcPr>
          <w:p w14:paraId="6A20B62C">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支持数据库维护、备份和恢复。</w:t>
            </w:r>
          </w:p>
        </w:tc>
      </w:tr>
      <w:tr w14:paraId="3115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539E0183">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13</w:t>
            </w:r>
          </w:p>
        </w:tc>
        <w:tc>
          <w:tcPr>
            <w:tcW w:w="7969" w:type="dxa"/>
          </w:tcPr>
          <w:p w14:paraId="45D42FC4">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提供安全的远程维护和管理机制。</w:t>
            </w:r>
          </w:p>
        </w:tc>
      </w:tr>
      <w:tr w14:paraId="6BF6F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0935DE2D">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14</w:t>
            </w:r>
          </w:p>
        </w:tc>
        <w:tc>
          <w:tcPr>
            <w:tcW w:w="7969" w:type="dxa"/>
          </w:tcPr>
          <w:p w14:paraId="14540168">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支持基于Web的系统账户管理，包括用户、用户组及权限管理。</w:t>
            </w:r>
          </w:p>
        </w:tc>
      </w:tr>
      <w:tr w14:paraId="752B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119A0CAB">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15</w:t>
            </w:r>
          </w:p>
        </w:tc>
        <w:tc>
          <w:tcPr>
            <w:tcW w:w="7969" w:type="dxa"/>
          </w:tcPr>
          <w:p w14:paraId="06C7D085">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系统管理员权限由服务器统一管理，支持授权用户通过终端登录管理系统。</w:t>
            </w:r>
          </w:p>
        </w:tc>
      </w:tr>
      <w:tr w14:paraId="05A6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5C32B889">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16</w:t>
            </w:r>
          </w:p>
        </w:tc>
        <w:tc>
          <w:tcPr>
            <w:tcW w:w="7969" w:type="dxa"/>
          </w:tcPr>
          <w:p w14:paraId="68790AB0">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支持患者信息纠正及同一患者影像归并。</w:t>
            </w:r>
          </w:p>
        </w:tc>
      </w:tr>
      <w:tr w14:paraId="5B580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2FD0C724">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17</w:t>
            </w:r>
          </w:p>
        </w:tc>
        <w:tc>
          <w:tcPr>
            <w:tcW w:w="7969" w:type="dxa"/>
          </w:tcPr>
          <w:p w14:paraId="14C2C4D0">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支持基于用户角色的影像分发和访问权限管理。</w:t>
            </w:r>
          </w:p>
        </w:tc>
      </w:tr>
      <w:tr w14:paraId="0ED0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6E5A1F91">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18</w:t>
            </w:r>
          </w:p>
        </w:tc>
        <w:tc>
          <w:tcPr>
            <w:tcW w:w="7969" w:type="dxa"/>
          </w:tcPr>
          <w:p w14:paraId="7257366B">
            <w:pPr>
              <w:pStyle w:val="14"/>
              <w:tabs>
                <w:tab w:val="left" w:pos="220"/>
              </w:tabs>
              <w:snapToGrid w:val="0"/>
              <w:ind w:left="200" w:hanging="20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具有严格的用户分级数据访问安全管理机制。</w:t>
            </w:r>
          </w:p>
        </w:tc>
      </w:tr>
      <w:tr w14:paraId="0EBD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542" w:type="dxa"/>
            <w:shd w:val="clear" w:color="auto" w:fill="auto"/>
            <w:vAlign w:val="top"/>
          </w:tcPr>
          <w:p w14:paraId="0BF1D5E3">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19</w:t>
            </w:r>
          </w:p>
        </w:tc>
        <w:tc>
          <w:tcPr>
            <w:tcW w:w="7969" w:type="dxa"/>
          </w:tcPr>
          <w:p w14:paraId="1EE4EBEE">
            <w:pPr>
              <w:pStyle w:val="14"/>
              <w:tabs>
                <w:tab w:val="left" w:pos="220"/>
              </w:tabs>
              <w:snapToGrid w:val="0"/>
              <w:ind w:firstLine="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支持向第三方系统发送DICOM影像。</w:t>
            </w:r>
          </w:p>
        </w:tc>
      </w:tr>
      <w:tr w14:paraId="5689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3F4E7995">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20</w:t>
            </w:r>
          </w:p>
        </w:tc>
        <w:tc>
          <w:tcPr>
            <w:tcW w:w="7969" w:type="dxa"/>
          </w:tcPr>
          <w:p w14:paraId="7952FAAE">
            <w:pPr>
              <w:pStyle w:val="14"/>
              <w:tabs>
                <w:tab w:val="left" w:pos="220"/>
              </w:tabs>
              <w:snapToGrid w:val="0"/>
              <w:ind w:firstLine="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支持与区域影像平台对接，接收区域影像平台通过DICOM Storage协议上传的医学影像数据。</w:t>
            </w:r>
          </w:p>
        </w:tc>
      </w:tr>
      <w:tr w14:paraId="35C5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shd w:val="clear" w:color="auto" w:fill="auto"/>
            <w:vAlign w:val="top"/>
          </w:tcPr>
          <w:p w14:paraId="71E32B05">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21</w:t>
            </w:r>
          </w:p>
        </w:tc>
        <w:tc>
          <w:tcPr>
            <w:tcW w:w="7969" w:type="dxa"/>
          </w:tcPr>
          <w:p w14:paraId="1B4B447E">
            <w:pPr>
              <w:pStyle w:val="14"/>
              <w:tabs>
                <w:tab w:val="left" w:pos="220"/>
              </w:tabs>
              <w:snapToGrid w:val="0"/>
              <w:ind w:firstLine="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支持通过SOAP/Web Service等接口接收区域影像平台上传的患者登记、检查信息，并与已接收的DICOM影像建立关联。</w:t>
            </w:r>
          </w:p>
        </w:tc>
      </w:tr>
      <w:tr w14:paraId="2827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Align w:val="top"/>
          </w:tcPr>
          <w:p w14:paraId="7657395A">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22</w:t>
            </w:r>
          </w:p>
        </w:tc>
        <w:tc>
          <w:tcPr>
            <w:tcW w:w="7969" w:type="dxa"/>
          </w:tcPr>
          <w:p w14:paraId="11AFD637">
            <w:pPr>
              <w:pStyle w:val="14"/>
              <w:tabs>
                <w:tab w:val="left" w:pos="220"/>
              </w:tabs>
              <w:snapToGrid w:val="0"/>
              <w:ind w:firstLine="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★支持与柳州市工人医院现有PACS/RIS系统集成，将远程检查的影像、患者及检查信息同步至院内现有系统。</w:t>
            </w:r>
          </w:p>
        </w:tc>
      </w:tr>
      <w:tr w14:paraId="3C9F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Align w:val="top"/>
          </w:tcPr>
          <w:p w14:paraId="0D8371D9">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23</w:t>
            </w:r>
          </w:p>
        </w:tc>
        <w:tc>
          <w:tcPr>
            <w:tcW w:w="7969" w:type="dxa"/>
          </w:tcPr>
          <w:p w14:paraId="3639FC21">
            <w:pPr>
              <w:pStyle w:val="14"/>
              <w:tabs>
                <w:tab w:val="left" w:pos="220"/>
              </w:tabs>
              <w:snapToGrid w:val="0"/>
              <w:ind w:firstLine="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★支持远程检查进入院内现有RIS工作列表，医生可使用现有PACS/RIS客户端完成远程检查的影像诊断、报告书写及审核，无需切换至独立的远程会诊系统。</w:t>
            </w:r>
          </w:p>
        </w:tc>
      </w:tr>
      <w:tr w14:paraId="5DAE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Align w:val="top"/>
          </w:tcPr>
          <w:p w14:paraId="41D47F51">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24</w:t>
            </w:r>
          </w:p>
        </w:tc>
        <w:tc>
          <w:tcPr>
            <w:tcW w:w="7969" w:type="dxa"/>
          </w:tcPr>
          <w:p w14:paraId="3D89D056">
            <w:pPr>
              <w:pStyle w:val="14"/>
              <w:tabs>
                <w:tab w:val="left" w:pos="220"/>
              </w:tabs>
              <w:snapToGrid w:val="0"/>
              <w:ind w:firstLine="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★支持将院内RIS系统审核完成的诊断报告，通过前置网关回传至区域影像平台。</w:t>
            </w:r>
          </w:p>
        </w:tc>
      </w:tr>
      <w:tr w14:paraId="7124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Align w:val="top"/>
          </w:tcPr>
          <w:p w14:paraId="10118007">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25</w:t>
            </w:r>
          </w:p>
        </w:tc>
        <w:tc>
          <w:tcPr>
            <w:tcW w:w="7969" w:type="dxa"/>
          </w:tcPr>
          <w:p w14:paraId="3C1AA9A4">
            <w:pPr>
              <w:pStyle w:val="14"/>
              <w:tabs>
                <w:tab w:val="left" w:pos="220"/>
              </w:tabs>
              <w:snapToGrid w:val="0"/>
              <w:ind w:firstLine="0" w:firstLineChars="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支持影像传输、检查信息同步及报告回传的状态记录、日志查询和异常处理。</w:t>
            </w:r>
          </w:p>
        </w:tc>
      </w:tr>
      <w:tr w14:paraId="1175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 w:type="dxa"/>
            <w:vAlign w:val="top"/>
          </w:tcPr>
          <w:p w14:paraId="03D2324D">
            <w:pPr>
              <w:pStyle w:val="14"/>
              <w:spacing w:line="312" w:lineRule="auto"/>
              <w:ind w:firstLine="0" w:firstLineChars="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26</w:t>
            </w:r>
          </w:p>
        </w:tc>
        <w:tc>
          <w:tcPr>
            <w:tcW w:w="7969" w:type="dxa"/>
          </w:tcPr>
          <w:p w14:paraId="564C1101">
            <w:pP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合约期间乙方承诺对接医联体单位</w:t>
            </w:r>
            <w:r>
              <w:rPr>
                <w:rFonts w:hint="eastAsia" w:ascii="宋体" w:hAnsi="宋体" w:eastAsia="宋体" w:cs="宋体"/>
                <w:color w:val="000000" w:themeColor="text1"/>
                <w:sz w:val="24"/>
                <w:highlight w:val="none"/>
                <w14:textFill>
                  <w14:solidFill>
                    <w14:schemeClr w14:val="tx1"/>
                  </w14:solidFill>
                </w14:textFill>
              </w:rPr>
              <w:t>不少于10</w:t>
            </w:r>
            <w:r>
              <w:rPr>
                <w:rFonts w:hint="eastAsia" w:ascii="宋体" w:hAnsi="宋体" w:eastAsia="宋体" w:cs="宋体"/>
                <w:color w:val="000000" w:themeColor="text1"/>
                <w:sz w:val="24"/>
                <w:highlight w:val="none"/>
                <w14:textFill>
                  <w14:solidFill>
                    <w14:schemeClr w14:val="tx1"/>
                  </w14:solidFill>
                </w14:textFill>
              </w:rPr>
              <w:t>家，如天马、箭盘山、鹅山、五里亭、花岭、阳和社区卫生服务中心等。</w:t>
            </w:r>
          </w:p>
        </w:tc>
      </w:tr>
    </w:tbl>
    <w:p w14:paraId="27CD7206">
      <w:pPr>
        <w:pStyle w:val="4"/>
        <w:spacing w:after="0" w:line="312" w:lineRule="auto"/>
        <w:rPr>
          <w:rFonts w:ascii="宋体" w:hAnsi="宋体" w:eastAsia="宋体" w:cs="宋体"/>
          <w:b/>
          <w:bCs/>
          <w:color w:val="000000" w:themeColor="text1"/>
          <w:sz w:val="28"/>
          <w:highlight w:val="none"/>
          <w:lang w:val="en-US"/>
          <w14:textFill>
            <w14:solidFill>
              <w14:schemeClr w14:val="tx1"/>
            </w14:solidFill>
          </w14:textFill>
        </w:rPr>
      </w:pPr>
      <w:r>
        <w:rPr>
          <w:rFonts w:hint="eastAsia" w:ascii="宋体" w:hAnsi="宋体" w:eastAsia="宋体" w:cs="宋体"/>
          <w:b/>
          <w:bCs/>
          <w:color w:val="000000" w:themeColor="text1"/>
          <w:sz w:val="28"/>
          <w:highlight w:val="none"/>
          <w:lang w:val="en-US"/>
          <w14:textFill>
            <w14:solidFill>
              <w14:schemeClr w14:val="tx1"/>
            </w14:solidFill>
          </w14:textFill>
        </w:rPr>
        <w:t>三、对接口及系统改造的要求</w:t>
      </w:r>
    </w:p>
    <w:p w14:paraId="06C31630">
      <w:pPr>
        <w:spacing w:line="312" w:lineRule="auto"/>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eastAsia="宋体" w:cs="宋体"/>
          <w:b/>
          <w:bCs/>
          <w:color w:val="000000" w:themeColor="text1"/>
          <w:sz w:val="24"/>
          <w:szCs w:val="24"/>
          <w:highlight w:val="none"/>
          <w14:textFill>
            <w14:solidFill>
              <w14:schemeClr w14:val="tx1"/>
            </w14:solidFill>
          </w14:textFill>
        </w:rPr>
        <w:t>质保期和维保期内免费实现以下要求：</w:t>
      </w:r>
    </w:p>
    <w:p w14:paraId="50B6D600">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3.1提供全面的接口技术，与第三方系统共享数据和功能，这些接口技术包括中间件技术接口、WEBSEVICE通用接口、数据库级接口、文件文本接口等。</w:t>
      </w:r>
    </w:p>
    <w:p w14:paraId="6DB69B0A">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3.2提供与医院第三方系统统一接口的维护与管理，与HIS、电子病历、LIS、PACS、心电系统、体检系统、集成平台、智慧运营平台、成本管理系统、财务管理系统、互联网医院、OA平台、自助服务平台、DRG管理、绩效管理、电子发票、短信平台、财务电子档案等其他所有医院相关业务系统（包括以上医院系统但不仅限于以上系统）进行免费接口对接，实现数据交换。</w:t>
      </w:r>
    </w:p>
    <w:p w14:paraId="594B3F00">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3.3满足医院电子病历系统功能应用水平分级评价达到6级以上评审、医院信息互联互通标准化成熟度测评达到五级乙等以上水平评审、信息系统安全等级保护三级测评、三甲医院评审、医院智慧服务分级评估标准体系达到4级以上相关的功能要求、医院智慧管理分级评估标准体系达到4级以上相关的功能要求、网络攻防演练中的安全防护要求以及医院其他需要评审的信息化技术改造服务要求；</w:t>
      </w:r>
    </w:p>
    <w:p w14:paraId="554D2595">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3.4提供软件免费升级及个性化修改服务，免费实现院方的个性化需求；软件自身错误类问题提供永久性免费修改服务；</w:t>
      </w:r>
    </w:p>
    <w:p w14:paraId="0BDB3663">
      <w:pPr>
        <w:pStyle w:val="14"/>
        <w:spacing w:line="360" w:lineRule="auto"/>
        <w:ind w:firstLineChars="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3.5免费提供医院新增业务信息系统的对接、免费实现医院上级管理部门要求的系统接口对接要求。</w:t>
      </w:r>
    </w:p>
    <w:p w14:paraId="2ECF2D15">
      <w:pPr>
        <w:pStyle w:val="14"/>
        <w:spacing w:line="360" w:lineRule="auto"/>
        <w:ind w:firstLineChars="0"/>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3.6若医院更换已对接的业务系统、乙方须免费提供与新业务系统的对接及联调服务。</w:t>
      </w:r>
    </w:p>
    <w:p w14:paraId="79A7D80F">
      <w:pPr>
        <w:pStyle w:val="2"/>
        <w:numPr>
          <w:ilvl w:val="0"/>
          <w:numId w:val="0"/>
        </w:numPr>
        <w:spacing w:before="0" w:after="0" w:line="312" w:lineRule="auto"/>
        <w:rPr>
          <w:rFonts w:ascii="宋体" w:hAnsi="宋体"/>
          <w:bCs w:val="0"/>
          <w:color w:val="000000" w:themeColor="text1"/>
          <w:sz w:val="32"/>
          <w:szCs w:val="32"/>
          <w:highlight w:val="none"/>
          <w14:textFill>
            <w14:solidFill>
              <w14:schemeClr w14:val="tx1"/>
            </w14:solidFill>
          </w14:textFill>
        </w:rPr>
      </w:pPr>
      <w:r>
        <w:rPr>
          <w:rFonts w:hint="eastAsia" w:ascii="宋体" w:hAnsi="宋体"/>
          <w:bCs w:val="0"/>
          <w:color w:val="000000" w:themeColor="text1"/>
          <w:sz w:val="32"/>
          <w:szCs w:val="32"/>
          <w:highlight w:val="none"/>
          <w14:textFill>
            <w14:solidFill>
              <w14:schemeClr w14:val="tx1"/>
            </w14:solidFill>
          </w14:textFill>
        </w:rPr>
        <w:t>四、项目实施要求</w:t>
      </w:r>
    </w:p>
    <w:p w14:paraId="16A4D536">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4.1驻场、实施工期要求：合同签订后，7个工作日内项目实施人员必须进场，系统需在</w:t>
      </w:r>
      <w:r>
        <w:rPr>
          <w:rFonts w:hint="eastAsia" w:ascii="宋体" w:hAnsi="宋体" w:eastAsia="宋体" w:cs="宋体"/>
          <w:color w:val="000000" w:themeColor="text1"/>
          <w:sz w:val="24"/>
          <w:highlight w:val="none"/>
          <w:lang w:val="en-US"/>
          <w14:textFill>
            <w14:solidFill>
              <w14:schemeClr w14:val="tx1"/>
            </w14:solidFill>
          </w14:textFill>
        </w:rPr>
        <w:t>6</w:t>
      </w:r>
      <w:r>
        <w:rPr>
          <w:rFonts w:hint="eastAsia" w:ascii="宋体" w:hAnsi="宋体" w:eastAsia="宋体" w:cs="宋体"/>
          <w:color w:val="000000" w:themeColor="text1"/>
          <w:sz w:val="24"/>
          <w:highlight w:val="none"/>
          <w:lang w:val="en-US"/>
          <w14:textFill>
            <w14:solidFill>
              <w14:schemeClr w14:val="tx1"/>
            </w14:solidFill>
          </w14:textFill>
        </w:rPr>
        <w:t>个月内完成项目实施上线，请分别列出每个系统实施的工作计划及周期。</w:t>
      </w:r>
    </w:p>
    <w:p w14:paraId="1215ECA7">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4.2驻场人员要求：</w:t>
      </w:r>
    </w:p>
    <w:p w14:paraId="05F10AB7">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实施工程师：项目驻场实施工程师需有2年以上本厂商同等项目实施经验。项目实施阶段，驻场实施工程师不得少于</w:t>
      </w:r>
      <w:r>
        <w:rPr>
          <w:rFonts w:hint="eastAsia" w:ascii="宋体" w:hAnsi="宋体" w:eastAsia="宋体" w:cs="宋体"/>
          <w:color w:val="000000" w:themeColor="text1"/>
          <w:sz w:val="24"/>
          <w:highlight w:val="none"/>
          <w:lang w:val="en-US"/>
          <w14:textFill>
            <w14:solidFill>
              <w14:schemeClr w14:val="tx1"/>
            </w14:solidFill>
          </w14:textFill>
        </w:rPr>
        <w:t>1</w:t>
      </w:r>
      <w:r>
        <w:rPr>
          <w:rFonts w:hint="eastAsia" w:ascii="宋体" w:hAnsi="宋体" w:eastAsia="宋体" w:cs="宋体"/>
          <w:color w:val="000000" w:themeColor="text1"/>
          <w:sz w:val="24"/>
          <w:highlight w:val="none"/>
          <w:lang w:val="en-US"/>
          <w14:textFill>
            <w14:solidFill>
              <w14:schemeClr w14:val="tx1"/>
            </w14:solidFill>
          </w14:textFill>
        </w:rPr>
        <w:t>名。</w:t>
      </w:r>
    </w:p>
    <w:p w14:paraId="52A23390">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开发工程师：项目驻场开发工程师需有2年以上本厂商同类型项目开发经验。项目实施和上线阶段，驻场开发工程师不得少于</w:t>
      </w:r>
      <w:r>
        <w:rPr>
          <w:rFonts w:hint="eastAsia" w:ascii="宋体" w:hAnsi="宋体" w:eastAsia="宋体" w:cs="宋体"/>
          <w:color w:val="000000" w:themeColor="text1"/>
          <w:sz w:val="24"/>
          <w:highlight w:val="none"/>
          <w:lang w:val="en-US"/>
          <w14:textFill>
            <w14:solidFill>
              <w14:schemeClr w14:val="tx1"/>
            </w14:solidFill>
          </w14:textFill>
        </w:rPr>
        <w:t>1</w:t>
      </w:r>
      <w:r>
        <w:rPr>
          <w:rFonts w:hint="eastAsia" w:ascii="宋体" w:hAnsi="宋体" w:eastAsia="宋体" w:cs="宋体"/>
          <w:color w:val="000000" w:themeColor="text1"/>
          <w:sz w:val="24"/>
          <w:highlight w:val="none"/>
          <w:lang w:val="en-US"/>
          <w14:textFill>
            <w14:solidFill>
              <w14:schemeClr w14:val="tx1"/>
            </w14:solidFill>
          </w14:textFill>
        </w:rPr>
        <w:t>名。如不能按项目阶段计划正常开展工作的，需向医院提交书面要求。</w:t>
      </w:r>
    </w:p>
    <w:p w14:paraId="52996999">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如需更换开发工程师、实施工程师，厂商需提交书面申请，经院方同意才可更换。</w:t>
      </w:r>
    </w:p>
    <w:p w14:paraId="12E6FB75">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竞标文件中需提供软件提供商项目驻场人员清单（含项目开发和项目实施人员），清单中标明驻场人员详细信息，如姓名、联系方式、技术职称等。</w:t>
      </w:r>
    </w:p>
    <w:p w14:paraId="5A43DD56">
      <w:pPr>
        <w:spacing w:line="312" w:lineRule="auto"/>
        <w:ind w:firstLine="480" w:firstLineChars="200"/>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4.3因厂商与院方存在对需求理解有差异的可能性，要求所有软件功能需求的响应以院方意见为准。</w:t>
      </w:r>
    </w:p>
    <w:p w14:paraId="64F34759">
      <w:pPr>
        <w:spacing w:line="312" w:lineRule="auto"/>
        <w:ind w:firstLine="480" w:firstLineChars="200"/>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4.4培训要求：</w:t>
      </w:r>
    </w:p>
    <w:p w14:paraId="06766D1B">
      <w:pPr>
        <w:spacing w:line="312" w:lineRule="auto"/>
        <w:ind w:firstLine="480" w:firstLineChars="200"/>
        <w:jc w:val="left"/>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培训应至少包括但不限于：软件系统的安装、部署、维护方法、系统的功能使用培训；</w:t>
      </w:r>
    </w:p>
    <w:p w14:paraId="6D83EA67">
      <w:pPr>
        <w:pStyle w:val="2"/>
        <w:numPr>
          <w:ilvl w:val="0"/>
          <w:numId w:val="0"/>
        </w:numPr>
        <w:spacing w:before="0" w:after="0" w:line="312" w:lineRule="auto"/>
        <w:rPr>
          <w:rFonts w:ascii="宋体" w:hAnsi="宋体"/>
          <w:bCs w:val="0"/>
          <w:color w:val="000000" w:themeColor="text1"/>
          <w:sz w:val="32"/>
          <w:szCs w:val="32"/>
          <w:highlight w:val="none"/>
          <w14:textFill>
            <w14:solidFill>
              <w14:schemeClr w14:val="tx1"/>
            </w14:solidFill>
          </w14:textFill>
        </w:rPr>
      </w:pPr>
      <w:r>
        <w:rPr>
          <w:rFonts w:hint="eastAsia" w:ascii="宋体" w:hAnsi="宋体"/>
          <w:bCs w:val="0"/>
          <w:color w:val="000000" w:themeColor="text1"/>
          <w:sz w:val="32"/>
          <w:szCs w:val="32"/>
          <w:highlight w:val="none"/>
          <w14:textFill>
            <w14:solidFill>
              <w14:schemeClr w14:val="tx1"/>
            </w14:solidFill>
          </w14:textFill>
        </w:rPr>
        <w:t>五、售后服务及其他要求</w:t>
      </w:r>
    </w:p>
    <w:p w14:paraId="357FFD30">
      <w:pPr>
        <w:spacing w:line="312" w:lineRule="auto"/>
        <w:ind w:firstLine="42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5.1自本项目整体验收之日起，所有产品要求提供</w:t>
      </w:r>
      <w:r>
        <w:rPr>
          <w:rFonts w:hint="eastAsia" w:ascii="宋体" w:hAnsi="宋体" w:cs="宋体"/>
          <w:color w:val="000000" w:themeColor="text1"/>
          <w:sz w:val="24"/>
          <w:szCs w:val="24"/>
          <w:highlight w:val="none"/>
          <w14:textFill>
            <w14:solidFill>
              <w14:schemeClr w14:val="tx1"/>
            </w14:solidFill>
          </w14:textFill>
        </w:rPr>
        <w:t>三年</w:t>
      </w:r>
      <w:r>
        <w:rPr>
          <w:rFonts w:hint="eastAsia" w:ascii="宋体" w:hAnsi="宋体" w:cs="宋体"/>
          <w:color w:val="000000" w:themeColor="text1"/>
          <w:sz w:val="24"/>
          <w:szCs w:val="24"/>
          <w:highlight w:val="none"/>
          <w14:textFill>
            <w14:solidFill>
              <w14:schemeClr w14:val="tx1"/>
            </w14:solidFill>
          </w14:textFill>
        </w:rPr>
        <w:t>的免费质保服务。含软件维护和系统软件升级、系统BUG及漏洞修复、技术支持服务、系统管理及操作培训服务，免费提供系统个性化修改需求。请详细说明售后服务的内容。</w:t>
      </w:r>
    </w:p>
    <w:p w14:paraId="077B3559">
      <w:pPr>
        <w:spacing w:line="312" w:lineRule="auto"/>
        <w:ind w:firstLine="42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5.2安装调试要求：安装调试、提供完善的软件系统使用中文操作手册、图纸、网络详细拓扑图、系统配置、功能配置、服务端配置及互联记录。</w:t>
      </w:r>
    </w:p>
    <w:p w14:paraId="399C40CE">
      <w:pPr>
        <w:spacing w:line="312" w:lineRule="auto"/>
        <w:ind w:firstLine="420"/>
        <w:jc w:val="left"/>
        <w:rPr>
          <w:rFonts w:hint="eastAsia" w:ascii="宋体" w:hAnsi="宋体" w:cs="宋体" w:eastAsiaTheme="minorEastAsia"/>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5.3原厂技术人员免费提供售后服务，含电话支持、现场响应、远程操作、网上客服中心等多种方式服务，应做到7×24小时全天候电话或微信等常用联系方式响应。</w:t>
      </w:r>
      <w:bookmarkStart w:id="1" w:name="_Toc507405798"/>
      <w:r>
        <w:rPr>
          <w:rFonts w:hint="eastAsia" w:ascii="宋体" w:hAnsi="宋体" w:cs="宋体"/>
          <w:color w:val="000000" w:themeColor="text1"/>
          <w:sz w:val="24"/>
          <w:szCs w:val="24"/>
          <w:highlight w:val="none"/>
          <w14:textFill>
            <w14:solidFill>
              <w14:schemeClr w14:val="tx1"/>
            </w14:solidFill>
          </w14:textFill>
        </w:rPr>
        <w:t>当出现故障时，接到故障通知后，原厂技术人员应在30分钟内响应，远程技术支持无法解决的，6小时内需到达现场处理修复，并调查分析事故原因</w:t>
      </w:r>
      <w:r>
        <w:rPr>
          <w:rFonts w:hint="eastAsia" w:ascii="宋体" w:hAnsi="宋体" w:cs="宋体"/>
          <w:color w:val="000000" w:themeColor="text1"/>
          <w:sz w:val="24"/>
          <w:szCs w:val="24"/>
          <w:highlight w:val="none"/>
          <w:lang w:eastAsia="zh-CN"/>
          <w14:textFill>
            <w14:solidFill>
              <w14:schemeClr w14:val="tx1"/>
            </w14:solidFill>
          </w14:textFill>
        </w:rPr>
        <w:t>。</w:t>
      </w:r>
    </w:p>
    <w:p w14:paraId="7BBBEE7E">
      <w:pPr>
        <w:spacing w:line="312" w:lineRule="auto"/>
        <w:ind w:firstLine="42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5.4</w:t>
      </w:r>
      <w:r>
        <w:rPr>
          <w:rFonts w:hint="eastAsia" w:ascii="宋体" w:hAnsi="宋体" w:cs="宋体"/>
          <w:color w:val="000000" w:themeColor="text1"/>
          <w:sz w:val="24"/>
          <w:szCs w:val="24"/>
          <w:highlight w:val="none"/>
          <w14:textFill>
            <w14:solidFill>
              <w14:schemeClr w14:val="tx1"/>
            </w14:solidFill>
          </w14:textFill>
        </w:rPr>
        <w:t>供应商提供原厂技术人员定期巡检服务，定期通过电话或其他方式访问用户，了解产品使用情况及网络安全情况，按院方要求巡检（国家法定节假日前巡检或按院方需求时间巡检），每季度巡检不得少于一次，并形成巡检报告（内容涉及此产品服务器\相关设备的运行情况）反馈给我院。</w:t>
      </w:r>
    </w:p>
    <w:p w14:paraId="63E700FD">
      <w:pPr>
        <w:pStyle w:val="14"/>
        <w:spacing w:line="360" w:lineRule="auto"/>
        <w:ind w:firstLineChars="0"/>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5.5</w:t>
      </w:r>
      <w:r>
        <w:rPr>
          <w:rFonts w:hint="eastAsia" w:ascii="宋体" w:hAnsi="宋体" w:eastAsia="宋体"/>
          <w:color w:val="000000" w:themeColor="text1"/>
          <w:sz w:val="24"/>
          <w:szCs w:val="24"/>
          <w:highlight w:val="none"/>
          <w14:textFill>
            <w14:solidFill>
              <w14:schemeClr w14:val="tx1"/>
            </w14:solidFill>
          </w14:textFill>
        </w:rPr>
        <w:t>同版本内</w:t>
      </w:r>
      <w:r>
        <w:rPr>
          <w:rFonts w:hint="eastAsia" w:ascii="宋体" w:hAnsi="宋体" w:eastAsia="宋体"/>
          <w:color w:val="000000" w:themeColor="text1"/>
          <w:sz w:val="24"/>
          <w:szCs w:val="24"/>
          <w:highlight w:val="none"/>
          <w14:textFill>
            <w14:solidFill>
              <w14:schemeClr w14:val="tx1"/>
            </w14:solidFill>
          </w14:textFill>
        </w:rPr>
        <w:t>免费系统改造，支持信创电脑和服务器。</w:t>
      </w:r>
    </w:p>
    <w:p w14:paraId="154E5016">
      <w:pPr>
        <w:pStyle w:val="4"/>
        <w:spacing w:after="0" w:line="312" w:lineRule="auto"/>
        <w:rPr>
          <w:rFonts w:ascii="宋体" w:hAnsi="宋体" w:eastAsia="宋体" w:cs="宋体"/>
          <w:b/>
          <w:bCs/>
          <w:color w:val="000000" w:themeColor="text1"/>
          <w:sz w:val="28"/>
          <w:highlight w:val="none"/>
          <w:lang w:val="en-US"/>
          <w14:textFill>
            <w14:solidFill>
              <w14:schemeClr w14:val="tx1"/>
            </w14:solidFill>
          </w14:textFill>
        </w:rPr>
      </w:pPr>
      <w:r>
        <w:rPr>
          <w:rFonts w:hint="eastAsia" w:ascii="宋体" w:hAnsi="宋体" w:eastAsia="宋体" w:cs="宋体"/>
          <w:b/>
          <w:bCs/>
          <w:color w:val="000000" w:themeColor="text1"/>
          <w:sz w:val="28"/>
          <w:highlight w:val="none"/>
          <w:lang w:val="en-US"/>
          <w14:textFill>
            <w14:solidFill>
              <w14:schemeClr w14:val="tx1"/>
            </w14:solidFill>
          </w14:textFill>
        </w:rPr>
        <w:t>六、违约责任</w:t>
      </w:r>
    </w:p>
    <w:p w14:paraId="37216F7D">
      <w:pPr>
        <w:spacing w:line="312" w:lineRule="auto"/>
        <w:ind w:firstLine="480" w:firstLineChars="200"/>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6.1投标方所提供的</w:t>
      </w:r>
      <w:r>
        <w:rPr>
          <w:rFonts w:hint="eastAsia" w:ascii="宋体" w:hAnsi="宋体" w:eastAsia="宋体" w:cs="宋体"/>
          <w:color w:val="000000" w:themeColor="text1"/>
          <w:sz w:val="24"/>
          <w:szCs w:val="24"/>
          <w:highlight w:val="none"/>
          <w14:textFill>
            <w14:solidFill>
              <w14:schemeClr w14:val="tx1"/>
            </w14:solidFill>
          </w14:textFill>
        </w:rPr>
        <w:t>产品/软件</w:t>
      </w:r>
      <w:r>
        <w:rPr>
          <w:rFonts w:hint="eastAsia" w:ascii="宋体" w:hAnsi="宋体" w:eastAsia="宋体" w:cs="宋体"/>
          <w:color w:val="000000" w:themeColor="text1"/>
          <w:sz w:val="24"/>
          <w:szCs w:val="24"/>
          <w:highlight w:val="none"/>
          <w14:textFill>
            <w14:solidFill>
              <w14:schemeClr w14:val="tx1"/>
            </w14:solidFill>
          </w14:textFill>
        </w:rPr>
        <w:t>规格、技术标准等质量不合格的，应及时更换，更换不及时的按逾期</w:t>
      </w:r>
      <w:r>
        <w:rPr>
          <w:rFonts w:hint="eastAsia" w:ascii="宋体" w:hAnsi="宋体" w:eastAsia="宋体" w:cs="宋体"/>
          <w:color w:val="000000" w:themeColor="text1"/>
          <w:sz w:val="24"/>
          <w:szCs w:val="24"/>
          <w:highlight w:val="none"/>
          <w14:textFill>
            <w14:solidFill>
              <w14:schemeClr w14:val="tx1"/>
            </w14:solidFill>
          </w14:textFill>
        </w:rPr>
        <w:t>交货/交付</w:t>
      </w:r>
      <w:r>
        <w:rPr>
          <w:rFonts w:hint="eastAsia" w:ascii="宋体" w:hAnsi="宋体" w:eastAsia="宋体" w:cs="宋体"/>
          <w:color w:val="000000" w:themeColor="text1"/>
          <w:sz w:val="24"/>
          <w:szCs w:val="24"/>
          <w:highlight w:val="none"/>
          <w14:textFill>
            <w14:solidFill>
              <w14:schemeClr w14:val="tx1"/>
            </w14:solidFill>
          </w14:textFill>
        </w:rPr>
        <w:t>处罚；因质量问题我院不同意接收，投标方应向我院支付违约货款额5%违约金并赔偿我院经济损失。</w:t>
      </w:r>
    </w:p>
    <w:p w14:paraId="03F00C2F">
      <w:pPr>
        <w:spacing w:line="312" w:lineRule="auto"/>
        <w:ind w:firstLine="480" w:firstLineChars="200"/>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6.2若投标方提供的产品或软件侵犯了第三方合法权益而引发的任何纠纷或诉讼，均由投标方负责交涉并承担全部责任。</w:t>
      </w:r>
    </w:p>
    <w:p w14:paraId="70FC6FAC">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6.3</w:t>
      </w:r>
      <w:r>
        <w:rPr>
          <w:rFonts w:hint="eastAsia" w:ascii="宋体" w:hAnsi="宋体" w:eastAsia="宋体" w:cs="宋体"/>
          <w:color w:val="000000" w:themeColor="text1"/>
          <w:sz w:val="24"/>
          <w:highlight w:val="none"/>
          <w14:textFill>
            <w14:solidFill>
              <w14:schemeClr w14:val="tx1"/>
            </w14:solidFill>
          </w14:textFill>
        </w:rPr>
        <w:t>投标方逾期</w:t>
      </w:r>
      <w:r>
        <w:rPr>
          <w:rFonts w:hint="eastAsia" w:ascii="宋体" w:hAnsi="宋体" w:eastAsia="宋体" w:cs="宋体"/>
          <w:color w:val="000000" w:themeColor="text1"/>
          <w:sz w:val="24"/>
          <w:highlight w:val="none"/>
          <w14:textFill>
            <w14:solidFill>
              <w14:schemeClr w14:val="tx1"/>
            </w14:solidFill>
          </w14:textFill>
        </w:rPr>
        <w:t>交货</w:t>
      </w:r>
      <w:r>
        <w:rPr>
          <w:rFonts w:hint="eastAsia" w:ascii="宋体" w:hAnsi="宋体" w:eastAsia="宋体" w:cs="宋体"/>
          <w:color w:val="000000" w:themeColor="text1"/>
          <w:sz w:val="24"/>
          <w:highlight w:val="none"/>
          <w:lang w:val="en-US"/>
          <w14:textFill>
            <w14:solidFill>
              <w14:schemeClr w14:val="tx1"/>
            </w14:solidFill>
          </w14:textFill>
        </w:rPr>
        <w:t>/交付</w:t>
      </w:r>
      <w:r>
        <w:rPr>
          <w:rFonts w:hint="eastAsia" w:ascii="宋体" w:hAnsi="宋体" w:eastAsia="宋体" w:cs="宋体"/>
          <w:color w:val="000000" w:themeColor="text1"/>
          <w:sz w:val="24"/>
          <w:highlight w:val="none"/>
          <w14:textFill>
            <w14:solidFill>
              <w14:schemeClr w14:val="tx1"/>
            </w14:solidFill>
          </w14:textFill>
        </w:rPr>
        <w:t>的，每天向甲方偿付违约货款额3‰违约金，但违约金累计不得超过违约货款额 5% ，超过30天对方有权解除合同，违约方承担因此给对方造成的经济损失；</w:t>
      </w:r>
    </w:p>
    <w:p w14:paraId="5CD1A11E">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6.4投标方未按本技术要求和响应文件中规定的其他服务承诺提供售后服务的，每次投标方应按合同合计金额的5% 向甲方支付违约金。</w:t>
      </w:r>
    </w:p>
    <w:p w14:paraId="4E87B392">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6.</w:t>
      </w:r>
      <w:r>
        <w:rPr>
          <w:rFonts w:hint="eastAsia" w:ascii="宋体" w:hAnsi="宋体" w:eastAsia="宋体" w:cs="宋体"/>
          <w:color w:val="000000" w:themeColor="text1"/>
          <w:sz w:val="24"/>
          <w:highlight w:val="none"/>
          <w:lang w:val="en-US"/>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合同签订后</w:t>
      </w:r>
      <w:r>
        <w:rPr>
          <w:rFonts w:hint="eastAsia" w:ascii="宋体" w:hAnsi="宋体" w:eastAsia="宋体" w:cs="宋体"/>
          <w:color w:val="000000" w:themeColor="text1"/>
          <w:sz w:val="24"/>
          <w:highlight w:val="none"/>
          <w14:textFill>
            <w14:solidFill>
              <w14:schemeClr w14:val="tx1"/>
            </w14:solidFill>
          </w14:textFill>
        </w:rPr>
        <w:t>7个工作日</w:t>
      </w:r>
      <w:r>
        <w:rPr>
          <w:rFonts w:hint="eastAsia" w:ascii="宋体" w:hAnsi="宋体" w:eastAsia="宋体" w:cs="宋体"/>
          <w:color w:val="000000" w:themeColor="text1"/>
          <w:sz w:val="24"/>
          <w:highlight w:val="none"/>
          <w14:textFill>
            <w14:solidFill>
              <w14:schemeClr w14:val="tx1"/>
            </w14:solidFill>
          </w14:textFill>
        </w:rPr>
        <w:t>内进场实施，每个模块计划实施周期需在合同内写明。因软件提供商原因逾期不进场实施的，需按每天向院方支付合同款金额3‰作为违约金，超过30天，甲有权解除合同，乙方需承担因此给院方造成的经济损失；</w:t>
      </w:r>
      <w:r>
        <w:rPr>
          <w:rFonts w:hint="eastAsia" w:ascii="宋体" w:hAnsi="宋体" w:eastAsia="宋体" w:cs="宋体"/>
          <w:color w:val="000000" w:themeColor="text1"/>
          <w:sz w:val="24"/>
          <w:highlight w:val="none"/>
          <w:lang w:val="en-US"/>
          <w14:textFill>
            <w14:solidFill>
              <w14:schemeClr w14:val="tx1"/>
            </w14:solidFill>
          </w14:textFill>
        </w:rPr>
        <w:t>不能按照合同约定上线期限完成，需要书面申请说明原因，得到医院书面同意后最多延期一个月，否则（或者延期一个月后）按每超期7天（一周）从总合同金额扣除5%的违约金。扣除比例达到总合同金额的50%及以上的，视为乙方违约，甲方有权单方面解除合同，并要求乙方退回所有医院已支付款项，同时按合同总金额的20%做为违约金支付给甲方。</w:t>
      </w:r>
    </w:p>
    <w:p w14:paraId="32E674B1">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6.6任何一方违反本技术要求中“保密、廉洁条款”要求的，应承担相应的违约责任并赔偿由此造成的损失，损失累计金额超过合同款项的5%的，损失方同时有权终止合同并收回已付款项。</w:t>
      </w:r>
    </w:p>
    <w:p w14:paraId="19F26294">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6.7厂商方未按本技术要求和响应文件中规定的其他服务承诺提供售后服务的，按损失情况，每次应按合同合计金额的0.1‰-0.1%由乙方向甲方支付违约金，损失累计金额超过合同款项的5%的，损失方同时有权终止合同并收回已付款项。</w:t>
      </w:r>
    </w:p>
    <w:p w14:paraId="2449BD38">
      <w:pPr>
        <w:pStyle w:val="4"/>
        <w:spacing w:after="0" w:line="312" w:lineRule="auto"/>
        <w:ind w:firstLine="420"/>
        <w:rPr>
          <w:rFonts w:ascii="宋体" w:hAnsi="宋体" w:eastAsia="宋体" w:cs="宋体"/>
          <w:color w:val="000000" w:themeColor="text1"/>
          <w:kern w:val="2"/>
          <w:sz w:val="24"/>
          <w:highlight w:val="none"/>
          <w:lang w:val="en-US"/>
          <w14:textFill>
            <w14:solidFill>
              <w14:schemeClr w14:val="tx1"/>
            </w14:solidFill>
          </w14:textFill>
        </w:rPr>
      </w:pPr>
      <w:r>
        <w:rPr>
          <w:rFonts w:hint="eastAsia" w:ascii="宋体" w:hAnsi="宋体" w:eastAsia="宋体" w:cs="宋体"/>
          <w:color w:val="000000" w:themeColor="text1"/>
          <w:kern w:val="2"/>
          <w:sz w:val="24"/>
          <w:highlight w:val="none"/>
          <w:lang w:val="en-US"/>
          <w14:textFill>
            <w14:solidFill>
              <w14:schemeClr w14:val="tx1"/>
            </w14:solidFill>
          </w14:textFill>
        </w:rPr>
        <w:t>6.8厂商不得在提供的软件系统中设置包括且不限于如：软件加密狗、加密软件、时间锁、授权码等限制软件系统正常运行的措施，</w:t>
      </w:r>
      <w:r>
        <w:rPr>
          <w:rFonts w:ascii="宋体" w:hAnsi="宋体" w:cs="宋体"/>
          <w:color w:val="000000" w:themeColor="text1"/>
          <w:kern w:val="2"/>
          <w:sz w:val="24"/>
          <w:highlight w:val="none"/>
          <w:lang w:val="en-US"/>
          <w14:textFill>
            <w14:solidFill>
              <w14:schemeClr w14:val="tx1"/>
            </w14:solidFill>
          </w14:textFill>
        </w:rPr>
        <w:t>如有</w:t>
      </w:r>
      <w:r>
        <w:rPr>
          <w:rFonts w:hint="eastAsia" w:ascii="宋体" w:hAnsi="宋体" w:cs="宋体"/>
          <w:color w:val="000000" w:themeColor="text1"/>
          <w:kern w:val="2"/>
          <w:sz w:val="24"/>
          <w:highlight w:val="none"/>
          <w:lang w:val="en-US"/>
          <w14:textFill>
            <w14:solidFill>
              <w14:schemeClr w14:val="tx1"/>
            </w14:solidFill>
          </w14:textFill>
        </w:rPr>
        <w:t>特殊</w:t>
      </w:r>
      <w:r>
        <w:rPr>
          <w:rFonts w:ascii="宋体" w:hAnsi="宋体" w:cs="宋体"/>
          <w:color w:val="000000" w:themeColor="text1"/>
          <w:kern w:val="2"/>
          <w:sz w:val="24"/>
          <w:highlight w:val="none"/>
          <w:lang w:val="en-US"/>
          <w14:textFill>
            <w14:solidFill>
              <w14:schemeClr w14:val="tx1"/>
            </w14:solidFill>
          </w14:textFill>
        </w:rPr>
        <w:t>需要</w:t>
      </w:r>
      <w:r>
        <w:rPr>
          <w:rFonts w:hint="eastAsia" w:ascii="宋体" w:hAnsi="宋体" w:cs="宋体"/>
          <w:color w:val="000000" w:themeColor="text1"/>
          <w:kern w:val="2"/>
          <w:sz w:val="24"/>
          <w:highlight w:val="none"/>
          <w:lang w:val="en-US"/>
          <w14:textFill>
            <w14:solidFill>
              <w14:schemeClr w14:val="tx1"/>
            </w14:solidFill>
          </w14:textFill>
        </w:rPr>
        <w:t>必须提交</w:t>
      </w:r>
      <w:r>
        <w:rPr>
          <w:rFonts w:ascii="宋体" w:hAnsi="宋体" w:cs="宋体"/>
          <w:color w:val="000000" w:themeColor="text1"/>
          <w:kern w:val="2"/>
          <w:sz w:val="24"/>
          <w:highlight w:val="none"/>
          <w:lang w:val="en-US"/>
          <w14:textFill>
            <w14:solidFill>
              <w14:schemeClr w14:val="tx1"/>
            </w14:solidFill>
          </w14:textFill>
        </w:rPr>
        <w:t>纸质</w:t>
      </w:r>
      <w:r>
        <w:rPr>
          <w:rFonts w:hint="eastAsia" w:ascii="宋体" w:hAnsi="宋体" w:cs="宋体"/>
          <w:color w:val="000000" w:themeColor="text1"/>
          <w:kern w:val="2"/>
          <w:sz w:val="24"/>
          <w:highlight w:val="none"/>
          <w:lang w:val="en-US"/>
          <w14:textFill>
            <w14:solidFill>
              <w14:schemeClr w14:val="tx1"/>
            </w14:solidFill>
          </w14:textFill>
        </w:rPr>
        <w:t>文件说明</w:t>
      </w:r>
      <w:r>
        <w:rPr>
          <w:rFonts w:ascii="宋体" w:hAnsi="宋体" w:cs="宋体"/>
          <w:color w:val="000000" w:themeColor="text1"/>
          <w:kern w:val="2"/>
          <w:sz w:val="24"/>
          <w:highlight w:val="none"/>
          <w:lang w:val="en-US"/>
          <w14:textFill>
            <w14:solidFill>
              <w14:schemeClr w14:val="tx1"/>
            </w14:solidFill>
          </w14:textFill>
        </w:rPr>
        <w:t>，经过我院</w:t>
      </w:r>
      <w:r>
        <w:rPr>
          <w:rFonts w:hint="eastAsia" w:ascii="宋体" w:hAnsi="宋体" w:cs="宋体"/>
          <w:color w:val="000000" w:themeColor="text1"/>
          <w:kern w:val="2"/>
          <w:sz w:val="24"/>
          <w:highlight w:val="none"/>
          <w:lang w:val="en-US"/>
          <w14:textFill>
            <w14:solidFill>
              <w14:schemeClr w14:val="tx1"/>
            </w14:solidFill>
          </w14:textFill>
        </w:rPr>
        <w:t>签字同意</w:t>
      </w:r>
      <w:r>
        <w:rPr>
          <w:rFonts w:ascii="宋体" w:hAnsi="宋体" w:cs="宋体"/>
          <w:color w:val="000000" w:themeColor="text1"/>
          <w:kern w:val="2"/>
          <w:sz w:val="24"/>
          <w:highlight w:val="none"/>
          <w:lang w:val="en-US"/>
          <w14:textFill>
            <w14:solidFill>
              <w14:schemeClr w14:val="tx1"/>
            </w14:solidFill>
          </w14:textFill>
        </w:rPr>
        <w:t>才可设置</w:t>
      </w:r>
      <w:r>
        <w:rPr>
          <w:rFonts w:hint="eastAsia" w:ascii="宋体" w:hAnsi="宋体" w:cs="宋体"/>
          <w:color w:val="000000" w:themeColor="text1"/>
          <w:kern w:val="2"/>
          <w:sz w:val="24"/>
          <w:highlight w:val="none"/>
          <w:lang w:val="en-US"/>
          <w14:textFill>
            <w14:solidFill>
              <w14:schemeClr w14:val="tx1"/>
            </w14:solidFill>
          </w14:textFill>
        </w:rPr>
        <w:t>，</w:t>
      </w:r>
      <w:r>
        <w:rPr>
          <w:rFonts w:hint="eastAsia" w:ascii="宋体" w:hAnsi="宋体" w:eastAsia="宋体" w:cs="宋体"/>
          <w:color w:val="000000" w:themeColor="text1"/>
          <w:kern w:val="2"/>
          <w:sz w:val="24"/>
          <w:highlight w:val="none"/>
          <w:lang w:val="en-US"/>
          <w14:textFill>
            <w14:solidFill>
              <w14:schemeClr w14:val="tx1"/>
            </w14:solidFill>
          </w14:textFill>
        </w:rPr>
        <w:t>否则视为乙方违约，乙方需要支付医院违约金</w:t>
      </w:r>
      <w:r>
        <w:rPr>
          <w:rFonts w:hint="eastAsia" w:ascii="宋体" w:hAnsi="宋体" w:eastAsia="宋体" w:cs="宋体"/>
          <w:color w:val="000000" w:themeColor="text1"/>
          <w:kern w:val="2"/>
          <w:sz w:val="24"/>
          <w:highlight w:val="none"/>
          <w:lang w:val="en-US"/>
          <w14:textFill>
            <w14:solidFill>
              <w14:schemeClr w14:val="tx1"/>
            </w14:solidFill>
          </w14:textFill>
        </w:rPr>
        <w:t>50000元（伍万元整）</w:t>
      </w:r>
      <w:r>
        <w:rPr>
          <w:rFonts w:hint="eastAsia" w:ascii="宋体" w:hAnsi="宋体" w:eastAsia="宋体" w:cs="宋体"/>
          <w:color w:val="000000" w:themeColor="text1"/>
          <w:kern w:val="2"/>
          <w:sz w:val="24"/>
          <w:highlight w:val="none"/>
          <w:lang w:val="en-US"/>
          <w14:textFill>
            <w14:solidFill>
              <w14:schemeClr w14:val="tx1"/>
            </w14:solidFill>
          </w14:textFill>
        </w:rPr>
        <w:t>，在此基础上医院有权要求乙方退回甲方已支付的所有款项。如对医院造成损失的，甲方有权要求乙方赔偿。</w:t>
      </w:r>
    </w:p>
    <w:p w14:paraId="7B9849A0">
      <w:pPr>
        <w:pStyle w:val="4"/>
        <w:spacing w:after="0" w:line="312" w:lineRule="auto"/>
        <w:ind w:firstLine="420"/>
        <w:rPr>
          <w:rFonts w:ascii="宋体" w:hAnsi="宋体" w:eastAsia="宋体" w:cs="宋体"/>
          <w:color w:val="000000" w:themeColor="text1"/>
          <w:kern w:val="2"/>
          <w:sz w:val="24"/>
          <w:highlight w:val="none"/>
          <w:lang w:val="en-US"/>
          <w14:textFill>
            <w14:solidFill>
              <w14:schemeClr w14:val="tx1"/>
            </w14:solidFill>
          </w14:textFill>
        </w:rPr>
      </w:pPr>
      <w:r>
        <w:rPr>
          <w:rFonts w:hint="eastAsia" w:ascii="宋体" w:hAnsi="宋体" w:eastAsia="宋体" w:cs="宋体"/>
          <w:color w:val="000000" w:themeColor="text1"/>
          <w:kern w:val="2"/>
          <w:sz w:val="24"/>
          <w:highlight w:val="none"/>
          <w:lang w:val="en-US"/>
          <w14:textFill>
            <w14:solidFill>
              <w14:schemeClr w14:val="tx1"/>
            </w14:solidFill>
          </w14:textFill>
        </w:rPr>
        <w:t>6.9</w:t>
      </w:r>
      <w:r>
        <w:rPr>
          <w:rFonts w:ascii="宋体" w:hAnsi="宋体" w:eastAsia="宋体" w:cs="宋体"/>
          <w:color w:val="000000" w:themeColor="text1"/>
          <w:kern w:val="2"/>
          <w:sz w:val="24"/>
          <w:highlight w:val="none"/>
          <w:lang w:val="en-US"/>
          <w14:textFill>
            <w14:solidFill>
              <w14:schemeClr w14:val="tx1"/>
            </w14:solidFill>
          </w14:textFill>
        </w:rPr>
        <w:t>厂商驻场工程师人员变更必须得到医院书面同意，否则视为</w:t>
      </w:r>
      <w:r>
        <w:rPr>
          <w:rFonts w:hint="eastAsia" w:ascii="宋体" w:hAnsi="宋体" w:eastAsia="宋体" w:cs="宋体"/>
          <w:color w:val="000000" w:themeColor="text1"/>
          <w:kern w:val="2"/>
          <w:sz w:val="24"/>
          <w:highlight w:val="none"/>
          <w:lang w:val="en-US"/>
          <w14:textFill>
            <w14:solidFill>
              <w14:schemeClr w14:val="tx1"/>
            </w14:solidFill>
          </w14:textFill>
        </w:rPr>
        <w:t>乙方</w:t>
      </w:r>
      <w:r>
        <w:rPr>
          <w:rFonts w:ascii="宋体" w:hAnsi="宋体" w:eastAsia="宋体" w:cs="宋体"/>
          <w:color w:val="000000" w:themeColor="text1"/>
          <w:kern w:val="2"/>
          <w:sz w:val="24"/>
          <w:highlight w:val="none"/>
          <w:lang w:val="en-US"/>
          <w14:textFill>
            <w14:solidFill>
              <w14:schemeClr w14:val="tx1"/>
            </w14:solidFill>
          </w14:textFill>
        </w:rPr>
        <w:t>违约，</w:t>
      </w:r>
      <w:r>
        <w:rPr>
          <w:rFonts w:hint="eastAsia" w:ascii="宋体" w:hAnsi="宋体" w:eastAsia="宋体" w:cs="宋体"/>
          <w:color w:val="000000" w:themeColor="text1"/>
          <w:kern w:val="2"/>
          <w:sz w:val="24"/>
          <w:highlight w:val="none"/>
          <w:lang w:val="en-US"/>
          <w14:textFill>
            <w14:solidFill>
              <w14:schemeClr w14:val="tx1"/>
            </w14:solidFill>
          </w14:textFill>
        </w:rPr>
        <w:t>甲</w:t>
      </w:r>
      <w:r>
        <w:rPr>
          <w:rFonts w:ascii="宋体" w:hAnsi="宋体" w:eastAsia="宋体" w:cs="宋体"/>
          <w:color w:val="000000" w:themeColor="text1"/>
          <w:kern w:val="2"/>
          <w:sz w:val="24"/>
          <w:highlight w:val="none"/>
          <w:lang w:val="en-US"/>
          <w14:textFill>
            <w14:solidFill>
              <w14:schemeClr w14:val="tx1"/>
            </w14:solidFill>
          </w14:textFill>
        </w:rPr>
        <w:t>方有权按</w:t>
      </w:r>
      <w:r>
        <w:rPr>
          <w:rFonts w:ascii="宋体" w:hAnsi="宋体" w:eastAsia="宋体" w:cs="宋体"/>
          <w:color w:val="000000" w:themeColor="text1"/>
          <w:kern w:val="2"/>
          <w:sz w:val="24"/>
          <w:highlight w:val="none"/>
          <w:lang w:val="en-US"/>
          <w14:textFill>
            <w14:solidFill>
              <w14:schemeClr w14:val="tx1"/>
            </w14:solidFill>
          </w14:textFill>
        </w:rPr>
        <w:t>500</w:t>
      </w:r>
      <w:r>
        <w:rPr>
          <w:rFonts w:hint="eastAsia" w:ascii="宋体" w:hAnsi="宋体" w:eastAsia="宋体" w:cs="宋体"/>
          <w:color w:val="000000" w:themeColor="text1"/>
          <w:kern w:val="2"/>
          <w:sz w:val="24"/>
          <w:highlight w:val="none"/>
          <w:lang w:val="en-US"/>
          <w14:textFill>
            <w14:solidFill>
              <w14:schemeClr w14:val="tx1"/>
            </w14:solidFill>
          </w14:textFill>
        </w:rPr>
        <w:t>0</w:t>
      </w:r>
      <w:r>
        <w:rPr>
          <w:rFonts w:ascii="宋体" w:hAnsi="宋体" w:eastAsia="宋体" w:cs="宋体"/>
          <w:color w:val="000000" w:themeColor="text1"/>
          <w:kern w:val="2"/>
          <w:sz w:val="24"/>
          <w:highlight w:val="none"/>
          <w:lang w:val="en-US"/>
          <w14:textFill>
            <w14:solidFill>
              <w14:schemeClr w14:val="tx1"/>
            </w14:solidFill>
          </w14:textFill>
        </w:rPr>
        <w:t>元/</w:t>
      </w:r>
      <w:r>
        <w:rPr>
          <w:rFonts w:ascii="宋体" w:hAnsi="宋体" w:eastAsia="宋体" w:cs="宋体"/>
          <w:color w:val="000000" w:themeColor="text1"/>
          <w:kern w:val="2"/>
          <w:sz w:val="24"/>
          <w:highlight w:val="none"/>
          <w:lang w:val="en-US"/>
          <w14:textFill>
            <w14:solidFill>
              <w14:schemeClr w14:val="tx1"/>
            </w14:solidFill>
          </w14:textFill>
        </w:rPr>
        <w:t>人/次从合同总款中扣除</w:t>
      </w:r>
      <w:r>
        <w:rPr>
          <w:rFonts w:hint="eastAsia" w:ascii="宋体" w:hAnsi="宋体" w:eastAsia="宋体" w:cs="宋体"/>
          <w:color w:val="000000" w:themeColor="text1"/>
          <w:kern w:val="2"/>
          <w:sz w:val="24"/>
          <w:highlight w:val="none"/>
          <w:lang w:val="en-US"/>
          <w14:textFill>
            <w14:solidFill>
              <w14:schemeClr w14:val="tx1"/>
            </w14:solidFill>
          </w14:textFill>
        </w:rPr>
        <w:t>。</w:t>
      </w:r>
    </w:p>
    <w:p w14:paraId="0B9E2A2A">
      <w:pPr>
        <w:pStyle w:val="4"/>
        <w:spacing w:after="0" w:line="312" w:lineRule="auto"/>
        <w:ind w:firstLine="420"/>
        <w:rPr>
          <w:rFonts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6.10如合同乙方非软件提供商，软件提供商需承担连带责任，即本技术参数中对乙方的所有约束要求、违约条件均等同于对软件提供商的要求，甲方在追究乙方违约责任的同时可以同步追究软件提供商同等责任，乙方在投标时必须提供软件提供商的售后服务承诺书原件（须加盖软件提供商公章）。</w:t>
      </w:r>
    </w:p>
    <w:bookmarkEnd w:id="1"/>
    <w:p w14:paraId="5022C071">
      <w:pPr>
        <w:pStyle w:val="4"/>
        <w:spacing w:after="0" w:line="312" w:lineRule="auto"/>
        <w:rPr>
          <w:rFonts w:ascii="宋体" w:hAnsi="宋体" w:eastAsia="宋体" w:cs="宋体"/>
          <w:b/>
          <w:bCs/>
          <w:color w:val="000000" w:themeColor="text1"/>
          <w:sz w:val="28"/>
          <w:highlight w:val="none"/>
          <w:lang w:val="en-US"/>
          <w14:textFill>
            <w14:solidFill>
              <w14:schemeClr w14:val="tx1"/>
            </w14:solidFill>
          </w14:textFill>
        </w:rPr>
      </w:pPr>
      <w:bookmarkStart w:id="2" w:name="_Toc507405799"/>
      <w:bookmarkStart w:id="3" w:name="_Toc507405800"/>
      <w:r>
        <w:rPr>
          <w:rFonts w:hint="eastAsia" w:ascii="宋体" w:hAnsi="宋体" w:eastAsia="宋体" w:cs="宋体"/>
          <w:b/>
          <w:bCs/>
          <w:color w:val="000000" w:themeColor="text1"/>
          <w:sz w:val="28"/>
          <w:highlight w:val="none"/>
          <w:lang w:val="en-US"/>
          <w14:textFill>
            <w14:solidFill>
              <w14:schemeClr w14:val="tx1"/>
            </w14:solidFill>
          </w14:textFill>
        </w:rPr>
        <w:t>七、保密、廉洁协议</w:t>
      </w:r>
    </w:p>
    <w:p w14:paraId="05BC1556">
      <w:pPr>
        <w:spacing w:line="312" w:lineRule="auto"/>
        <w:ind w:firstLine="480" w:firstLineChars="200"/>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7.1 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50BD3BBE">
      <w:pPr>
        <w:spacing w:line="312" w:lineRule="auto"/>
        <w:ind w:firstLine="480" w:firstLineChars="200"/>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7.2 双方不得以任何方式向第三方泄露本项目的软件技术、设计方案以及功能配置等内容。</w:t>
      </w:r>
    </w:p>
    <w:p w14:paraId="7CF264B7">
      <w:pPr>
        <w:spacing w:line="312" w:lineRule="auto"/>
        <w:ind w:firstLine="480" w:firstLineChars="200"/>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7.3不以任何方式向第三方泄露在本协议开发实施过程中获取的经济、技术、数据以及双方其他非公开的信息。</w:t>
      </w:r>
    </w:p>
    <w:p w14:paraId="5D1A982F">
      <w:pPr>
        <w:spacing w:line="312" w:lineRule="auto"/>
        <w:ind w:firstLine="480" w:firstLineChars="200"/>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7.4 不从事商业贿赂行为，遵守廉洁协议或相关规定。甲方发现乙方有违反廉洁协议或相关规定采用不正当手段进行不正当竞争行为的，或被有关部门生效文书认定有行贿或者受贿行为的，甲方有权解除该业务合同，由此给甲方造成的损失以及发生的一切费用均由乙方承担，甲方有权对乙方实施商业贿赂不良记录，列入“黑名单”，并三年内取消其业务往来资格。</w:t>
      </w:r>
    </w:p>
    <w:p w14:paraId="2A9226EA">
      <w:pPr>
        <w:spacing w:line="312" w:lineRule="auto"/>
        <w:ind w:firstLine="480" w:firstLineChars="200"/>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7.5保密期限自本合同生效之日起永久有效，如乙方需解除保密协议需向甲方提出书面申请，双方协商同意签字确认后方可解除。</w:t>
      </w:r>
    </w:p>
    <w:p w14:paraId="7A549CF4">
      <w:pPr>
        <w:pStyle w:val="4"/>
        <w:spacing w:after="0" w:line="312" w:lineRule="auto"/>
        <w:rPr>
          <w:color w:val="000000" w:themeColor="text1"/>
          <w:highlight w:val="none"/>
          <w:lang w:val="en-US"/>
          <w14:textFill>
            <w14:solidFill>
              <w14:schemeClr w14:val="tx1"/>
            </w14:solidFill>
          </w14:textFill>
        </w:rPr>
      </w:pPr>
    </w:p>
    <w:p w14:paraId="35F6262D">
      <w:pPr>
        <w:pStyle w:val="4"/>
        <w:spacing w:after="0" w:line="312" w:lineRule="auto"/>
        <w:rPr>
          <w:rFonts w:ascii="宋体" w:hAnsi="宋体" w:eastAsia="宋体" w:cs="宋体"/>
          <w:b/>
          <w:bCs/>
          <w:color w:val="000000" w:themeColor="text1"/>
          <w:sz w:val="28"/>
          <w:highlight w:val="none"/>
          <w:lang w:val="en-US"/>
          <w14:textFill>
            <w14:solidFill>
              <w14:schemeClr w14:val="tx1"/>
            </w14:solidFill>
          </w14:textFill>
        </w:rPr>
      </w:pPr>
      <w:r>
        <w:rPr>
          <w:rFonts w:hint="eastAsia" w:ascii="宋体" w:hAnsi="宋体" w:eastAsia="宋体" w:cs="宋体"/>
          <w:b/>
          <w:bCs/>
          <w:color w:val="000000" w:themeColor="text1"/>
          <w:sz w:val="28"/>
          <w:highlight w:val="none"/>
          <w:lang w:val="en-US"/>
          <w14:textFill>
            <w14:solidFill>
              <w14:schemeClr w14:val="tx1"/>
            </w14:solidFill>
          </w14:textFill>
        </w:rPr>
        <w:t>八、报价</w:t>
      </w:r>
    </w:p>
    <w:p w14:paraId="3B7B0210">
      <w:pPr>
        <w:pStyle w:val="4"/>
        <w:spacing w:after="0" w:line="312" w:lineRule="auto"/>
        <w:ind w:firstLine="42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8.1</w:t>
      </w:r>
      <w:r>
        <w:rPr>
          <w:rFonts w:hint="eastAsia" w:ascii="宋体" w:hAnsi="宋体" w:eastAsia="宋体" w:cs="宋体"/>
          <w:color w:val="000000" w:themeColor="text1"/>
          <w:sz w:val="24"/>
          <w:highlight w:val="none"/>
          <w14:textFill>
            <w14:solidFill>
              <w14:schemeClr w14:val="tx1"/>
            </w14:solidFill>
          </w14:textFill>
        </w:rPr>
        <w:t>竞标文件提供技术偏离表、服务偏离表，并标明详细的技术和服务内容。竞标文件按系统模块报价，报价表价格包含系统软件费用、产品安装、调试实施、培训费用、产品升级费用、</w:t>
      </w:r>
      <w:r>
        <w:rPr>
          <w:rFonts w:hint="eastAsia" w:ascii="宋体" w:hAnsi="宋体" w:eastAsia="宋体"/>
          <w:color w:val="000000" w:themeColor="text1"/>
          <w:sz w:val="24"/>
          <w:highlight w:val="none"/>
          <w14:textFill>
            <w14:solidFill>
              <w14:schemeClr w14:val="tx1"/>
            </w14:solidFill>
          </w14:textFill>
        </w:rPr>
        <w:t>接口费（包括第三方厂家的接口费）等费用</w:t>
      </w:r>
      <w:r>
        <w:rPr>
          <w:rFonts w:hint="eastAsia" w:ascii="宋体" w:hAnsi="宋体" w:eastAsia="宋体" w:cs="宋体"/>
          <w:color w:val="000000" w:themeColor="text1"/>
          <w:sz w:val="24"/>
          <w:highlight w:val="none"/>
          <w14:textFill>
            <w14:solidFill>
              <w14:schemeClr w14:val="tx1"/>
            </w14:solidFill>
          </w14:textFill>
        </w:rPr>
        <w:t>，以及明示所有责任、义务和一切风险。</w:t>
      </w:r>
    </w:p>
    <w:p w14:paraId="00C21740">
      <w:pPr>
        <w:pStyle w:val="4"/>
        <w:spacing w:after="0" w:line="312" w:lineRule="auto"/>
        <w:ind w:firstLine="42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8.2</w:t>
      </w:r>
      <w:r>
        <w:rPr>
          <w:rFonts w:hint="eastAsia" w:ascii="宋体" w:hAnsi="宋体" w:eastAsia="宋体" w:cs="宋体"/>
          <w:color w:val="000000" w:themeColor="text1"/>
          <w:sz w:val="24"/>
          <w:highlight w:val="none"/>
          <w14:textFill>
            <w14:solidFill>
              <w14:schemeClr w14:val="tx1"/>
            </w14:solidFill>
          </w14:textFill>
        </w:rPr>
        <w:t>竞标文件需提供</w:t>
      </w:r>
      <w:r>
        <w:rPr>
          <w:rFonts w:hint="eastAsia" w:ascii="宋体" w:hAnsi="宋体" w:cs="宋体"/>
          <w:color w:val="000000" w:themeColor="text1"/>
          <w:sz w:val="24"/>
          <w:highlight w:val="none"/>
          <w14:textFill>
            <w14:solidFill>
              <w14:schemeClr w14:val="tx1"/>
            </w14:solidFill>
          </w14:textFill>
        </w:rPr>
        <w:t>维保期方案及报价</w:t>
      </w:r>
      <w:r>
        <w:rPr>
          <w:rFonts w:hint="eastAsia" w:ascii="宋体" w:hAnsi="宋体" w:eastAsia="宋体" w:cs="宋体"/>
          <w:color w:val="000000" w:themeColor="text1"/>
          <w:sz w:val="24"/>
          <w:highlight w:val="none"/>
          <w14:textFill>
            <w14:solidFill>
              <w14:schemeClr w14:val="tx1"/>
            </w14:solidFill>
          </w14:textFill>
        </w:rPr>
        <w:t>。</w:t>
      </w:r>
    </w:p>
    <w:p w14:paraId="414714AB">
      <w:pPr>
        <w:pStyle w:val="4"/>
        <w:spacing w:after="0" w:line="312" w:lineRule="auto"/>
        <w:ind w:firstLine="42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8.3</w:t>
      </w:r>
      <w:r>
        <w:rPr>
          <w:rFonts w:hint="eastAsia" w:ascii="宋体" w:hAnsi="宋体" w:eastAsia="宋体" w:cs="宋体"/>
          <w:color w:val="000000" w:themeColor="text1"/>
          <w:sz w:val="24"/>
          <w:highlight w:val="none"/>
          <w14:textFill>
            <w14:solidFill>
              <w14:schemeClr w14:val="tx1"/>
            </w14:solidFill>
          </w14:textFill>
        </w:rPr>
        <w:t>竞标文件需提供系统详细图文介绍。系统实施验收参照本技术文档及竞标文件提供的图文介绍为依据。</w:t>
      </w:r>
    </w:p>
    <w:p w14:paraId="5A8D7E17">
      <w:pPr>
        <w:spacing w:line="312" w:lineRule="auto"/>
        <w:ind w:firstLine="480" w:firstLineChars="200"/>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8.4如项目功能二次开发内容涉及我院采购的第三方产品，请在标书内标明哪些功能的实现需要二次开发接口。</w:t>
      </w:r>
    </w:p>
    <w:p w14:paraId="06BAAEA7">
      <w:pPr>
        <w:pStyle w:val="2"/>
        <w:numPr>
          <w:ilvl w:val="0"/>
          <w:numId w:val="0"/>
        </w:numPr>
        <w:spacing w:before="0" w:after="0" w:line="312" w:lineRule="auto"/>
        <w:rPr>
          <w:rFonts w:ascii="宋体" w:hAnsi="宋体"/>
          <w:bCs w:val="0"/>
          <w:color w:val="000000" w:themeColor="text1"/>
          <w:sz w:val="32"/>
          <w:szCs w:val="32"/>
          <w:highlight w:val="none"/>
          <w14:textFill>
            <w14:solidFill>
              <w14:schemeClr w14:val="tx1"/>
            </w14:solidFill>
          </w14:textFill>
        </w:rPr>
      </w:pPr>
      <w:r>
        <w:rPr>
          <w:rFonts w:hint="eastAsia" w:ascii="宋体" w:hAnsi="宋体"/>
          <w:bCs w:val="0"/>
          <w:color w:val="000000" w:themeColor="text1"/>
          <w:sz w:val="32"/>
          <w:szCs w:val="32"/>
          <w:highlight w:val="none"/>
          <w14:textFill>
            <w14:solidFill>
              <w14:schemeClr w14:val="tx1"/>
            </w14:solidFill>
          </w14:textFill>
        </w:rPr>
        <w:t>九、付款方式</w:t>
      </w:r>
      <w:bookmarkEnd w:id="2"/>
    </w:p>
    <w:p w14:paraId="57894893">
      <w:pPr>
        <w:pStyle w:val="14"/>
        <w:spacing w:line="360" w:lineRule="auto"/>
        <w:ind w:firstLine="614" w:firstLineChars="256"/>
        <w:rPr>
          <w:color w:val="000000" w:themeColor="text1"/>
          <w:sz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项目双方签订合同后，甲方向乙方支付合同款项的30%；合同中所有功能及模块实施完毕启动项目验收，验收合格后甲方向乙方支付合同款项的70%</w:t>
      </w:r>
      <w:bookmarkEnd w:id="3"/>
      <w:r>
        <w:rPr>
          <w:rFonts w:hint="eastAsia" w:ascii="宋体" w:hAnsi="宋体" w:eastAsia="宋体"/>
          <w:color w:val="000000" w:themeColor="text1"/>
          <w:sz w:val="24"/>
          <w:szCs w:val="24"/>
          <w:highlight w:val="none"/>
          <w14:textFill>
            <w14:solidFill>
              <w14:schemeClr w14:val="tx1"/>
            </w14:solidFill>
          </w14:textFill>
        </w:rPr>
        <w:t>（不计利息）。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FD76B7"/>
    <w:multiLevelType w:val="singleLevel"/>
    <w:tmpl w:val="A5FD76B7"/>
    <w:lvl w:ilvl="0" w:tentative="0">
      <w:start w:val="1"/>
      <w:numFmt w:val="decimal"/>
      <w:pStyle w:val="3"/>
      <w:lvlText w:val="%1."/>
      <w:lvlJc w:val="left"/>
      <w:pPr>
        <w:tabs>
          <w:tab w:val="left" w:pos="360"/>
        </w:tabs>
        <w:ind w:left="360" w:hanging="360"/>
      </w:pPr>
    </w:lvl>
  </w:abstractNum>
  <w:abstractNum w:abstractNumId="1">
    <w:nsid w:val="125DCD4B"/>
    <w:multiLevelType w:val="singleLevel"/>
    <w:tmpl w:val="125DCD4B"/>
    <w:lvl w:ilvl="0" w:tentative="0">
      <w:start w:val="2"/>
      <w:numFmt w:val="chineseCounting"/>
      <w:suff w:val="nothing"/>
      <w:lvlText w:val="%1、"/>
      <w:lvlJc w:val="left"/>
      <w:rPr>
        <w:rFonts w:hint="eastAsia"/>
      </w:rPr>
    </w:lvl>
  </w:abstractNum>
  <w:abstractNum w:abstractNumId="2">
    <w:nsid w:val="14D84B87"/>
    <w:multiLevelType w:val="multilevel"/>
    <w:tmpl w:val="14D84B87"/>
    <w:lvl w:ilvl="0" w:tentative="0">
      <w:start w:val="1"/>
      <w:numFmt w:val="chineseCountingThousand"/>
      <w:pStyle w:val="2"/>
      <w:lvlText w:val="%1"/>
      <w:lvlJc w:val="left"/>
      <w:pPr>
        <w:ind w:left="425" w:hanging="425"/>
      </w:pPr>
      <w:rPr>
        <w:rFonts w:hint="eastAsia"/>
      </w:rPr>
    </w:lvl>
    <w:lvl w:ilvl="1" w:tentative="0">
      <w:start w:val="1"/>
      <w:numFmt w:val="chineseCountingThousand"/>
      <w:lvlText w:val="(%2)"/>
      <w:lvlJc w:val="left"/>
      <w:pPr>
        <w:ind w:left="850" w:hanging="567"/>
      </w:pPr>
      <w:rPr>
        <w:rFonts w:hint="eastAsia"/>
      </w:rPr>
    </w:lvl>
    <w:lvl w:ilvl="2" w:tentative="0">
      <w:start w:val="1"/>
      <w:numFmt w:val="decimal"/>
      <w:lvlText w:val="%3."/>
      <w:lvlJc w:val="left"/>
      <w:pPr>
        <w:ind w:left="1356" w:hanging="567"/>
      </w:pPr>
      <w:rPr>
        <w:rFonts w:hint="eastAsia"/>
      </w:rPr>
    </w:lvl>
    <w:lvl w:ilvl="3" w:tentative="0">
      <w:start w:val="1"/>
      <w:numFmt w:val="decimal"/>
      <w:isLgl/>
      <w:lvlText w:val="%1.%2.%3.%4"/>
      <w:lvlJc w:val="left"/>
      <w:pPr>
        <w:ind w:left="1984" w:hanging="708"/>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isLgl/>
      <w:lvlText w:val="%1.%2.%3.%4.%5.%6.%7"/>
      <w:lvlJc w:val="left"/>
      <w:pPr>
        <w:ind w:left="3827" w:hanging="1276"/>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2DF"/>
    <w:rsid w:val="000E2410"/>
    <w:rsid w:val="001734EB"/>
    <w:rsid w:val="001A11FC"/>
    <w:rsid w:val="001A1C12"/>
    <w:rsid w:val="00271A30"/>
    <w:rsid w:val="002A29C0"/>
    <w:rsid w:val="00306E6E"/>
    <w:rsid w:val="003E62DF"/>
    <w:rsid w:val="00435C7C"/>
    <w:rsid w:val="00481560"/>
    <w:rsid w:val="00491534"/>
    <w:rsid w:val="004D3BA6"/>
    <w:rsid w:val="005D449A"/>
    <w:rsid w:val="006802F4"/>
    <w:rsid w:val="006A3CAE"/>
    <w:rsid w:val="006C202C"/>
    <w:rsid w:val="008C322F"/>
    <w:rsid w:val="00A140D3"/>
    <w:rsid w:val="00B759E0"/>
    <w:rsid w:val="00D5380E"/>
    <w:rsid w:val="00DC1FBB"/>
    <w:rsid w:val="00E61AD4"/>
    <w:rsid w:val="00F13AA1"/>
    <w:rsid w:val="038608DA"/>
    <w:rsid w:val="03C66963"/>
    <w:rsid w:val="05175852"/>
    <w:rsid w:val="05682277"/>
    <w:rsid w:val="05F90E9E"/>
    <w:rsid w:val="06DF14B2"/>
    <w:rsid w:val="072E01FC"/>
    <w:rsid w:val="07C85CD3"/>
    <w:rsid w:val="082B7D3C"/>
    <w:rsid w:val="08741252"/>
    <w:rsid w:val="0A380500"/>
    <w:rsid w:val="0A791D80"/>
    <w:rsid w:val="0B6D3E71"/>
    <w:rsid w:val="0CB10ECC"/>
    <w:rsid w:val="0F2A1F3D"/>
    <w:rsid w:val="109B068D"/>
    <w:rsid w:val="10A9639F"/>
    <w:rsid w:val="11E97868"/>
    <w:rsid w:val="12AE7316"/>
    <w:rsid w:val="12D1790A"/>
    <w:rsid w:val="14505EEB"/>
    <w:rsid w:val="14782DB8"/>
    <w:rsid w:val="14AF00BD"/>
    <w:rsid w:val="153D4F2B"/>
    <w:rsid w:val="165C1DAE"/>
    <w:rsid w:val="16E42AFA"/>
    <w:rsid w:val="16ED2D59"/>
    <w:rsid w:val="174D1CA9"/>
    <w:rsid w:val="17536FF6"/>
    <w:rsid w:val="17541870"/>
    <w:rsid w:val="17D73287"/>
    <w:rsid w:val="19151124"/>
    <w:rsid w:val="1A251034"/>
    <w:rsid w:val="1A5F138F"/>
    <w:rsid w:val="1AA944D3"/>
    <w:rsid w:val="1B5C436C"/>
    <w:rsid w:val="1B91509A"/>
    <w:rsid w:val="1D9262D5"/>
    <w:rsid w:val="1F8453A7"/>
    <w:rsid w:val="22293C01"/>
    <w:rsid w:val="224243ED"/>
    <w:rsid w:val="22E75F90"/>
    <w:rsid w:val="24DA1462"/>
    <w:rsid w:val="251F0377"/>
    <w:rsid w:val="25294D6E"/>
    <w:rsid w:val="25C0000D"/>
    <w:rsid w:val="25D43FBF"/>
    <w:rsid w:val="26AA16D4"/>
    <w:rsid w:val="27CE29DE"/>
    <w:rsid w:val="284C2F0D"/>
    <w:rsid w:val="290632D5"/>
    <w:rsid w:val="29763DCD"/>
    <w:rsid w:val="2B3E6C5B"/>
    <w:rsid w:val="2C6E439E"/>
    <w:rsid w:val="2C8F073A"/>
    <w:rsid w:val="2CA67011"/>
    <w:rsid w:val="2E3069EE"/>
    <w:rsid w:val="2E55261B"/>
    <w:rsid w:val="326774E5"/>
    <w:rsid w:val="336B45E5"/>
    <w:rsid w:val="34906983"/>
    <w:rsid w:val="34A02F04"/>
    <w:rsid w:val="350667E1"/>
    <w:rsid w:val="350F464A"/>
    <w:rsid w:val="367D4F11"/>
    <w:rsid w:val="379E05A5"/>
    <w:rsid w:val="395C56DE"/>
    <w:rsid w:val="39BE1475"/>
    <w:rsid w:val="3A6B617C"/>
    <w:rsid w:val="3A6E2632"/>
    <w:rsid w:val="3A965B44"/>
    <w:rsid w:val="3B070E17"/>
    <w:rsid w:val="3B320B1A"/>
    <w:rsid w:val="3B4F3BCB"/>
    <w:rsid w:val="3D655CAD"/>
    <w:rsid w:val="3DCF123E"/>
    <w:rsid w:val="3E3103B1"/>
    <w:rsid w:val="3FD46317"/>
    <w:rsid w:val="3FFE146B"/>
    <w:rsid w:val="408416BA"/>
    <w:rsid w:val="41971DBD"/>
    <w:rsid w:val="43CC4B30"/>
    <w:rsid w:val="43D31B76"/>
    <w:rsid w:val="44511123"/>
    <w:rsid w:val="447B48AA"/>
    <w:rsid w:val="452758AE"/>
    <w:rsid w:val="455A3219"/>
    <w:rsid w:val="457173F8"/>
    <w:rsid w:val="47FA24B7"/>
    <w:rsid w:val="480C0CC5"/>
    <w:rsid w:val="49C017DB"/>
    <w:rsid w:val="4B331762"/>
    <w:rsid w:val="4BF413EA"/>
    <w:rsid w:val="4E8E7E5B"/>
    <w:rsid w:val="4F640350"/>
    <w:rsid w:val="507D710A"/>
    <w:rsid w:val="50844495"/>
    <w:rsid w:val="508670F0"/>
    <w:rsid w:val="50A873B9"/>
    <w:rsid w:val="50B43C08"/>
    <w:rsid w:val="51045425"/>
    <w:rsid w:val="515F49D7"/>
    <w:rsid w:val="52C84CF5"/>
    <w:rsid w:val="54361EC0"/>
    <w:rsid w:val="54E82BB7"/>
    <w:rsid w:val="55B43D13"/>
    <w:rsid w:val="5626108C"/>
    <w:rsid w:val="562C3FA0"/>
    <w:rsid w:val="56486D36"/>
    <w:rsid w:val="566E19FD"/>
    <w:rsid w:val="56864135"/>
    <w:rsid w:val="5728753E"/>
    <w:rsid w:val="585573E7"/>
    <w:rsid w:val="5A334C18"/>
    <w:rsid w:val="5A427C66"/>
    <w:rsid w:val="5B595DD0"/>
    <w:rsid w:val="5C2974BB"/>
    <w:rsid w:val="5C4B79F0"/>
    <w:rsid w:val="5C6164F3"/>
    <w:rsid w:val="5C8D3376"/>
    <w:rsid w:val="5DF7243F"/>
    <w:rsid w:val="5E785C9F"/>
    <w:rsid w:val="5EEF047E"/>
    <w:rsid w:val="606A2F3D"/>
    <w:rsid w:val="607B2E53"/>
    <w:rsid w:val="60BA5D3C"/>
    <w:rsid w:val="6132636A"/>
    <w:rsid w:val="63E434FA"/>
    <w:rsid w:val="63EF6D4C"/>
    <w:rsid w:val="640809C0"/>
    <w:rsid w:val="65EF576E"/>
    <w:rsid w:val="66A43335"/>
    <w:rsid w:val="66FA6A08"/>
    <w:rsid w:val="67234BE8"/>
    <w:rsid w:val="67BD361E"/>
    <w:rsid w:val="67C37F93"/>
    <w:rsid w:val="686C39B1"/>
    <w:rsid w:val="68B72934"/>
    <w:rsid w:val="69A9737D"/>
    <w:rsid w:val="69B50A3F"/>
    <w:rsid w:val="6A5B6461"/>
    <w:rsid w:val="6B2B5E60"/>
    <w:rsid w:val="6B9E401E"/>
    <w:rsid w:val="6BE55579"/>
    <w:rsid w:val="6C1A6998"/>
    <w:rsid w:val="6E093CE6"/>
    <w:rsid w:val="7095097B"/>
    <w:rsid w:val="70D373DC"/>
    <w:rsid w:val="710A45F9"/>
    <w:rsid w:val="711C77D0"/>
    <w:rsid w:val="73051406"/>
    <w:rsid w:val="73F71B2F"/>
    <w:rsid w:val="7524075C"/>
    <w:rsid w:val="76C64F98"/>
    <w:rsid w:val="786D598D"/>
    <w:rsid w:val="78833311"/>
    <w:rsid w:val="79792DFF"/>
    <w:rsid w:val="7A4632CF"/>
    <w:rsid w:val="7AB427B8"/>
    <w:rsid w:val="7AE364A4"/>
    <w:rsid w:val="7B970BFF"/>
    <w:rsid w:val="7D755CB3"/>
    <w:rsid w:val="7ECA57CE"/>
    <w:rsid w:val="7ED45A9B"/>
    <w:rsid w:val="7F58243B"/>
    <w:rsid w:val="7F895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numPr>
        <w:ilvl w:val="0"/>
        <w:numId w:val="1"/>
      </w:numPr>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List Number"/>
    <w:basedOn w:val="1"/>
    <w:qFormat/>
    <w:uiPriority w:val="0"/>
    <w:pPr>
      <w:numPr>
        <w:ilvl w:val="0"/>
        <w:numId w:val="2"/>
      </w:numPr>
    </w:pPr>
  </w:style>
  <w:style w:type="paragraph" w:styleId="4">
    <w:name w:val="Body Text"/>
    <w:basedOn w:val="1"/>
    <w:qFormat/>
    <w:uiPriority w:val="0"/>
    <w:pPr>
      <w:spacing w:after="120"/>
    </w:pPr>
    <w:rPr>
      <w:rFonts w:ascii="Times New Roman" w:hAnsi="Times New Roman"/>
      <w:kern w:val="0"/>
      <w:sz w:val="20"/>
      <w:szCs w:val="24"/>
      <w:lang w:val="zh-CN"/>
    </w:rPr>
  </w:style>
  <w:style w:type="paragraph" w:styleId="5">
    <w:name w:val="Body Text Indent"/>
    <w:basedOn w:val="1"/>
    <w:qFormat/>
    <w:uiPriority w:val="0"/>
    <w:pPr>
      <w:spacing w:after="120"/>
      <w:ind w:left="420" w:leftChars="200"/>
    </w:pPr>
  </w:style>
  <w:style w:type="paragraph" w:styleId="6">
    <w:name w:val="Body Text Indent 2"/>
    <w:basedOn w:val="1"/>
    <w:qFormat/>
    <w:uiPriority w:val="0"/>
    <w:pPr>
      <w:ind w:firstLine="630"/>
    </w:pPr>
    <w:rPr>
      <w:sz w:val="32"/>
      <w:szCs w:val="20"/>
    </w:rPr>
  </w:style>
  <w:style w:type="paragraph" w:styleId="7">
    <w:name w:val="footer"/>
    <w:basedOn w:val="1"/>
    <w:link w:val="17"/>
    <w:qFormat/>
    <w:uiPriority w:val="0"/>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First Indent 2"/>
    <w:basedOn w:val="5"/>
    <w:qFormat/>
    <w:uiPriority w:val="0"/>
    <w:pPr>
      <w:ind w:firstLine="420" w:firstLineChars="200"/>
    </w:p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styleId="14">
    <w:name w:val="List Paragraph"/>
    <w:basedOn w:val="1"/>
    <w:qFormat/>
    <w:uiPriority w:val="34"/>
    <w:pPr>
      <w:ind w:firstLine="420" w:firstLineChars="200"/>
    </w:pPr>
  </w:style>
  <w:style w:type="paragraph" w:customStyle="1" w:styleId="15">
    <w:name w:val="p15"/>
    <w:basedOn w:val="1"/>
    <w:qFormat/>
    <w:uiPriority w:val="0"/>
    <w:pPr>
      <w:widowControl/>
      <w:ind w:firstLine="420"/>
    </w:pPr>
    <w:rPr>
      <w:kern w:val="0"/>
      <w:szCs w:val="21"/>
    </w:rPr>
  </w:style>
  <w:style w:type="character" w:customStyle="1" w:styleId="16">
    <w:name w:val="页眉 Char"/>
    <w:basedOn w:val="12"/>
    <w:link w:val="8"/>
    <w:qFormat/>
    <w:uiPriority w:val="0"/>
    <w:rPr>
      <w:rFonts w:asciiTheme="minorHAnsi" w:hAnsiTheme="minorHAnsi" w:eastAsiaTheme="minorEastAsia" w:cstheme="minorBidi"/>
      <w:kern w:val="2"/>
      <w:sz w:val="18"/>
      <w:szCs w:val="18"/>
    </w:rPr>
  </w:style>
  <w:style w:type="character" w:customStyle="1" w:styleId="17">
    <w:name w:val="页脚 Char"/>
    <w:basedOn w:val="12"/>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3737</Words>
  <Characters>4010</Characters>
  <Lines>34</Lines>
  <Paragraphs>9</Paragraphs>
  <TotalTime>24</TotalTime>
  <ScaleCrop>false</ScaleCrop>
  <LinksUpToDate>false</LinksUpToDate>
  <CharactersWithSpaces>4027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2021-09-14T03:36:00Z</dcterms:created>
  <dc:creator>LGYY-USER</dc:creator>
  <cp:lastModifiedBy>杨娥青</cp:lastModifiedBy>
  <cp:lastPrinted>2026-10-21T09:51:47Z</cp:lastPrinted>
  <dcterms:modified xsi:type="dcterms:W3CDTF">2026-10-21T10:12:08Z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eyJoZGlkIjoiYWVhMzUxMjdhODg0YjYzMjE1ODY4ZDUxZGZjYzI2YTgiLCJ1c2VySWQiOiIxOTEzMTE2OTIyIn0=</vt:lpwstr>
  </property>
  <property fmtid="{D5CDD505-2E9C-101B-9397-08002B2CF9AE}" pid="4" name="ICV">
    <vt:lpwstr>B466FB34A56E4705AE8453089170DE69_12</vt:lpwstr>
  </property>
</Properties>
</file>