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1BA54">
      <w:pPr>
        <w:ind w:firstLine="0" w:firstLineChars="0"/>
        <w:jc w:val="center"/>
        <w:rPr>
          <w:rFonts w:hint="eastAsia" w:ascii="仿宋_GB2312" w:hAnsi="仿宋_GB2312" w:eastAsia="仿宋_GB2312" w:cs="仿宋_GB2312"/>
          <w:b/>
          <w:bCs/>
          <w:color w:val="auto"/>
          <w:kern w:val="0"/>
          <w:sz w:val="44"/>
          <w:szCs w:val="44"/>
        </w:rPr>
      </w:pPr>
      <w:r>
        <w:rPr>
          <w:rFonts w:hint="eastAsia" w:ascii="仿宋_GB2312" w:hAnsi="仿宋_GB2312" w:eastAsia="仿宋_GB2312" w:cs="仿宋_GB2312"/>
          <w:b/>
          <w:bCs/>
          <w:color w:val="auto"/>
          <w:kern w:val="44"/>
          <w:sz w:val="44"/>
          <w:szCs w:val="44"/>
        </w:rPr>
        <w:t>柳州市工人医院</w:t>
      </w:r>
      <w:r>
        <w:rPr>
          <w:rFonts w:hint="eastAsia" w:ascii="仿宋_GB2312" w:hAnsi="仿宋_GB2312" w:eastAsia="仿宋_GB2312" w:cs="仿宋_GB2312"/>
          <w:b/>
          <w:bCs/>
          <w:color w:val="auto"/>
          <w:kern w:val="0"/>
          <w:sz w:val="44"/>
          <w:szCs w:val="44"/>
        </w:rPr>
        <w:t>基于人工智能的门诊预问诊及</w:t>
      </w:r>
    </w:p>
    <w:p w14:paraId="4B3834D7">
      <w:pPr>
        <w:ind w:firstLine="0" w:firstLineChars="0"/>
        <w:jc w:val="center"/>
        <w:rPr>
          <w:rFonts w:hint="eastAsia" w:ascii="仿宋_GB2312" w:hAnsi="仿宋_GB2312" w:eastAsia="仿宋_GB2312" w:cs="仿宋_GB2312"/>
          <w:b/>
          <w:bCs/>
          <w:color w:val="auto"/>
          <w:kern w:val="44"/>
          <w:sz w:val="44"/>
          <w:szCs w:val="44"/>
        </w:rPr>
      </w:pPr>
      <w:r>
        <w:rPr>
          <w:rFonts w:hint="eastAsia" w:ascii="仿宋_GB2312" w:hAnsi="仿宋_GB2312" w:eastAsia="仿宋_GB2312" w:cs="仿宋_GB2312"/>
          <w:b/>
          <w:bCs/>
          <w:color w:val="auto"/>
          <w:kern w:val="0"/>
          <w:sz w:val="44"/>
          <w:szCs w:val="44"/>
        </w:rPr>
        <w:t>智能导诊应用</w:t>
      </w:r>
      <w:r>
        <w:rPr>
          <w:rFonts w:hint="eastAsia" w:ascii="仿宋_GB2312" w:hAnsi="仿宋_GB2312" w:cs="仿宋_GB2312"/>
          <w:b/>
          <w:bCs/>
          <w:color w:val="auto"/>
          <w:kern w:val="0"/>
          <w:sz w:val="44"/>
          <w:szCs w:val="44"/>
          <w:lang w:val="en-US" w:eastAsia="zh-CN"/>
        </w:rPr>
        <w:t>的</w:t>
      </w:r>
      <w:r>
        <w:rPr>
          <w:rFonts w:hint="eastAsia" w:ascii="仿宋_GB2312" w:hAnsi="仿宋_GB2312" w:eastAsia="仿宋_GB2312" w:cs="仿宋_GB2312"/>
          <w:b/>
          <w:bCs/>
          <w:color w:val="auto"/>
          <w:kern w:val="44"/>
          <w:sz w:val="44"/>
          <w:szCs w:val="44"/>
        </w:rPr>
        <w:t>技术参数</w:t>
      </w:r>
    </w:p>
    <w:p w14:paraId="63AA3AF8">
      <w:pPr>
        <w:widowControl/>
        <w:ind w:firstLine="562"/>
        <w:jc w:val="left"/>
        <w:rPr>
          <w:rFonts w:hint="eastAsia" w:ascii="仿宋_GB2312" w:hAnsi="仿宋_GB2312" w:eastAsia="仿宋_GB2312" w:cs="仿宋_GB2312"/>
          <w:b/>
          <w:bCs/>
          <w:color w:val="auto"/>
          <w:kern w:val="0"/>
          <w:sz w:val="28"/>
          <w:szCs w:val="28"/>
        </w:rPr>
      </w:pPr>
      <w:r>
        <w:rPr>
          <w:rFonts w:hint="eastAsia" w:ascii="仿宋_GB2312" w:hAnsi="仿宋_GB2312" w:eastAsia="仿宋_GB2312" w:cs="仿宋_GB2312"/>
          <w:b/>
          <w:bCs/>
          <w:color w:val="auto"/>
          <w:kern w:val="0"/>
          <w:sz w:val="28"/>
          <w:szCs w:val="28"/>
        </w:rPr>
        <w:t>一、项目背景与目的</w:t>
      </w:r>
    </w:p>
    <w:p w14:paraId="5970B6A8">
      <w:pPr>
        <w:keepNext w:val="0"/>
        <w:keepLines w:val="0"/>
        <w:pageBreakBefore w:val="0"/>
        <w:widowControl/>
        <w:kinsoku/>
        <w:wordWrap/>
        <w:overflowPunct/>
        <w:topLinePunct w:val="0"/>
        <w:autoSpaceDE/>
        <w:autoSpaceDN/>
        <w:bidi w:val="0"/>
        <w:adjustRightInd/>
        <w:snapToGrid/>
        <w:spacing w:line="279" w:lineRule="auto"/>
        <w:ind w:firstLine="480" w:firstLineChars="200"/>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当前门诊作为医院服务患者的第一窗口，普遍面临患者流量大、挂错科室、分诊不精准、候诊时间长、医生重复询问病史等突出问题，传统人工导诊与问诊模式已难以满足患者对便捷、高效、精准医疗服务的需求。与此同时，以大语言模型、自然语言处理为代表的人工智能技术日趋成熟，为医疗场景的智能化改造提供了坚实技术支撑。</w:t>
      </w:r>
    </w:p>
    <w:p w14:paraId="3642F243">
      <w:pPr>
        <w:keepNext w:val="0"/>
        <w:keepLines w:val="0"/>
        <w:pageBreakBefore w:val="0"/>
        <w:widowControl/>
        <w:kinsoku/>
        <w:wordWrap/>
        <w:overflowPunct/>
        <w:topLinePunct w:val="0"/>
        <w:autoSpaceDE/>
        <w:autoSpaceDN/>
        <w:bidi w:val="0"/>
        <w:adjustRightInd/>
        <w:snapToGrid/>
        <w:spacing w:line="279" w:lineRule="auto"/>
        <w:ind w:firstLine="480" w:firstLineChars="200"/>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在此背景下，本项目建设基于人工智能的门诊预问诊及智能导诊应用，通过 AI 智能导诊实现精准分科、预问诊提前采集患者病情信息并同步至医生工作站，构建</w:t>
      </w:r>
      <w:r>
        <w:rPr>
          <w:rFonts w:hint="eastAsia" w:ascii="仿宋_GB2312" w:hAnsi="仿宋_GB2312" w:cs="仿宋_GB2312"/>
          <w:color w:val="auto"/>
          <w:kern w:val="0"/>
          <w:sz w:val="24"/>
          <w:szCs w:val="24"/>
          <w:lang w:eastAsia="zh-CN"/>
        </w:rPr>
        <w:t>“</w:t>
      </w:r>
      <w:r>
        <w:rPr>
          <w:rFonts w:hint="eastAsia" w:ascii="仿宋_GB2312" w:hAnsi="仿宋_GB2312" w:eastAsia="仿宋_GB2312" w:cs="仿宋_GB2312"/>
          <w:color w:val="auto"/>
          <w:kern w:val="0"/>
          <w:sz w:val="24"/>
          <w:szCs w:val="24"/>
        </w:rPr>
        <w:t>先预问诊、后就诊</w:t>
      </w:r>
      <w:r>
        <w:rPr>
          <w:rFonts w:hint="eastAsia" w:ascii="仿宋_GB2312" w:hAnsi="仿宋_GB2312" w:cs="仿宋_GB2312"/>
          <w:color w:val="auto"/>
          <w:kern w:val="0"/>
          <w:sz w:val="24"/>
          <w:szCs w:val="24"/>
          <w:lang w:eastAsia="zh-CN"/>
        </w:rPr>
        <w:t>”</w:t>
      </w:r>
      <w:r>
        <w:rPr>
          <w:rFonts w:hint="eastAsia" w:ascii="仿宋_GB2312" w:hAnsi="仿宋_GB2312" w:eastAsia="仿宋_GB2312" w:cs="仿宋_GB2312"/>
          <w:color w:val="auto"/>
          <w:kern w:val="0"/>
          <w:sz w:val="24"/>
          <w:szCs w:val="24"/>
        </w:rPr>
        <w:t>的智慧服务新模式，可有效分流患者、缩短候诊时间、提升问诊效率、辅助临床决策，切实改善患者就医体验，是落实国家智慧医院建设要求、推动医疗服务模式创新、实现医院精细化管理的必然选择。</w:t>
      </w:r>
    </w:p>
    <w:p w14:paraId="17C8678D">
      <w:pPr>
        <w:widowControl/>
        <w:ind w:firstLine="0" w:firstLineChars="0"/>
        <w:jc w:val="left"/>
        <w:rPr>
          <w:rFonts w:hint="eastAsia" w:ascii="仿宋_GB2312" w:hAnsi="仿宋_GB2312" w:eastAsia="仿宋_GB2312" w:cs="仿宋_GB2312"/>
          <w:b/>
          <w:bCs/>
          <w:color w:val="auto"/>
          <w:kern w:val="0"/>
          <w:sz w:val="28"/>
          <w:szCs w:val="28"/>
        </w:rPr>
      </w:pPr>
      <w:r>
        <w:rPr>
          <w:rFonts w:hint="eastAsia" w:ascii="仿宋_GB2312" w:hAnsi="仿宋_GB2312" w:eastAsia="仿宋_GB2312" w:cs="仿宋_GB2312"/>
          <w:b/>
          <w:bCs/>
          <w:color w:val="auto"/>
          <w:kern w:val="0"/>
          <w:sz w:val="28"/>
          <w:szCs w:val="28"/>
        </w:rPr>
        <w:t>二、项目建设内容及要求</w:t>
      </w:r>
    </w:p>
    <w:p w14:paraId="1EC32D65">
      <w:pPr>
        <w:pStyle w:val="31"/>
        <w:pageBreakBefore w:val="0"/>
        <w:widowControl w:val="0"/>
        <w:numPr>
          <w:ilvl w:val="0"/>
          <w:numId w:val="0"/>
        </w:numPr>
        <w:kinsoku/>
        <w:wordWrap/>
        <w:overflowPunct/>
        <w:topLinePunct w:val="0"/>
        <w:autoSpaceDE/>
        <w:autoSpaceDN/>
        <w:bidi w:val="0"/>
        <w:adjustRightInd/>
        <w:snapToGrid/>
        <w:spacing w:line="312" w:lineRule="auto"/>
        <w:ind w:leftChars="0"/>
        <w:textAlignment w:val="auto"/>
        <w:rPr>
          <w:rFonts w:hint="eastAsia" w:ascii="仿宋_GB2312" w:hAnsi="仿宋_GB2312" w:eastAsia="仿宋_GB2312" w:cs="仿宋_GB2312"/>
          <w:color w:val="404040"/>
          <w:kern w:val="0"/>
          <w:sz w:val="28"/>
          <w:szCs w:val="28"/>
        </w:rPr>
      </w:pPr>
      <w:r>
        <w:rPr>
          <w:rFonts w:hint="eastAsia" w:ascii="仿宋_GB2312" w:hAnsi="仿宋_GB2312" w:eastAsia="仿宋_GB2312" w:cs="仿宋_GB2312"/>
          <w:b/>
          <w:sz w:val="24"/>
          <w:szCs w:val="24"/>
        </w:rPr>
        <w:t>（一）</w:t>
      </w:r>
      <w:r>
        <w:rPr>
          <w:rFonts w:hint="eastAsia" w:ascii="仿宋_GB2312" w:hAnsi="仿宋_GB2312" w:eastAsia="仿宋_GB2312" w:cs="仿宋_GB2312"/>
          <w:b/>
          <w:sz w:val="24"/>
          <w:szCs w:val="24"/>
          <w:lang w:val="en-US" w:eastAsia="zh-CN"/>
        </w:rPr>
        <w:t>软件技术</w:t>
      </w:r>
      <w:r>
        <w:rPr>
          <w:rFonts w:hint="eastAsia" w:ascii="仿宋_GB2312" w:hAnsi="仿宋_GB2312" w:eastAsia="仿宋_GB2312" w:cs="仿宋_GB2312"/>
          <w:b/>
          <w:sz w:val="24"/>
          <w:szCs w:val="24"/>
        </w:rPr>
        <w:t>要求</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4"/>
        <w:gridCol w:w="851"/>
        <w:gridCol w:w="1275"/>
        <w:gridCol w:w="1418"/>
        <w:gridCol w:w="5488"/>
      </w:tblGrid>
      <w:tr w14:paraId="70E69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rPr>
        <w:tc>
          <w:tcPr>
            <w:tcW w:w="704" w:type="dxa"/>
            <w:vAlign w:val="center"/>
          </w:tcPr>
          <w:p w14:paraId="7F1C69AE">
            <w:pPr>
              <w:widowControl/>
              <w:ind w:firstLine="0" w:firstLineChars="0"/>
              <w:jc w:val="center"/>
              <w:rPr>
                <w:rFonts w:hint="eastAsia" w:ascii="仿宋_GB2312" w:hAnsi="仿宋_GB2312" w:eastAsia="仿宋_GB2312" w:cs="仿宋_GB2312"/>
                <w:b/>
                <w:bCs/>
                <w:color w:val="auto"/>
                <w:kern w:val="0"/>
                <w:sz w:val="24"/>
                <w:szCs w:val="24"/>
              </w:rPr>
            </w:pPr>
            <w:r>
              <w:rPr>
                <w:rFonts w:hint="eastAsia" w:ascii="仿宋_GB2312" w:hAnsi="仿宋_GB2312" w:eastAsia="仿宋_GB2312" w:cs="仿宋_GB2312"/>
                <w:b/>
                <w:bCs/>
                <w:color w:val="auto"/>
                <w:kern w:val="0"/>
                <w:sz w:val="24"/>
                <w:szCs w:val="24"/>
              </w:rPr>
              <w:t>序号</w:t>
            </w:r>
          </w:p>
        </w:tc>
        <w:tc>
          <w:tcPr>
            <w:tcW w:w="851" w:type="dxa"/>
            <w:vAlign w:val="center"/>
          </w:tcPr>
          <w:p w14:paraId="000F29BB">
            <w:pPr>
              <w:widowControl/>
              <w:ind w:firstLine="0" w:firstLineChars="0"/>
              <w:jc w:val="center"/>
              <w:rPr>
                <w:rFonts w:hint="eastAsia" w:ascii="仿宋_GB2312" w:hAnsi="仿宋_GB2312" w:eastAsia="仿宋_GB2312" w:cs="仿宋_GB2312"/>
                <w:b/>
                <w:bCs/>
                <w:color w:val="auto"/>
                <w:kern w:val="0"/>
                <w:sz w:val="24"/>
                <w:szCs w:val="24"/>
              </w:rPr>
            </w:pPr>
            <w:r>
              <w:rPr>
                <w:rFonts w:hint="eastAsia" w:ascii="仿宋_GB2312" w:hAnsi="仿宋_GB2312" w:eastAsia="仿宋_GB2312" w:cs="仿宋_GB2312"/>
                <w:b/>
                <w:bCs/>
                <w:color w:val="auto"/>
                <w:kern w:val="0"/>
                <w:sz w:val="24"/>
                <w:szCs w:val="24"/>
              </w:rPr>
              <w:t>名称</w:t>
            </w:r>
          </w:p>
        </w:tc>
        <w:tc>
          <w:tcPr>
            <w:tcW w:w="1275" w:type="dxa"/>
            <w:vAlign w:val="center"/>
          </w:tcPr>
          <w:p w14:paraId="60C0A59A">
            <w:pPr>
              <w:widowControl/>
              <w:ind w:firstLine="0" w:firstLineChars="0"/>
              <w:jc w:val="center"/>
              <w:rPr>
                <w:rFonts w:hint="eastAsia" w:ascii="仿宋_GB2312" w:hAnsi="仿宋_GB2312" w:eastAsia="仿宋_GB2312" w:cs="仿宋_GB2312"/>
                <w:b/>
                <w:bCs/>
                <w:color w:val="auto"/>
                <w:kern w:val="0"/>
                <w:sz w:val="24"/>
                <w:szCs w:val="24"/>
              </w:rPr>
            </w:pPr>
            <w:r>
              <w:rPr>
                <w:rFonts w:hint="eastAsia" w:ascii="仿宋_GB2312" w:hAnsi="仿宋_GB2312" w:eastAsia="仿宋_GB2312" w:cs="仿宋_GB2312"/>
                <w:b/>
                <w:bCs/>
                <w:color w:val="auto"/>
                <w:kern w:val="0"/>
                <w:sz w:val="24"/>
                <w:szCs w:val="24"/>
              </w:rPr>
              <w:t>模块</w:t>
            </w:r>
          </w:p>
        </w:tc>
        <w:tc>
          <w:tcPr>
            <w:tcW w:w="1418" w:type="dxa"/>
            <w:vAlign w:val="center"/>
          </w:tcPr>
          <w:p w14:paraId="599DE767">
            <w:pPr>
              <w:widowControl/>
              <w:ind w:firstLine="0" w:firstLineChars="0"/>
              <w:jc w:val="center"/>
              <w:rPr>
                <w:rFonts w:hint="eastAsia" w:ascii="仿宋_GB2312" w:hAnsi="仿宋_GB2312" w:eastAsia="仿宋_GB2312" w:cs="仿宋_GB2312"/>
                <w:b/>
                <w:bCs/>
                <w:color w:val="auto"/>
                <w:kern w:val="0"/>
                <w:sz w:val="24"/>
                <w:szCs w:val="24"/>
              </w:rPr>
            </w:pPr>
            <w:r>
              <w:rPr>
                <w:rFonts w:hint="eastAsia" w:ascii="仿宋_GB2312" w:hAnsi="仿宋_GB2312" w:eastAsia="仿宋_GB2312" w:cs="仿宋_GB2312"/>
                <w:b/>
                <w:bCs/>
                <w:color w:val="auto"/>
                <w:kern w:val="0"/>
                <w:sz w:val="24"/>
                <w:szCs w:val="24"/>
              </w:rPr>
              <w:t>功能</w:t>
            </w:r>
          </w:p>
        </w:tc>
        <w:tc>
          <w:tcPr>
            <w:tcW w:w="5488" w:type="dxa"/>
            <w:vAlign w:val="center"/>
          </w:tcPr>
          <w:p w14:paraId="19C33575">
            <w:pPr>
              <w:widowControl/>
              <w:ind w:firstLine="0" w:firstLineChars="0"/>
              <w:jc w:val="center"/>
              <w:rPr>
                <w:rFonts w:hint="eastAsia" w:ascii="仿宋_GB2312" w:hAnsi="仿宋_GB2312" w:eastAsia="仿宋_GB2312" w:cs="仿宋_GB2312"/>
                <w:b/>
                <w:bCs/>
                <w:color w:val="auto"/>
                <w:kern w:val="0"/>
                <w:sz w:val="24"/>
                <w:szCs w:val="24"/>
              </w:rPr>
            </w:pPr>
            <w:r>
              <w:rPr>
                <w:rFonts w:hint="eastAsia" w:ascii="仿宋_GB2312" w:hAnsi="仿宋_GB2312" w:eastAsia="仿宋_GB2312" w:cs="仿宋_GB2312"/>
                <w:b/>
                <w:bCs/>
                <w:color w:val="auto"/>
                <w:kern w:val="0"/>
                <w:sz w:val="24"/>
                <w:szCs w:val="24"/>
              </w:rPr>
              <w:t>详情描述</w:t>
            </w:r>
          </w:p>
        </w:tc>
      </w:tr>
      <w:tr w14:paraId="52A8E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restart"/>
            <w:vAlign w:val="center"/>
          </w:tcPr>
          <w:p w14:paraId="32D29817">
            <w:pPr>
              <w:widowControl/>
              <w:ind w:firstLine="0" w:firstLineChars="0"/>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1</w:t>
            </w:r>
          </w:p>
        </w:tc>
        <w:tc>
          <w:tcPr>
            <w:tcW w:w="851" w:type="dxa"/>
            <w:vMerge w:val="restart"/>
            <w:vAlign w:val="center"/>
          </w:tcPr>
          <w:p w14:paraId="542187B7">
            <w:pPr>
              <w:widowControl/>
              <w:ind w:firstLine="0" w:firstLineChars="0"/>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患者报告解读</w:t>
            </w:r>
          </w:p>
        </w:tc>
        <w:tc>
          <w:tcPr>
            <w:tcW w:w="1275" w:type="dxa"/>
            <w:vMerge w:val="restart"/>
            <w:vAlign w:val="center"/>
          </w:tcPr>
          <w:p w14:paraId="25605DC2">
            <w:pPr>
              <w:widowControl/>
              <w:tabs>
                <w:tab w:val="left" w:pos="492"/>
              </w:tabs>
              <w:ind w:firstLine="0" w:firstLineChars="0"/>
              <w:jc w:val="center"/>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cs="仿宋_GB2312"/>
                <w:color w:val="auto"/>
                <w:kern w:val="0"/>
                <w:sz w:val="24"/>
                <w:szCs w:val="24"/>
                <w:highlight w:val="none"/>
                <w:lang w:eastAsia="zh-CN"/>
              </w:rPr>
              <w:t>数据中心</w:t>
            </w:r>
          </w:p>
        </w:tc>
        <w:tc>
          <w:tcPr>
            <w:tcW w:w="1418" w:type="dxa"/>
            <w:vAlign w:val="center"/>
          </w:tcPr>
          <w:p w14:paraId="7CF9B2FD">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r>
              <w:rPr>
                <w:rFonts w:hint="eastAsia" w:ascii="仿宋_GB2312" w:hAnsi="仿宋_GB2312" w:cs="仿宋_GB2312"/>
                <w:color w:val="auto"/>
                <w:kern w:val="0"/>
                <w:sz w:val="24"/>
                <w:szCs w:val="24"/>
                <w:highlight w:val="none"/>
                <w:lang w:val="en-US" w:eastAsia="zh-CN"/>
              </w:rPr>
              <w:t>数据接入</w:t>
            </w:r>
          </w:p>
        </w:tc>
        <w:tc>
          <w:tcPr>
            <w:tcW w:w="5488" w:type="dxa"/>
            <w:shd w:val="clear" w:color="auto" w:fill="auto"/>
            <w:vAlign w:val="center"/>
          </w:tcPr>
          <w:p w14:paraId="12549A1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none"/>
              </w:rPr>
            </w:pPr>
            <w:r>
              <w:rPr>
                <w:rFonts w:hint="eastAsia" w:ascii="仿宋_GB2312" w:hAnsi="仿宋_GB2312" w:eastAsia="仿宋_GB2312" w:cs="仿宋_GB2312"/>
                <w:i w:val="0"/>
                <w:iCs w:val="0"/>
                <w:color w:val="000000"/>
                <w:kern w:val="0"/>
                <w:sz w:val="24"/>
                <w:szCs w:val="24"/>
                <w:u w:val="none"/>
                <w:lang w:val="en-US" w:eastAsia="zh-CN" w:bidi="ar"/>
              </w:rPr>
              <w:t>支持多种数据接入方式，包括API接口调用、API数据推送、数据库视图及ETL数据抽取，实现与医院现有系统的灵活、高效对接。</w:t>
            </w:r>
          </w:p>
        </w:tc>
      </w:tr>
      <w:tr w14:paraId="53FA2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3C70F9E">
            <w:pPr>
              <w:widowControl/>
              <w:ind w:firstLine="0" w:firstLineChars="0"/>
              <w:jc w:val="center"/>
              <w:rPr>
                <w:rFonts w:hint="eastAsia" w:ascii="仿宋_GB2312" w:hAnsi="仿宋_GB2312" w:cs="仿宋_GB2312"/>
                <w:color w:val="auto"/>
                <w:kern w:val="0"/>
                <w:sz w:val="24"/>
                <w:szCs w:val="24"/>
                <w:lang w:val="en-US" w:eastAsia="zh-CN"/>
              </w:rPr>
            </w:pPr>
          </w:p>
        </w:tc>
        <w:tc>
          <w:tcPr>
            <w:tcW w:w="851" w:type="dxa"/>
            <w:vMerge w:val="continue"/>
            <w:vAlign w:val="center"/>
          </w:tcPr>
          <w:p w14:paraId="7165C67E">
            <w:pPr>
              <w:widowControl/>
              <w:ind w:firstLine="0" w:firstLineChars="0"/>
              <w:jc w:val="center"/>
              <w:rPr>
                <w:rFonts w:hint="eastAsia" w:ascii="仿宋_GB2312" w:hAnsi="仿宋_GB2312" w:eastAsia="仿宋_GB2312" w:cs="仿宋_GB2312"/>
                <w:color w:val="auto"/>
                <w:kern w:val="0"/>
                <w:sz w:val="24"/>
                <w:szCs w:val="24"/>
                <w:highlight w:val="none"/>
              </w:rPr>
            </w:pPr>
          </w:p>
        </w:tc>
        <w:tc>
          <w:tcPr>
            <w:tcW w:w="1275" w:type="dxa"/>
            <w:vMerge w:val="continue"/>
            <w:vAlign w:val="center"/>
          </w:tcPr>
          <w:p w14:paraId="7EA822BD">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797AE328">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r>
              <w:rPr>
                <w:rFonts w:hint="eastAsia" w:ascii="仿宋_GB2312" w:hAnsi="仿宋_GB2312" w:cs="仿宋_GB2312"/>
                <w:color w:val="auto"/>
                <w:kern w:val="0"/>
                <w:sz w:val="24"/>
                <w:szCs w:val="24"/>
                <w:highlight w:val="none"/>
                <w:lang w:val="en-US" w:eastAsia="zh-CN"/>
              </w:rPr>
              <w:t>数据采集范</w:t>
            </w:r>
          </w:p>
        </w:tc>
        <w:tc>
          <w:tcPr>
            <w:tcW w:w="5488" w:type="dxa"/>
            <w:vAlign w:val="center"/>
          </w:tcPr>
          <w:p w14:paraId="1079F48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全面覆盖HIS、LIS、PACS系统数据，涵盖患者基本信息、检验报告、检查报告等关键医疗数据。</w:t>
            </w:r>
          </w:p>
        </w:tc>
      </w:tr>
      <w:tr w14:paraId="75C96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3F6D9BC">
            <w:pPr>
              <w:widowControl/>
              <w:ind w:firstLine="0" w:firstLineChars="0"/>
              <w:jc w:val="center"/>
              <w:rPr>
                <w:rFonts w:hint="eastAsia" w:ascii="仿宋_GB2312" w:hAnsi="仿宋_GB2312" w:cs="仿宋_GB2312"/>
                <w:color w:val="auto"/>
                <w:kern w:val="0"/>
                <w:sz w:val="24"/>
                <w:szCs w:val="24"/>
                <w:lang w:val="en-US" w:eastAsia="zh-CN"/>
              </w:rPr>
            </w:pPr>
          </w:p>
        </w:tc>
        <w:tc>
          <w:tcPr>
            <w:tcW w:w="851" w:type="dxa"/>
            <w:vMerge w:val="continue"/>
            <w:vAlign w:val="center"/>
          </w:tcPr>
          <w:p w14:paraId="5FC3DA38">
            <w:pPr>
              <w:widowControl/>
              <w:ind w:firstLine="0" w:firstLineChars="0"/>
              <w:jc w:val="center"/>
              <w:rPr>
                <w:rFonts w:hint="eastAsia" w:ascii="仿宋_GB2312" w:hAnsi="仿宋_GB2312" w:eastAsia="仿宋_GB2312" w:cs="仿宋_GB2312"/>
                <w:color w:val="auto"/>
                <w:kern w:val="0"/>
                <w:sz w:val="24"/>
                <w:szCs w:val="24"/>
                <w:highlight w:val="none"/>
              </w:rPr>
            </w:pPr>
          </w:p>
        </w:tc>
        <w:tc>
          <w:tcPr>
            <w:tcW w:w="1275" w:type="dxa"/>
            <w:vMerge w:val="continue"/>
            <w:vAlign w:val="center"/>
          </w:tcPr>
          <w:p w14:paraId="425F2978">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79B98E69">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r>
              <w:rPr>
                <w:rFonts w:hint="eastAsia" w:ascii="仿宋_GB2312" w:hAnsi="仿宋_GB2312" w:cs="仿宋_GB2312"/>
                <w:color w:val="auto"/>
                <w:kern w:val="0"/>
                <w:sz w:val="24"/>
                <w:szCs w:val="24"/>
                <w:highlight w:val="none"/>
                <w:lang w:val="en-US" w:eastAsia="zh-CN"/>
              </w:rPr>
              <w:t>数据清洗</w:t>
            </w:r>
          </w:p>
        </w:tc>
        <w:tc>
          <w:tcPr>
            <w:tcW w:w="5488" w:type="dxa"/>
            <w:vAlign w:val="center"/>
          </w:tcPr>
          <w:p w14:paraId="128606F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支持对检验标本、检验项、检验单位等字段进行清洗与标准化处理，输出统一、规范的数据集</w:t>
            </w:r>
          </w:p>
        </w:tc>
      </w:tr>
      <w:tr w14:paraId="512D2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6798A6A">
            <w:pPr>
              <w:widowControl/>
              <w:ind w:firstLine="0" w:firstLineChars="0"/>
              <w:jc w:val="center"/>
              <w:rPr>
                <w:rFonts w:hint="eastAsia" w:ascii="仿宋_GB2312" w:hAnsi="仿宋_GB2312" w:cs="仿宋_GB2312"/>
                <w:color w:val="auto"/>
                <w:kern w:val="0"/>
                <w:sz w:val="24"/>
                <w:szCs w:val="24"/>
                <w:lang w:val="en-US" w:eastAsia="zh-CN"/>
              </w:rPr>
            </w:pPr>
          </w:p>
        </w:tc>
        <w:tc>
          <w:tcPr>
            <w:tcW w:w="851" w:type="dxa"/>
            <w:vMerge w:val="continue"/>
            <w:vAlign w:val="center"/>
          </w:tcPr>
          <w:p w14:paraId="43704592">
            <w:pPr>
              <w:widowControl/>
              <w:ind w:firstLine="0" w:firstLineChars="0"/>
              <w:jc w:val="center"/>
              <w:rPr>
                <w:rFonts w:hint="eastAsia" w:ascii="仿宋_GB2312" w:hAnsi="仿宋_GB2312" w:eastAsia="仿宋_GB2312" w:cs="仿宋_GB2312"/>
                <w:color w:val="auto"/>
                <w:kern w:val="0"/>
                <w:sz w:val="24"/>
                <w:szCs w:val="24"/>
                <w:highlight w:val="none"/>
              </w:rPr>
            </w:pPr>
          </w:p>
        </w:tc>
        <w:tc>
          <w:tcPr>
            <w:tcW w:w="1275" w:type="dxa"/>
            <w:vMerge w:val="continue"/>
            <w:vAlign w:val="center"/>
          </w:tcPr>
          <w:p w14:paraId="326A0B24">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0C99B92E">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r>
              <w:rPr>
                <w:rFonts w:hint="eastAsia" w:ascii="仿宋_GB2312" w:hAnsi="仿宋_GB2312" w:cs="仿宋_GB2312"/>
                <w:color w:val="auto"/>
                <w:kern w:val="0"/>
                <w:sz w:val="24"/>
                <w:szCs w:val="24"/>
                <w:highlight w:val="none"/>
                <w:lang w:val="en-US" w:eastAsia="zh-CN"/>
              </w:rPr>
              <w:t>数据结构化</w:t>
            </w:r>
          </w:p>
        </w:tc>
        <w:tc>
          <w:tcPr>
            <w:tcW w:w="5488" w:type="dxa"/>
            <w:vAlign w:val="center"/>
          </w:tcPr>
          <w:p w14:paraId="1D08476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采用结构化处理技术，对检验项参考区间进行智能解析，拆分为参考区间上界与下界，便于后续分析与应用。</w:t>
            </w:r>
          </w:p>
        </w:tc>
      </w:tr>
      <w:tr w14:paraId="11C3D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3775CFD">
            <w:pPr>
              <w:widowControl/>
              <w:ind w:firstLine="0" w:firstLineChars="0"/>
              <w:jc w:val="center"/>
              <w:rPr>
                <w:rFonts w:hint="eastAsia" w:ascii="仿宋_GB2312" w:hAnsi="仿宋_GB2312" w:cs="仿宋_GB2312"/>
                <w:color w:val="auto"/>
                <w:kern w:val="0"/>
                <w:sz w:val="24"/>
                <w:szCs w:val="24"/>
                <w:lang w:val="en-US" w:eastAsia="zh-CN"/>
              </w:rPr>
            </w:pPr>
          </w:p>
        </w:tc>
        <w:tc>
          <w:tcPr>
            <w:tcW w:w="851" w:type="dxa"/>
            <w:vMerge w:val="continue"/>
            <w:vAlign w:val="center"/>
          </w:tcPr>
          <w:p w14:paraId="6E8F5C18">
            <w:pPr>
              <w:widowControl/>
              <w:ind w:firstLine="0" w:firstLineChars="0"/>
              <w:jc w:val="center"/>
              <w:rPr>
                <w:rFonts w:hint="eastAsia" w:ascii="仿宋_GB2312" w:hAnsi="仿宋_GB2312" w:eastAsia="仿宋_GB2312" w:cs="仿宋_GB2312"/>
                <w:color w:val="auto"/>
                <w:kern w:val="0"/>
                <w:sz w:val="24"/>
                <w:szCs w:val="24"/>
                <w:highlight w:val="none"/>
              </w:rPr>
            </w:pPr>
          </w:p>
        </w:tc>
        <w:tc>
          <w:tcPr>
            <w:tcW w:w="1275" w:type="dxa"/>
            <w:vMerge w:val="continue"/>
            <w:vAlign w:val="center"/>
          </w:tcPr>
          <w:p w14:paraId="477A5229">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05FAA422">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r>
              <w:rPr>
                <w:rFonts w:hint="eastAsia" w:ascii="仿宋_GB2312" w:hAnsi="仿宋_GB2312" w:cs="仿宋_GB2312"/>
                <w:color w:val="auto"/>
                <w:kern w:val="0"/>
                <w:sz w:val="24"/>
                <w:szCs w:val="24"/>
                <w:highlight w:val="none"/>
                <w:lang w:val="en-US" w:eastAsia="zh-CN"/>
              </w:rPr>
              <w:t>数据留存</w:t>
            </w:r>
          </w:p>
        </w:tc>
        <w:tc>
          <w:tcPr>
            <w:tcW w:w="5488" w:type="dxa"/>
            <w:vAlign w:val="center"/>
          </w:tcPr>
          <w:p w14:paraId="2BB6E103">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在清洗过程中同步保存原始数据与标准化结果，支持数据质量监控与回溯分析。</w:t>
            </w:r>
          </w:p>
        </w:tc>
      </w:tr>
      <w:tr w14:paraId="48012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84E8A6C">
            <w:pPr>
              <w:widowControl/>
              <w:ind w:firstLine="0" w:firstLineChars="0"/>
              <w:jc w:val="center"/>
              <w:rPr>
                <w:rFonts w:hint="eastAsia" w:ascii="仿宋_GB2312" w:hAnsi="仿宋_GB2312" w:cs="仿宋_GB2312"/>
                <w:color w:val="auto"/>
                <w:kern w:val="0"/>
                <w:sz w:val="28"/>
                <w:szCs w:val="28"/>
                <w:lang w:val="en-US" w:eastAsia="zh-CN"/>
              </w:rPr>
            </w:pPr>
          </w:p>
        </w:tc>
        <w:tc>
          <w:tcPr>
            <w:tcW w:w="851" w:type="dxa"/>
            <w:vMerge w:val="continue"/>
            <w:vAlign w:val="center"/>
          </w:tcPr>
          <w:p w14:paraId="73287B39">
            <w:pPr>
              <w:widowControl/>
              <w:ind w:firstLine="0" w:firstLineChars="0"/>
              <w:jc w:val="center"/>
              <w:rPr>
                <w:rFonts w:hint="eastAsia" w:ascii="仿宋_GB2312" w:hAnsi="仿宋_GB2312" w:eastAsia="仿宋_GB2312" w:cs="仿宋_GB2312"/>
                <w:color w:val="auto"/>
                <w:kern w:val="0"/>
                <w:sz w:val="28"/>
                <w:szCs w:val="28"/>
                <w:highlight w:val="none"/>
              </w:rPr>
            </w:pPr>
          </w:p>
        </w:tc>
        <w:tc>
          <w:tcPr>
            <w:tcW w:w="1275" w:type="dxa"/>
            <w:vMerge w:val="restart"/>
            <w:vAlign w:val="center"/>
          </w:tcPr>
          <w:p w14:paraId="0145F81E">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r>
              <w:rPr>
                <w:rFonts w:hint="eastAsia" w:ascii="仿宋_GB2312" w:hAnsi="仿宋_GB2312" w:cs="仿宋_GB2312"/>
                <w:color w:val="auto"/>
                <w:kern w:val="0"/>
                <w:sz w:val="24"/>
                <w:szCs w:val="24"/>
                <w:highlight w:val="none"/>
                <w:lang w:eastAsia="zh-CN"/>
              </w:rPr>
              <w:t>报告解读</w:t>
            </w:r>
          </w:p>
        </w:tc>
        <w:tc>
          <w:tcPr>
            <w:tcW w:w="1418" w:type="dxa"/>
            <w:vAlign w:val="center"/>
          </w:tcPr>
          <w:p w14:paraId="638E47E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报告列表</w:t>
            </w:r>
          </w:p>
        </w:tc>
        <w:tc>
          <w:tcPr>
            <w:tcW w:w="5488" w:type="dxa"/>
            <w:vAlign w:val="center"/>
          </w:tcPr>
          <w:p w14:paraId="411AEA7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清晰展示患者基本信息（姓名、性别、年龄、患者ID）及报告列表（报告名称、报告时间、报告类型），便于快速查阅。</w:t>
            </w:r>
          </w:p>
        </w:tc>
      </w:tr>
      <w:tr w14:paraId="363A5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0BA6A6F">
            <w:pPr>
              <w:widowControl/>
              <w:ind w:firstLine="0" w:firstLineChars="0"/>
              <w:jc w:val="center"/>
              <w:rPr>
                <w:rFonts w:hint="eastAsia" w:ascii="仿宋_GB2312" w:hAnsi="仿宋_GB2312" w:cs="仿宋_GB2312"/>
                <w:color w:val="auto"/>
                <w:kern w:val="0"/>
                <w:sz w:val="28"/>
                <w:szCs w:val="28"/>
                <w:lang w:val="en-US" w:eastAsia="zh-CN"/>
              </w:rPr>
            </w:pPr>
          </w:p>
        </w:tc>
        <w:tc>
          <w:tcPr>
            <w:tcW w:w="851" w:type="dxa"/>
            <w:vMerge w:val="continue"/>
            <w:vAlign w:val="center"/>
          </w:tcPr>
          <w:p w14:paraId="7BE51A21">
            <w:pPr>
              <w:widowControl/>
              <w:ind w:firstLine="0" w:firstLineChars="0"/>
              <w:jc w:val="center"/>
              <w:rPr>
                <w:rFonts w:hint="eastAsia" w:ascii="仿宋_GB2312" w:hAnsi="仿宋_GB2312" w:eastAsia="仿宋_GB2312" w:cs="仿宋_GB2312"/>
                <w:color w:val="auto"/>
                <w:kern w:val="0"/>
                <w:sz w:val="28"/>
                <w:szCs w:val="28"/>
                <w:highlight w:val="none"/>
              </w:rPr>
            </w:pPr>
          </w:p>
        </w:tc>
        <w:tc>
          <w:tcPr>
            <w:tcW w:w="1275" w:type="dxa"/>
            <w:vMerge w:val="continue"/>
            <w:vAlign w:val="center"/>
          </w:tcPr>
          <w:p w14:paraId="73413ABA">
            <w:pPr>
              <w:widowControl/>
              <w:tabs>
                <w:tab w:val="left" w:pos="492"/>
              </w:tabs>
              <w:ind w:firstLine="0" w:firstLineChars="0"/>
              <w:jc w:val="center"/>
              <w:rPr>
                <w:rFonts w:hint="eastAsia" w:ascii="仿宋_GB2312" w:hAnsi="仿宋_GB2312" w:cs="仿宋_GB2312"/>
                <w:color w:val="auto"/>
                <w:kern w:val="0"/>
                <w:sz w:val="28"/>
                <w:szCs w:val="28"/>
                <w:highlight w:val="none"/>
                <w:lang w:eastAsia="zh-CN"/>
              </w:rPr>
            </w:pPr>
          </w:p>
        </w:tc>
        <w:tc>
          <w:tcPr>
            <w:tcW w:w="1418" w:type="dxa"/>
            <w:vAlign w:val="center"/>
          </w:tcPr>
          <w:p w14:paraId="494B3DE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报告筛选</w:t>
            </w:r>
          </w:p>
        </w:tc>
        <w:tc>
          <w:tcPr>
            <w:tcW w:w="5488" w:type="dxa"/>
            <w:vAlign w:val="center"/>
          </w:tcPr>
          <w:p w14:paraId="3840A673">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支持按报告名称搜索，并可根据报告类型、院区、时间等条件进行筛选或重置操作。</w:t>
            </w:r>
          </w:p>
        </w:tc>
      </w:tr>
      <w:tr w14:paraId="2AEBC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A148B8C">
            <w:pPr>
              <w:widowControl/>
              <w:ind w:firstLine="0" w:firstLineChars="0"/>
              <w:jc w:val="center"/>
              <w:rPr>
                <w:rFonts w:hint="eastAsia" w:ascii="仿宋_GB2312" w:hAnsi="仿宋_GB2312" w:cs="仿宋_GB2312"/>
                <w:color w:val="auto"/>
                <w:kern w:val="0"/>
                <w:sz w:val="28"/>
                <w:szCs w:val="28"/>
                <w:lang w:val="en-US" w:eastAsia="zh-CN"/>
              </w:rPr>
            </w:pPr>
          </w:p>
        </w:tc>
        <w:tc>
          <w:tcPr>
            <w:tcW w:w="851" w:type="dxa"/>
            <w:vMerge w:val="continue"/>
            <w:vAlign w:val="center"/>
          </w:tcPr>
          <w:p w14:paraId="3FF556C8">
            <w:pPr>
              <w:widowControl/>
              <w:ind w:firstLine="0" w:firstLineChars="0"/>
              <w:jc w:val="center"/>
              <w:rPr>
                <w:rFonts w:hint="eastAsia" w:ascii="仿宋_GB2312" w:hAnsi="仿宋_GB2312" w:eastAsia="仿宋_GB2312" w:cs="仿宋_GB2312"/>
                <w:color w:val="auto"/>
                <w:kern w:val="0"/>
                <w:sz w:val="28"/>
                <w:szCs w:val="28"/>
                <w:highlight w:val="none"/>
              </w:rPr>
            </w:pPr>
          </w:p>
        </w:tc>
        <w:tc>
          <w:tcPr>
            <w:tcW w:w="1275" w:type="dxa"/>
            <w:vMerge w:val="continue"/>
            <w:vAlign w:val="center"/>
          </w:tcPr>
          <w:p w14:paraId="19636574">
            <w:pPr>
              <w:widowControl/>
              <w:tabs>
                <w:tab w:val="left" w:pos="492"/>
              </w:tabs>
              <w:ind w:firstLine="0" w:firstLineChars="0"/>
              <w:jc w:val="center"/>
              <w:rPr>
                <w:rFonts w:hint="eastAsia" w:ascii="仿宋_GB2312" w:hAnsi="仿宋_GB2312" w:cs="仿宋_GB2312"/>
                <w:color w:val="auto"/>
                <w:kern w:val="0"/>
                <w:sz w:val="28"/>
                <w:szCs w:val="28"/>
                <w:highlight w:val="none"/>
                <w:lang w:eastAsia="zh-CN"/>
              </w:rPr>
            </w:pPr>
          </w:p>
        </w:tc>
        <w:tc>
          <w:tcPr>
            <w:tcW w:w="1418" w:type="dxa"/>
            <w:vAlign w:val="center"/>
          </w:tcPr>
          <w:p w14:paraId="6E8C229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检验报告详情</w:t>
            </w:r>
          </w:p>
        </w:tc>
        <w:tc>
          <w:tcPr>
            <w:tcW w:w="5488" w:type="dxa"/>
            <w:vAlign w:val="center"/>
          </w:tcPr>
          <w:p w14:paraId="3A8407B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完整呈现检验报告基本信息（报告名称、标本类型、院区、报告时间）及详细内容（检验项目、结果、参考值、单位）。</w:t>
            </w:r>
          </w:p>
        </w:tc>
      </w:tr>
      <w:tr w14:paraId="369BD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9951C8F">
            <w:pPr>
              <w:widowControl/>
              <w:ind w:firstLine="0" w:firstLineChars="0"/>
              <w:jc w:val="center"/>
              <w:rPr>
                <w:rFonts w:hint="eastAsia" w:ascii="仿宋_GB2312" w:hAnsi="仿宋_GB2312" w:cs="仿宋_GB2312"/>
                <w:color w:val="auto"/>
                <w:kern w:val="0"/>
                <w:sz w:val="28"/>
                <w:szCs w:val="28"/>
                <w:lang w:val="en-US" w:eastAsia="zh-CN"/>
              </w:rPr>
            </w:pPr>
          </w:p>
        </w:tc>
        <w:tc>
          <w:tcPr>
            <w:tcW w:w="851" w:type="dxa"/>
            <w:vMerge w:val="continue"/>
            <w:vAlign w:val="center"/>
          </w:tcPr>
          <w:p w14:paraId="58EA2631">
            <w:pPr>
              <w:widowControl/>
              <w:ind w:firstLine="0" w:firstLineChars="0"/>
              <w:jc w:val="center"/>
              <w:rPr>
                <w:rFonts w:hint="eastAsia" w:ascii="仿宋_GB2312" w:hAnsi="仿宋_GB2312" w:eastAsia="仿宋_GB2312" w:cs="仿宋_GB2312"/>
                <w:color w:val="auto"/>
                <w:kern w:val="0"/>
                <w:sz w:val="28"/>
                <w:szCs w:val="28"/>
                <w:highlight w:val="none"/>
              </w:rPr>
            </w:pPr>
          </w:p>
        </w:tc>
        <w:tc>
          <w:tcPr>
            <w:tcW w:w="1275" w:type="dxa"/>
            <w:vMerge w:val="continue"/>
            <w:vAlign w:val="center"/>
          </w:tcPr>
          <w:p w14:paraId="0AD74733">
            <w:pPr>
              <w:widowControl/>
              <w:tabs>
                <w:tab w:val="left" w:pos="492"/>
              </w:tabs>
              <w:ind w:firstLine="0" w:firstLineChars="0"/>
              <w:jc w:val="center"/>
              <w:rPr>
                <w:rFonts w:hint="eastAsia" w:ascii="仿宋_GB2312" w:hAnsi="仿宋_GB2312" w:cs="仿宋_GB2312"/>
                <w:color w:val="auto"/>
                <w:kern w:val="0"/>
                <w:sz w:val="28"/>
                <w:szCs w:val="28"/>
                <w:highlight w:val="none"/>
                <w:lang w:eastAsia="zh-CN"/>
              </w:rPr>
            </w:pPr>
          </w:p>
        </w:tc>
        <w:tc>
          <w:tcPr>
            <w:tcW w:w="1418" w:type="dxa"/>
            <w:vAlign w:val="center"/>
          </w:tcPr>
          <w:p w14:paraId="5C8F0D8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检查报告详情</w:t>
            </w:r>
          </w:p>
        </w:tc>
        <w:tc>
          <w:tcPr>
            <w:tcW w:w="5488" w:type="dxa"/>
            <w:vAlign w:val="center"/>
          </w:tcPr>
          <w:p w14:paraId="0FBC79F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完整呈现检查报告基本信息（报告名称、院区、报告时间）及详细内容（检查所见、检查结论）。</w:t>
            </w:r>
          </w:p>
        </w:tc>
      </w:tr>
      <w:tr w14:paraId="7B3FC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FE167D3">
            <w:pPr>
              <w:widowControl/>
              <w:ind w:firstLine="0" w:firstLineChars="0"/>
              <w:jc w:val="center"/>
              <w:rPr>
                <w:rFonts w:hint="eastAsia" w:ascii="仿宋_GB2312" w:hAnsi="仿宋_GB2312" w:cs="仿宋_GB2312"/>
                <w:color w:val="auto"/>
                <w:kern w:val="0"/>
                <w:sz w:val="28"/>
                <w:szCs w:val="28"/>
                <w:lang w:val="en-US" w:eastAsia="zh-CN"/>
              </w:rPr>
            </w:pPr>
          </w:p>
        </w:tc>
        <w:tc>
          <w:tcPr>
            <w:tcW w:w="851" w:type="dxa"/>
            <w:vMerge w:val="continue"/>
            <w:vAlign w:val="center"/>
          </w:tcPr>
          <w:p w14:paraId="07690D0F">
            <w:pPr>
              <w:widowControl/>
              <w:ind w:firstLine="0" w:firstLineChars="0"/>
              <w:jc w:val="center"/>
              <w:rPr>
                <w:rFonts w:hint="eastAsia" w:ascii="仿宋_GB2312" w:hAnsi="仿宋_GB2312" w:eastAsia="仿宋_GB2312" w:cs="仿宋_GB2312"/>
                <w:color w:val="auto"/>
                <w:kern w:val="0"/>
                <w:sz w:val="28"/>
                <w:szCs w:val="28"/>
                <w:highlight w:val="none"/>
              </w:rPr>
            </w:pPr>
          </w:p>
        </w:tc>
        <w:tc>
          <w:tcPr>
            <w:tcW w:w="1275" w:type="dxa"/>
            <w:vMerge w:val="continue"/>
            <w:vAlign w:val="center"/>
          </w:tcPr>
          <w:p w14:paraId="667E30D1">
            <w:pPr>
              <w:widowControl/>
              <w:tabs>
                <w:tab w:val="left" w:pos="492"/>
              </w:tabs>
              <w:ind w:firstLine="0" w:firstLineChars="0"/>
              <w:jc w:val="center"/>
              <w:rPr>
                <w:rFonts w:hint="eastAsia" w:ascii="仿宋_GB2312" w:hAnsi="仿宋_GB2312" w:cs="仿宋_GB2312"/>
                <w:color w:val="auto"/>
                <w:kern w:val="0"/>
                <w:sz w:val="28"/>
                <w:szCs w:val="28"/>
                <w:highlight w:val="none"/>
                <w:lang w:eastAsia="zh-CN"/>
              </w:rPr>
            </w:pPr>
          </w:p>
        </w:tc>
        <w:tc>
          <w:tcPr>
            <w:tcW w:w="1418" w:type="dxa"/>
            <w:vAlign w:val="center"/>
          </w:tcPr>
          <w:p w14:paraId="5561C11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综合解读</w:t>
            </w:r>
          </w:p>
        </w:tc>
        <w:tc>
          <w:tcPr>
            <w:tcW w:w="5488" w:type="dxa"/>
            <w:vAlign w:val="center"/>
          </w:tcPr>
          <w:p w14:paraId="11FC01F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基于医疗大模型技术，对患者检验/检查报告结果进行多维度综合分析。自动生成分层建议，如“急需处理”、“中期随访”、“长期管理”模块内容。</w:t>
            </w:r>
          </w:p>
        </w:tc>
      </w:tr>
      <w:tr w14:paraId="1CE34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8929395">
            <w:pPr>
              <w:widowControl/>
              <w:ind w:firstLine="0" w:firstLineChars="0"/>
              <w:jc w:val="center"/>
              <w:rPr>
                <w:rFonts w:hint="eastAsia" w:ascii="仿宋_GB2312" w:hAnsi="仿宋_GB2312" w:cs="仿宋_GB2312"/>
                <w:color w:val="auto"/>
                <w:kern w:val="0"/>
                <w:sz w:val="28"/>
                <w:szCs w:val="28"/>
                <w:lang w:val="en-US" w:eastAsia="zh-CN"/>
              </w:rPr>
            </w:pPr>
          </w:p>
        </w:tc>
        <w:tc>
          <w:tcPr>
            <w:tcW w:w="851" w:type="dxa"/>
            <w:vMerge w:val="continue"/>
            <w:vAlign w:val="center"/>
          </w:tcPr>
          <w:p w14:paraId="2E5BB4B5">
            <w:pPr>
              <w:widowControl/>
              <w:ind w:firstLine="0" w:firstLineChars="0"/>
              <w:jc w:val="center"/>
              <w:rPr>
                <w:rFonts w:hint="eastAsia" w:ascii="仿宋_GB2312" w:hAnsi="仿宋_GB2312" w:eastAsia="仿宋_GB2312" w:cs="仿宋_GB2312"/>
                <w:color w:val="auto"/>
                <w:kern w:val="0"/>
                <w:sz w:val="28"/>
                <w:szCs w:val="28"/>
                <w:highlight w:val="none"/>
              </w:rPr>
            </w:pPr>
          </w:p>
        </w:tc>
        <w:tc>
          <w:tcPr>
            <w:tcW w:w="1275" w:type="dxa"/>
            <w:vMerge w:val="continue"/>
            <w:vAlign w:val="center"/>
          </w:tcPr>
          <w:p w14:paraId="18C45873">
            <w:pPr>
              <w:widowControl/>
              <w:tabs>
                <w:tab w:val="left" w:pos="492"/>
              </w:tabs>
              <w:ind w:firstLine="0" w:firstLineChars="0"/>
              <w:jc w:val="center"/>
              <w:rPr>
                <w:rFonts w:hint="eastAsia" w:ascii="仿宋_GB2312" w:hAnsi="仿宋_GB2312" w:cs="仿宋_GB2312"/>
                <w:color w:val="auto"/>
                <w:kern w:val="0"/>
                <w:sz w:val="28"/>
                <w:szCs w:val="28"/>
                <w:highlight w:val="none"/>
                <w:lang w:eastAsia="zh-CN"/>
              </w:rPr>
            </w:pPr>
          </w:p>
        </w:tc>
        <w:tc>
          <w:tcPr>
            <w:tcW w:w="1418" w:type="dxa"/>
            <w:vAlign w:val="center"/>
          </w:tcPr>
          <w:p w14:paraId="4278DFC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解读范围</w:t>
            </w:r>
          </w:p>
        </w:tc>
        <w:tc>
          <w:tcPr>
            <w:tcW w:w="5488" w:type="dxa"/>
            <w:vAlign w:val="center"/>
          </w:tcPr>
          <w:p w14:paraId="05779DB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支持用户自行选择近一月、近三月、近一年等时间范围内的全部检验检查结果进行综合解读。</w:t>
            </w:r>
          </w:p>
        </w:tc>
      </w:tr>
      <w:tr w14:paraId="5673D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83529EB">
            <w:pPr>
              <w:widowControl/>
              <w:ind w:firstLine="0" w:firstLineChars="0"/>
              <w:jc w:val="center"/>
              <w:rPr>
                <w:rFonts w:hint="eastAsia" w:ascii="仿宋_GB2312" w:hAnsi="仿宋_GB2312" w:cs="仿宋_GB2312"/>
                <w:color w:val="auto"/>
                <w:kern w:val="0"/>
                <w:sz w:val="28"/>
                <w:szCs w:val="28"/>
                <w:lang w:val="en-US" w:eastAsia="zh-CN"/>
              </w:rPr>
            </w:pPr>
          </w:p>
        </w:tc>
        <w:tc>
          <w:tcPr>
            <w:tcW w:w="851" w:type="dxa"/>
            <w:vMerge w:val="continue"/>
            <w:vAlign w:val="center"/>
          </w:tcPr>
          <w:p w14:paraId="1D2E48C9">
            <w:pPr>
              <w:widowControl/>
              <w:ind w:firstLine="0" w:firstLineChars="0"/>
              <w:jc w:val="center"/>
              <w:rPr>
                <w:rFonts w:hint="eastAsia" w:ascii="仿宋_GB2312" w:hAnsi="仿宋_GB2312" w:eastAsia="仿宋_GB2312" w:cs="仿宋_GB2312"/>
                <w:color w:val="auto"/>
                <w:kern w:val="0"/>
                <w:sz w:val="28"/>
                <w:szCs w:val="28"/>
                <w:highlight w:val="none"/>
              </w:rPr>
            </w:pPr>
          </w:p>
        </w:tc>
        <w:tc>
          <w:tcPr>
            <w:tcW w:w="1275" w:type="dxa"/>
            <w:vMerge w:val="continue"/>
            <w:vAlign w:val="center"/>
          </w:tcPr>
          <w:p w14:paraId="3A5D5B55">
            <w:pPr>
              <w:widowControl/>
              <w:tabs>
                <w:tab w:val="left" w:pos="492"/>
              </w:tabs>
              <w:ind w:firstLine="0" w:firstLineChars="0"/>
              <w:jc w:val="center"/>
              <w:rPr>
                <w:rFonts w:hint="eastAsia" w:ascii="仿宋_GB2312" w:hAnsi="仿宋_GB2312" w:cs="仿宋_GB2312"/>
                <w:color w:val="auto"/>
                <w:kern w:val="0"/>
                <w:sz w:val="28"/>
                <w:szCs w:val="28"/>
                <w:highlight w:val="none"/>
                <w:lang w:eastAsia="zh-CN"/>
              </w:rPr>
            </w:pPr>
          </w:p>
        </w:tc>
        <w:tc>
          <w:tcPr>
            <w:tcW w:w="1418" w:type="dxa"/>
            <w:vAlign w:val="center"/>
          </w:tcPr>
          <w:p w14:paraId="50050DD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临床依据</w:t>
            </w:r>
          </w:p>
        </w:tc>
        <w:tc>
          <w:tcPr>
            <w:tcW w:w="5488" w:type="dxa"/>
            <w:vAlign w:val="center"/>
          </w:tcPr>
          <w:p w14:paraId="6BB0DDB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明确列出系统风险对应的临床依据，支持查看相关检验/检查原始报告内容，增强解读可信度。</w:t>
            </w:r>
          </w:p>
        </w:tc>
      </w:tr>
      <w:tr w14:paraId="35415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E722CC3">
            <w:pPr>
              <w:widowControl/>
              <w:ind w:firstLine="0" w:firstLineChars="0"/>
              <w:jc w:val="center"/>
              <w:rPr>
                <w:rFonts w:hint="eastAsia" w:ascii="仿宋_GB2312" w:hAnsi="仿宋_GB2312" w:cs="仿宋_GB2312"/>
                <w:color w:val="auto"/>
                <w:kern w:val="0"/>
                <w:sz w:val="28"/>
                <w:szCs w:val="28"/>
                <w:lang w:val="en-US" w:eastAsia="zh-CN"/>
              </w:rPr>
            </w:pPr>
          </w:p>
        </w:tc>
        <w:tc>
          <w:tcPr>
            <w:tcW w:w="851" w:type="dxa"/>
            <w:vMerge w:val="continue"/>
            <w:vAlign w:val="center"/>
          </w:tcPr>
          <w:p w14:paraId="66C7166A">
            <w:pPr>
              <w:widowControl/>
              <w:ind w:firstLine="0" w:firstLineChars="0"/>
              <w:jc w:val="center"/>
              <w:rPr>
                <w:rFonts w:hint="eastAsia" w:ascii="仿宋_GB2312" w:hAnsi="仿宋_GB2312" w:eastAsia="仿宋_GB2312" w:cs="仿宋_GB2312"/>
                <w:color w:val="auto"/>
                <w:kern w:val="0"/>
                <w:sz w:val="28"/>
                <w:szCs w:val="28"/>
                <w:highlight w:val="none"/>
              </w:rPr>
            </w:pPr>
          </w:p>
        </w:tc>
        <w:tc>
          <w:tcPr>
            <w:tcW w:w="1275" w:type="dxa"/>
            <w:vMerge w:val="continue"/>
            <w:vAlign w:val="center"/>
          </w:tcPr>
          <w:p w14:paraId="32E4073B">
            <w:pPr>
              <w:widowControl/>
              <w:tabs>
                <w:tab w:val="left" w:pos="492"/>
              </w:tabs>
              <w:ind w:firstLine="0" w:firstLineChars="0"/>
              <w:jc w:val="center"/>
              <w:rPr>
                <w:rFonts w:hint="eastAsia" w:ascii="仿宋_GB2312" w:hAnsi="仿宋_GB2312" w:cs="仿宋_GB2312"/>
                <w:color w:val="auto"/>
                <w:kern w:val="0"/>
                <w:sz w:val="28"/>
                <w:szCs w:val="28"/>
                <w:highlight w:val="none"/>
                <w:lang w:eastAsia="zh-CN"/>
              </w:rPr>
            </w:pPr>
          </w:p>
        </w:tc>
        <w:tc>
          <w:tcPr>
            <w:tcW w:w="1418" w:type="dxa"/>
            <w:vAlign w:val="center"/>
          </w:tcPr>
          <w:p w14:paraId="213B374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推荐就诊与挂号</w:t>
            </w:r>
          </w:p>
        </w:tc>
        <w:tc>
          <w:tcPr>
            <w:tcW w:w="5488" w:type="dxa"/>
            <w:vAlign w:val="center"/>
          </w:tcPr>
          <w:p w14:paraId="3529351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根据解读结果智能推荐最适合的就诊科室，支持一键跳转至院内挂号系统，提升就医便捷性。</w:t>
            </w:r>
          </w:p>
        </w:tc>
      </w:tr>
      <w:tr w14:paraId="4711F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restart"/>
            <w:vAlign w:val="center"/>
          </w:tcPr>
          <w:p w14:paraId="1E093BF6">
            <w:pPr>
              <w:widowControl/>
              <w:tabs>
                <w:tab w:val="left" w:pos="492"/>
              </w:tabs>
              <w:ind w:firstLine="0" w:firstLineChars="0"/>
              <w:jc w:val="center"/>
              <w:rPr>
                <w:rFonts w:hint="default"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2</w:t>
            </w:r>
          </w:p>
        </w:tc>
        <w:tc>
          <w:tcPr>
            <w:tcW w:w="851" w:type="dxa"/>
            <w:vMerge w:val="restart"/>
            <w:vAlign w:val="center"/>
          </w:tcPr>
          <w:p w14:paraId="393CE780">
            <w:pPr>
              <w:widowControl/>
              <w:tabs>
                <w:tab w:val="left" w:pos="492"/>
              </w:tabs>
              <w:ind w:firstLine="0" w:firstLineChars="0"/>
              <w:jc w:val="center"/>
              <w:rPr>
                <w:rFonts w:hint="default"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患者智能问答</w:t>
            </w:r>
          </w:p>
        </w:tc>
        <w:tc>
          <w:tcPr>
            <w:tcW w:w="1275" w:type="dxa"/>
            <w:vMerge w:val="restart"/>
            <w:vAlign w:val="center"/>
          </w:tcPr>
          <w:p w14:paraId="033B3ABB">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r>
              <w:rPr>
                <w:rFonts w:hint="eastAsia" w:ascii="仿宋_GB2312" w:hAnsi="仿宋_GB2312" w:cs="仿宋_GB2312"/>
                <w:color w:val="auto"/>
                <w:kern w:val="0"/>
                <w:sz w:val="24"/>
                <w:szCs w:val="24"/>
                <w:highlight w:val="none"/>
                <w:lang w:eastAsia="zh-CN"/>
              </w:rPr>
              <w:t>院内知识</w:t>
            </w:r>
          </w:p>
          <w:p w14:paraId="14F223B7">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r>
              <w:rPr>
                <w:rFonts w:hint="eastAsia" w:ascii="仿宋_GB2312" w:hAnsi="仿宋_GB2312" w:cs="仿宋_GB2312"/>
                <w:color w:val="auto"/>
                <w:kern w:val="0"/>
                <w:sz w:val="24"/>
                <w:szCs w:val="24"/>
                <w:highlight w:val="none"/>
                <w:lang w:eastAsia="zh-CN"/>
              </w:rPr>
              <w:t>中枢</w:t>
            </w:r>
          </w:p>
        </w:tc>
        <w:tc>
          <w:tcPr>
            <w:tcW w:w="1418" w:type="dxa"/>
            <w:vAlign w:val="center"/>
          </w:tcPr>
          <w:p w14:paraId="359FA23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知识文件上传</w:t>
            </w:r>
          </w:p>
        </w:tc>
        <w:tc>
          <w:tcPr>
            <w:tcW w:w="5488" w:type="dxa"/>
            <w:vAlign w:val="center"/>
          </w:tcPr>
          <w:p w14:paraId="471317F0">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支持本地文件选择与拖拽两种方式批量上传，兼容 PDF、Word、Excel 等主流医疗文档格式，单次批量上传不少于 20 份文件，单份 PDF 支持不小于 50MB；上传时可选择已有分类或即时新建分类，无需先行创建；「医护知识库」与「客服知识库」双库分别独立上传，知识口径互不串库。</w:t>
            </w:r>
          </w:p>
        </w:tc>
      </w:tr>
      <w:tr w14:paraId="30FFB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0BCA6B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291DD840">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vAlign w:val="center"/>
          </w:tcPr>
          <w:p w14:paraId="137F75FC">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656FE80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文件深度解析与向量化</w:t>
            </w:r>
          </w:p>
        </w:tc>
        <w:tc>
          <w:tcPr>
            <w:tcW w:w="5488" w:type="dxa"/>
            <w:vAlign w:val="center"/>
          </w:tcPr>
          <w:p w14:paraId="5F55E463">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文件上传后自动触发异步解析任务，识别正文、表格与目录结构，按语义与段落结构将长文档切分为细颗粒度知识片段，并逐片段调用嵌入模型生成语义向量；解析过程同步保留每个片段的原文件指针作为引用锚点，为后续答案一键回溯原文提供支撑。</w:t>
            </w:r>
          </w:p>
        </w:tc>
      </w:tr>
      <w:tr w14:paraId="711A0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71C1B2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11A31B54">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vAlign w:val="center"/>
          </w:tcPr>
          <w:p w14:paraId="746C4D19">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77B4C0F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解析状态管理</w:t>
            </w:r>
          </w:p>
        </w:tc>
        <w:tc>
          <w:tcPr>
            <w:tcW w:w="5488" w:type="dxa"/>
            <w:vAlign w:val="center"/>
          </w:tcPr>
          <w:p w14:paraId="1C4A2355">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列表实时呈现「解析中／解析完成／上传失败／解析失败」全流程状态并支持手动刷新；上传失败文件支持原地重新上传，解析失败文件支持基于已存文件直接重新解析，无需重复上传；医护、客服两库刷新相互独立，避免批量任务相互阻塞。</w:t>
            </w:r>
          </w:p>
        </w:tc>
      </w:tr>
      <w:tr w14:paraId="60D7B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2039CE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59D26347">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vAlign w:val="center"/>
          </w:tcPr>
          <w:p w14:paraId="266F2392">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0783902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知识分类管理</w:t>
            </w:r>
          </w:p>
        </w:tc>
        <w:tc>
          <w:tcPr>
            <w:tcW w:w="5488" w:type="dxa"/>
            <w:vAlign w:val="center"/>
          </w:tcPr>
          <w:p w14:paraId="541C181B">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支持知识分类的新增、重命名、删除与关键词查询，分类与文件双向关联并可统计各分类下的文件数量；系统内置「未分类」默认分类，不可编辑与删除；新建分类即时同步至文件上传的分类选择列表。</w:t>
            </w:r>
          </w:p>
        </w:tc>
      </w:tr>
      <w:tr w14:paraId="23332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C2AF61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5214E3BD">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vAlign w:val="center"/>
          </w:tcPr>
          <w:p w14:paraId="60F4CEE3">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1DE1A88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知识检索与维护</w:t>
            </w:r>
          </w:p>
        </w:tc>
        <w:tc>
          <w:tcPr>
            <w:tcW w:w="5488" w:type="dxa"/>
            <w:vAlign w:val="center"/>
          </w:tcPr>
          <w:p w14:paraId="7D4CC8B7">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支持按文件名称、上传者关键词模糊查询，按文件格式、解析状态、所属分类组合筛选，并提供查询与重置操作；支持 PDF、Word、Excel 文件在线预览、下载与删除，删除后同步从知识库索引中移除；支持单个文件或批量文件调整所属分类。</w:t>
            </w:r>
          </w:p>
        </w:tc>
      </w:tr>
      <w:tr w14:paraId="77DFB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D1F1C9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3505898">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restart"/>
            <w:vAlign w:val="center"/>
          </w:tcPr>
          <w:p w14:paraId="4CD9A789">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r>
              <w:rPr>
                <w:rFonts w:hint="eastAsia" w:ascii="仿宋_GB2312" w:hAnsi="仿宋_GB2312" w:cs="仿宋_GB2312"/>
                <w:color w:val="auto"/>
                <w:kern w:val="0"/>
                <w:sz w:val="24"/>
                <w:szCs w:val="24"/>
                <w:highlight w:val="none"/>
                <w:lang w:eastAsia="zh-CN"/>
              </w:rPr>
              <w:t>患者智能客服</w:t>
            </w:r>
          </w:p>
        </w:tc>
        <w:tc>
          <w:tcPr>
            <w:tcW w:w="1418" w:type="dxa"/>
            <w:vAlign w:val="center"/>
          </w:tcPr>
          <w:p w14:paraId="22DE3EB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站内知识问答</w:t>
            </w:r>
          </w:p>
        </w:tc>
        <w:tc>
          <w:tcPr>
            <w:tcW w:w="5488" w:type="dxa"/>
            <w:vAlign w:val="center"/>
          </w:tcPr>
          <w:p w14:paraId="03D1FE02">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基于本院已解析知识库开展 RAG 混合检索，融合语义向量检索与关键词检索双通道，并结合医疗术语词表进行查询改写，精准命中目标知识片段；医疗领域大模型仅在检索结果范围内聚合生成答案，从源头抑制大模型幻觉。答案以流式方式逐字输出，支持多轮连续追问并自动维护上下文。</w:t>
            </w:r>
          </w:p>
        </w:tc>
      </w:tr>
      <w:tr w14:paraId="1EB25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46F54A4">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851" w:type="dxa"/>
            <w:vMerge w:val="continue"/>
            <w:vAlign w:val="center"/>
          </w:tcPr>
          <w:p w14:paraId="36FBD436">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vAlign w:val="center"/>
          </w:tcPr>
          <w:p w14:paraId="7608DC5A">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4CFA668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AI 智能客服</w:t>
            </w:r>
          </w:p>
        </w:tc>
        <w:tc>
          <w:tcPr>
            <w:tcW w:w="5488" w:type="dxa"/>
            <w:vAlign w:val="center"/>
          </w:tcPr>
          <w:p w14:paraId="3D3B1571">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面向到院及在线患者提供 7×24 小时智能咨询服务，基于客服知识库开展 RAG 检索作答，答案流式输出并自动附带引用来源，支持多轮追问与上下文自动维护；覆盖挂号流程、医保政策、检查须知、院区导航、门诊时间等通用型咨询场景。</w:t>
            </w:r>
          </w:p>
        </w:tc>
      </w:tr>
      <w:tr w14:paraId="3171C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B535B7F">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851" w:type="dxa"/>
            <w:vMerge w:val="continue"/>
            <w:vAlign w:val="center"/>
          </w:tcPr>
          <w:p w14:paraId="07E9E0DF">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vAlign w:val="center"/>
          </w:tcPr>
          <w:p w14:paraId="3264744C">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52CE64A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热门推荐问题</w:t>
            </w:r>
          </w:p>
        </w:tc>
        <w:tc>
          <w:tcPr>
            <w:tcW w:w="5488" w:type="dxa"/>
            <w:vAlign w:val="center"/>
          </w:tcPr>
          <w:p w14:paraId="52F8E4E3">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后端定时任务自动挖掘高频咨询问题并生成推荐列表，患者点击即可直接发起咨询、无需手动输入，支持「换一换」切换下一批；点击热度实时回流沉淀，为运营人员持续优化客服知识库提供数据依据。</w:t>
            </w:r>
          </w:p>
        </w:tc>
      </w:tr>
      <w:tr w14:paraId="103D4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3F17390">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851" w:type="dxa"/>
            <w:vMerge w:val="continue"/>
            <w:vAlign w:val="center"/>
          </w:tcPr>
          <w:p w14:paraId="10EB4F74">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vAlign w:val="center"/>
          </w:tcPr>
          <w:p w14:paraId="2E53DD99">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626902D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转人工服务</w:t>
            </w:r>
          </w:p>
        </w:tc>
        <w:tc>
          <w:tcPr>
            <w:tcW w:w="5488" w:type="dxa"/>
            <w:vAlign w:val="center"/>
          </w:tcPr>
          <w:p w14:paraId="719F8850">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页面提供可拖拽的转人工悬浮入口并醒目展示人工服务时段，点击可跳转至院方人工客服渠道（仅支持外链配置后一键跳转，本产品不提供人工客服本身的功能）；对 AI 无法解答、涉及投诉处理与复杂个案的咨询，实现由智能应答向人工服务的无缝转接。</w:t>
            </w:r>
          </w:p>
        </w:tc>
      </w:tr>
      <w:tr w14:paraId="761D2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B1E3903">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851" w:type="dxa"/>
            <w:vMerge w:val="continue"/>
            <w:vAlign w:val="center"/>
          </w:tcPr>
          <w:p w14:paraId="717DE514">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vAlign w:val="center"/>
          </w:tcPr>
          <w:p w14:paraId="05CA2AED">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37DD86E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移动端交互</w:t>
            </w:r>
          </w:p>
        </w:tc>
        <w:tc>
          <w:tcPr>
            <w:tcW w:w="5488" w:type="dxa"/>
            <w:vAlign w:val="center"/>
          </w:tcPr>
          <w:p w14:paraId="488D770E">
            <w:pPr>
              <w:widowControl/>
              <w:tabs>
                <w:tab w:val="left" w:pos="492"/>
              </w:tabs>
              <w:ind w:firstLine="0" w:firstLineChars="0"/>
              <w:jc w:val="left"/>
              <w:rPr>
                <w:rFonts w:hint="default"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提供 H5 全屏沉浸式聊天界面，支持文字输入与语音输入（语音转文字）两种提问方式，键盘弹起时输入区自适应上移避免遮挡，消息列表自动定位至最新消息，网络中断等异常场景具备明确的状态降级提示。此外支持图片类问答交互场景，提供拍照上传、本地相册选取两种图片提交入口；系统可对图片内容进行智能识别与深度分析并输出解答，同时支持用户基于图片上下文进行多轮追问。</w:t>
            </w:r>
          </w:p>
        </w:tc>
      </w:tr>
      <w:tr w14:paraId="7DDCB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7B43790">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851" w:type="dxa"/>
            <w:vMerge w:val="continue"/>
            <w:vAlign w:val="center"/>
          </w:tcPr>
          <w:p w14:paraId="37C4748B">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vAlign w:val="center"/>
          </w:tcPr>
          <w:p w14:paraId="06B7BB30">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5194C6E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答案质量反馈</w:t>
            </w:r>
          </w:p>
        </w:tc>
        <w:tc>
          <w:tcPr>
            <w:tcW w:w="5488" w:type="dxa"/>
            <w:vAlign w:val="center"/>
          </w:tcPr>
          <w:p w14:paraId="539E602E">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支持用户对每条答案的准确性与有用性进行反馈，反馈数据统一沉淀，用于知识库治理与问答算法的持续迭代优化。</w:t>
            </w:r>
          </w:p>
        </w:tc>
      </w:tr>
      <w:tr w14:paraId="2C78A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7A3ABE4">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851" w:type="dxa"/>
            <w:vMerge w:val="continue"/>
            <w:vAlign w:val="center"/>
          </w:tcPr>
          <w:p w14:paraId="7D0614AE">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vAlign w:val="center"/>
          </w:tcPr>
          <w:p w14:paraId="6D5442A8">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548E132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咨询记录管理</w:t>
            </w:r>
          </w:p>
        </w:tc>
        <w:tc>
          <w:tcPr>
            <w:tcW w:w="5488" w:type="dxa"/>
            <w:vAlign w:val="center"/>
          </w:tcPr>
          <w:p w14:paraId="69819D33">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提供「全部记录」与「待办记录」双视图，待办视图实时呈现待处理数量徽标；支持按咨询内容关键词模糊查询、按反馈状态（未反馈／已解决／未解决）多选筛选、按咨询时间升序或降序排序，并支持分页浏览与页容量调整。</w:t>
            </w:r>
          </w:p>
        </w:tc>
      </w:tr>
      <w:tr w14:paraId="3E372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C715353">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851" w:type="dxa"/>
            <w:vMerge w:val="continue"/>
            <w:vAlign w:val="center"/>
          </w:tcPr>
          <w:p w14:paraId="129653FF">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vAlign w:val="center"/>
          </w:tcPr>
          <w:p w14:paraId="2C2123FF">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0E6EB69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咨询详情与人工跟进</w:t>
            </w:r>
          </w:p>
        </w:tc>
        <w:tc>
          <w:tcPr>
            <w:tcW w:w="5488" w:type="dxa"/>
            <w:vAlign w:val="center"/>
          </w:tcPr>
          <w:p w14:paraId="4860A217">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点击任一咨询记录可查看该次咨询的完整 AI 对话过程，客服人员据此了解患者诉求全貌并给出针对性人工回复，避免患者重复描述问题；每条咨询的处理结果以反馈状态显著标识。</w:t>
            </w:r>
          </w:p>
        </w:tc>
      </w:tr>
      <w:tr w14:paraId="2FC93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5A9F35C">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851" w:type="dxa"/>
            <w:vMerge w:val="continue"/>
            <w:vAlign w:val="center"/>
          </w:tcPr>
          <w:p w14:paraId="43E9F547">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vAlign w:val="center"/>
          </w:tcPr>
          <w:p w14:paraId="01736B01">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43DCC06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任务处理与跟进</w:t>
            </w:r>
          </w:p>
        </w:tc>
        <w:tc>
          <w:tcPr>
            <w:tcW w:w="5488" w:type="dxa"/>
            <w:vAlign w:val="center"/>
          </w:tcPr>
          <w:p w14:paraId="06CE34B8">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支持对咨询任务执行、完成、删除等操作，并提供批量执行、批量完成与批量删除能力，删除前弹窗二次确认；任务状态变更后待办计数与记录列表自动联动刷新。</w:t>
            </w:r>
          </w:p>
        </w:tc>
      </w:tr>
      <w:tr w14:paraId="1D60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23742E8">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851" w:type="dxa"/>
            <w:vMerge w:val="continue"/>
            <w:vAlign w:val="center"/>
          </w:tcPr>
          <w:p w14:paraId="2D0EA4B6">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restart"/>
            <w:vAlign w:val="center"/>
          </w:tcPr>
          <w:p w14:paraId="25D19935">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r>
              <w:rPr>
                <w:rFonts w:hint="eastAsia" w:ascii="仿宋_GB2312" w:hAnsi="仿宋_GB2312" w:cs="仿宋_GB2312"/>
                <w:color w:val="auto"/>
                <w:kern w:val="0"/>
                <w:sz w:val="24"/>
                <w:szCs w:val="24"/>
                <w:highlight w:val="none"/>
                <w:lang w:eastAsia="zh-CN"/>
              </w:rPr>
              <w:t>系统管理与安全</w:t>
            </w:r>
          </w:p>
        </w:tc>
        <w:tc>
          <w:tcPr>
            <w:tcW w:w="1418" w:type="dxa"/>
            <w:vAlign w:val="center"/>
          </w:tcPr>
          <w:p w14:paraId="74EF5DD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登录与身份认证</w:t>
            </w:r>
          </w:p>
        </w:tc>
        <w:tc>
          <w:tcPr>
            <w:tcW w:w="5488" w:type="dxa"/>
            <w:vAlign w:val="center"/>
          </w:tcPr>
          <w:p w14:paraId="1DF00E46">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同时支持手机号验证码登录与账号密码登录两种模式（任选其一），由系统级配置项决定本院实际启用方式、前端动态适配，同一套系统无需定制改造；登录失败采用统一文案提示，防止账号枚举；登录态基于服务端会话与前端令牌双重校验，同一账号重复登录自动登出旧会话。</w:t>
            </w:r>
          </w:p>
        </w:tc>
      </w:tr>
      <w:tr w14:paraId="671F8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2C375FD">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851" w:type="dxa"/>
            <w:vMerge w:val="continue"/>
            <w:vAlign w:val="center"/>
          </w:tcPr>
          <w:p w14:paraId="6F922D38">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vAlign w:val="center"/>
          </w:tcPr>
          <w:p w14:paraId="55DDB407">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355065F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用户管理</w:t>
            </w:r>
          </w:p>
        </w:tc>
        <w:tc>
          <w:tcPr>
            <w:tcW w:w="5488" w:type="dxa"/>
            <w:vAlign w:val="center"/>
          </w:tcPr>
          <w:p w14:paraId="686433AE">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支持用户账号的新增、信息编辑、密码重置与启用／停用即时切换，实现访问权限的即时管控；支持按姓名、手机号、账号状态组合筛选，列表分页展示、新建后即时回显。</w:t>
            </w:r>
          </w:p>
        </w:tc>
      </w:tr>
      <w:tr w14:paraId="73E89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F548A22">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851" w:type="dxa"/>
            <w:vMerge w:val="continue"/>
            <w:vAlign w:val="center"/>
          </w:tcPr>
          <w:p w14:paraId="29440E7F">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vAlign w:val="center"/>
          </w:tcPr>
          <w:p w14:paraId="32ECF74D">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47D824A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角色与菜单权限</w:t>
            </w:r>
          </w:p>
        </w:tc>
        <w:tc>
          <w:tcPr>
            <w:tcW w:w="5488" w:type="dxa"/>
            <w:vAlign w:val="center"/>
          </w:tcPr>
          <w:p w14:paraId="4A031926">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内置管理员、医生等多种角色，角色与菜单通过配置化方式灵活绑定，新增菜单无需修改代码；管理员开放知识库管理、用户管理、客服咨询等全部菜单，医生角色仅开放问答相关菜单，并对越权访问进行强校验拦截。</w:t>
            </w:r>
          </w:p>
        </w:tc>
      </w:tr>
      <w:tr w14:paraId="5A47D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tcBorders>
              <w:bottom w:val="nil"/>
            </w:tcBorders>
            <w:vAlign w:val="center"/>
          </w:tcPr>
          <w:p w14:paraId="3C28C57B">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851" w:type="dxa"/>
            <w:vMerge w:val="continue"/>
            <w:tcBorders>
              <w:bottom w:val="nil"/>
            </w:tcBorders>
            <w:vAlign w:val="center"/>
          </w:tcPr>
          <w:p w14:paraId="032CC572">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bottom w:val="nil"/>
            </w:tcBorders>
            <w:vAlign w:val="center"/>
          </w:tcPr>
          <w:p w14:paraId="679F5E02">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67E66A6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数据隔离与安全审计</w:t>
            </w:r>
          </w:p>
        </w:tc>
        <w:tc>
          <w:tcPr>
            <w:tcW w:w="5488" w:type="dxa"/>
            <w:vAlign w:val="center"/>
          </w:tcPr>
          <w:p w14:paraId="0D8C4BE2">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医护知识库与客服知识库相互隔离，面向医护与面向患者的知识口径互不串库；问答会话按会话标识隔离，用户之间互不可见；全部接口统一令牌鉴权并进行细粒度操作权限校验，未授权访问直接拦截；文件上传、解析、问答、反馈等关键操作均留有日志记录，支持运维追溯与责任倒查。</w:t>
            </w:r>
          </w:p>
        </w:tc>
      </w:tr>
      <w:tr w14:paraId="64B52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tcBorders>
              <w:top w:val="nil"/>
            </w:tcBorders>
            <w:vAlign w:val="center"/>
          </w:tcPr>
          <w:p w14:paraId="498278CA">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851" w:type="dxa"/>
            <w:tcBorders>
              <w:top w:val="nil"/>
              <w:right w:val="single" w:color="auto" w:sz="4" w:space="0"/>
            </w:tcBorders>
            <w:vAlign w:val="center"/>
          </w:tcPr>
          <w:p w14:paraId="387BF2C6">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tcBorders>
              <w:top w:val="nil"/>
              <w:left w:val="single" w:color="auto" w:sz="4" w:space="0"/>
              <w:bottom w:val="single" w:color="auto" w:sz="4" w:space="0"/>
              <w:right w:val="single" w:color="auto" w:sz="4" w:space="0"/>
            </w:tcBorders>
            <w:vAlign w:val="center"/>
          </w:tcPr>
          <w:p w14:paraId="10872D65">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tcBorders>
              <w:left w:val="single" w:color="auto" w:sz="4" w:space="0"/>
            </w:tcBorders>
            <w:vAlign w:val="center"/>
          </w:tcPr>
          <w:p w14:paraId="0372D7D9">
            <w:pPr>
              <w:widowControl/>
              <w:tabs>
                <w:tab w:val="left" w:pos="492"/>
              </w:tabs>
              <w:ind w:firstLine="0" w:firstLineChars="0"/>
              <w:jc w:val="center"/>
              <w:rPr>
                <w:rFonts w:hint="default"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外部智能应用对接</w:t>
            </w:r>
          </w:p>
        </w:tc>
        <w:tc>
          <w:tcPr>
            <w:tcW w:w="5488" w:type="dxa"/>
            <w:vAlign w:val="center"/>
          </w:tcPr>
          <w:p w14:paraId="79AE32BE">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bookmarkStart w:id="3" w:name="_GoBack"/>
            <w:r>
              <w:rPr>
                <w:rFonts w:hint="eastAsia" w:ascii="仿宋_GB2312" w:hAnsi="仿宋_GB2312" w:cs="仿宋_GB2312"/>
                <w:color w:val="auto"/>
                <w:kern w:val="0"/>
                <w:sz w:val="24"/>
                <w:szCs w:val="24"/>
                <w:highlight w:val="none"/>
                <w:lang w:val="en-US" w:eastAsia="zh-CN"/>
              </w:rPr>
              <w:t>1.智能语音客服对接：支持与第三方智能语音客服系统通过标准化协议互通，在语音对话全流程中可实时调用本地知识库，提供知识检索、应答建议与合规校验能力。</w:t>
            </w:r>
          </w:p>
          <w:p w14:paraId="384F5E8B">
            <w:pPr>
              <w:pStyle w:val="2"/>
              <w:rPr>
                <w:rFonts w:hint="default"/>
                <w:lang w:val="en-US" w:eastAsia="zh-CN"/>
              </w:rPr>
            </w:pPr>
            <w:r>
              <w:rPr>
                <w:rFonts w:hint="eastAsia" w:ascii="仿宋_GB2312" w:hAnsi="仿宋_GB2312" w:eastAsia="仿宋_GB2312" w:cs="仿宋_GB2312"/>
                <w:color w:val="auto"/>
                <w:kern w:val="0"/>
                <w:sz w:val="24"/>
                <w:szCs w:val="24"/>
                <w:highlight w:val="none"/>
                <w:lang w:val="en-US" w:eastAsia="zh-CN" w:bidi="ar-SA"/>
                <w14:ligatures w14:val="none"/>
              </w:rPr>
              <w:t>2.第三方 AI 机器人集成：支持外部 AI 机器人以组件化、API 化方式嵌入集成，可复用其意图识别、多轮对话管理与领域问答能力，与系统自身知识库、业务数据能力互补，共同完成全场景智能问答与交互引导服务。</w:t>
            </w:r>
            <w:bookmarkEnd w:id="3"/>
          </w:p>
        </w:tc>
      </w:tr>
      <w:tr w14:paraId="44FD8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restart"/>
            <w:vAlign w:val="center"/>
          </w:tcPr>
          <w:p w14:paraId="06FE9EAD">
            <w:pPr>
              <w:widowControl/>
              <w:tabs>
                <w:tab w:val="left" w:pos="492"/>
              </w:tabs>
              <w:ind w:firstLine="0" w:firstLineChars="0"/>
              <w:jc w:val="center"/>
              <w:rPr>
                <w:rFonts w:hint="default"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3</w:t>
            </w:r>
          </w:p>
        </w:tc>
        <w:tc>
          <w:tcPr>
            <w:tcW w:w="851" w:type="dxa"/>
            <w:vMerge w:val="restart"/>
            <w:vAlign w:val="center"/>
          </w:tcPr>
          <w:p w14:paraId="5DFB1850">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r>
              <w:rPr>
                <w:rFonts w:hint="eastAsia" w:ascii="仿宋_GB2312" w:hAnsi="仿宋_GB2312" w:cs="仿宋_GB2312"/>
                <w:color w:val="auto"/>
                <w:kern w:val="0"/>
                <w:sz w:val="24"/>
                <w:szCs w:val="24"/>
                <w:highlight w:val="none"/>
                <w:lang w:eastAsia="zh-CN"/>
              </w:rPr>
              <w:t>AI智能分导诊</w:t>
            </w:r>
          </w:p>
        </w:tc>
        <w:tc>
          <w:tcPr>
            <w:tcW w:w="1275" w:type="dxa"/>
            <w:vMerge w:val="restart"/>
            <w:tcBorders>
              <w:top w:val="single" w:color="auto" w:sz="4" w:space="0"/>
              <w:bottom w:val="single" w:color="auto" w:sz="4" w:space="0"/>
            </w:tcBorders>
            <w:vAlign w:val="center"/>
          </w:tcPr>
          <w:p w14:paraId="04AD4E56">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r>
              <w:rPr>
                <w:rFonts w:hint="eastAsia" w:ascii="仿宋_GB2312" w:hAnsi="仿宋_GB2312" w:cs="仿宋_GB2312"/>
                <w:color w:val="auto"/>
                <w:kern w:val="0"/>
                <w:sz w:val="24"/>
                <w:szCs w:val="24"/>
                <w:highlight w:val="none"/>
                <w:lang w:eastAsia="zh-CN"/>
              </w:rPr>
              <w:t>多入口与集成能力​</w:t>
            </w:r>
          </w:p>
        </w:tc>
        <w:tc>
          <w:tcPr>
            <w:tcW w:w="1418" w:type="dxa"/>
            <w:vMerge w:val="restart"/>
            <w:vAlign w:val="center"/>
          </w:tcPr>
          <w:p w14:paraId="16DA204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多渠道统一接入与数据同步</w:t>
            </w:r>
          </w:p>
        </w:tc>
        <w:tc>
          <w:tcPr>
            <w:tcW w:w="5488" w:type="dxa"/>
            <w:vAlign w:val="center"/>
          </w:tcPr>
          <w:p w14:paraId="5C03542E">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系统须支持至少3种以上患者接入渠道，包括但不限于微信公众号、小程序、互联网医院APP，满足患者多样化使用习惯。</w:t>
            </w:r>
          </w:p>
        </w:tc>
      </w:tr>
      <w:tr w14:paraId="4CA30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B00FB4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790E5EB5">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12FD5B85">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Merge w:val="continue"/>
            <w:vAlign w:val="center"/>
          </w:tcPr>
          <w:p w14:paraId="2CA09B6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5488" w:type="dxa"/>
            <w:vAlign w:val="center"/>
          </w:tcPr>
          <w:p w14:paraId="1DB0DBB7">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系统须保障跨终端数据实时同步：患者在任一终端的历史导诊记录、身份信息须实时互通，确保切换设备后无需重复输入信息，保障就诊服务的连续性与一致性。</w:t>
            </w:r>
          </w:p>
        </w:tc>
      </w:tr>
      <w:tr w14:paraId="10148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2B1E8A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EBA6650">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099979DC">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48042F7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第三方平台对接</w:t>
            </w:r>
          </w:p>
        </w:tc>
        <w:tc>
          <w:tcPr>
            <w:tcW w:w="5488" w:type="dxa"/>
            <w:vAlign w:val="center"/>
          </w:tcPr>
          <w:p w14:paraId="11C05DFE">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系统须支持与第三方平台的快捷接入，患者通过第三方入口可一键跳转至本院导诊系统，实现免二次登录，降低患者使用门槛；</w:t>
            </w:r>
          </w:p>
        </w:tc>
      </w:tr>
      <w:tr w14:paraId="4D9E3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4B639D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8FFADFE">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6A1EF03D">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36DE8ED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互联网医院入口集成</w:t>
            </w:r>
          </w:p>
        </w:tc>
        <w:tc>
          <w:tcPr>
            <w:tcW w:w="5488" w:type="dxa"/>
            <w:vAlign w:val="center"/>
          </w:tcPr>
          <w:p w14:paraId="6B6ABF4F">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系统须支持与医院现有互联网医院平台无感对接，已登录互联网医院的患者可直接进入预问诊流程，无需再次输入信息。</w:t>
            </w:r>
          </w:p>
        </w:tc>
      </w:tr>
      <w:tr w14:paraId="454A1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8101F1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104B5512">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restart"/>
            <w:tcBorders>
              <w:top w:val="single" w:color="auto" w:sz="4" w:space="0"/>
              <w:bottom w:val="single" w:color="auto" w:sz="4" w:space="0"/>
            </w:tcBorders>
            <w:vAlign w:val="center"/>
          </w:tcPr>
          <w:p w14:paraId="7DCC6121">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r>
              <w:rPr>
                <w:rFonts w:hint="eastAsia" w:ascii="仿宋_GB2312" w:hAnsi="仿宋_GB2312" w:cs="仿宋_GB2312"/>
                <w:color w:val="auto"/>
                <w:kern w:val="0"/>
                <w:sz w:val="24"/>
                <w:szCs w:val="24"/>
                <w:highlight w:val="none"/>
                <w:lang w:val="en-US" w:eastAsia="zh-CN"/>
              </w:rPr>
              <w:t>多模态交互​</w:t>
            </w:r>
          </w:p>
        </w:tc>
        <w:tc>
          <w:tcPr>
            <w:tcW w:w="1418" w:type="dxa"/>
            <w:vAlign w:val="center"/>
          </w:tcPr>
          <w:p w14:paraId="03C35E3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文字输入</w:t>
            </w:r>
          </w:p>
        </w:tc>
        <w:tc>
          <w:tcPr>
            <w:tcW w:w="5488" w:type="dxa"/>
            <w:vAlign w:val="center"/>
          </w:tcPr>
          <w:p w14:paraId="769611AF">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患者须能通过自然语言文字输入方式描述其症状、病史、就诊目的，系统应能理解非结构化、口语化的表述并进行专业追问。</w:t>
            </w:r>
          </w:p>
        </w:tc>
      </w:tr>
      <w:tr w14:paraId="55F44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0517E8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50CB592F">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7E3B1877">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39B5DCC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语音输入</w:t>
            </w:r>
          </w:p>
        </w:tc>
        <w:tc>
          <w:tcPr>
            <w:tcW w:w="5488" w:type="dxa"/>
            <w:vAlign w:val="center"/>
          </w:tcPr>
          <w:p w14:paraId="6544F256">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系统须支持语音输入功能，患者可通过语音描述症状，系统能准确将语音转换为文字并进行理解和分析。</w:t>
            </w:r>
          </w:p>
        </w:tc>
      </w:tr>
      <w:tr w14:paraId="1652B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8EFE53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6B6D553B">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79CBCBDB">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289F5E3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图片上传</w:t>
            </w:r>
          </w:p>
        </w:tc>
        <w:tc>
          <w:tcPr>
            <w:tcW w:w="5488" w:type="dxa"/>
            <w:vAlign w:val="center"/>
          </w:tcPr>
          <w:p w14:paraId="19884BD3">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系统须支持图片上传功能，便于患者上传检查检验报告单。</w:t>
            </w:r>
          </w:p>
        </w:tc>
      </w:tr>
      <w:tr w14:paraId="586E3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2BBF16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22B3FEF">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7A0CDCDA">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0DB1412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智能语音播报</w:t>
            </w:r>
          </w:p>
        </w:tc>
        <w:tc>
          <w:tcPr>
            <w:tcW w:w="5488" w:type="dxa"/>
            <w:vAlign w:val="center"/>
          </w:tcPr>
          <w:p w14:paraId="1B2C8C36">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系统需支持将系统应答的文本内容转化为自然流畅的语音进行播报，有效提升就医体验的包容性与适老化水平</w:t>
            </w:r>
          </w:p>
        </w:tc>
      </w:tr>
      <w:tr w14:paraId="1F71F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CB7E91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6D07995">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50B0A25C">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5D3C082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OCR识别</w:t>
            </w:r>
          </w:p>
        </w:tc>
        <w:tc>
          <w:tcPr>
            <w:tcW w:w="5488" w:type="dxa"/>
            <w:vAlign w:val="center"/>
          </w:tcPr>
          <w:p w14:paraId="6C7AAD1C">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系统须内置高精度OCR文字识别引擎，能对患者上传的图片格式（JPG、PNG等）检查检验报告进行关键信息（如检查日期、项目名称、数值、结论）自动识别并支持写入病历。</w:t>
            </w:r>
          </w:p>
        </w:tc>
      </w:tr>
      <w:tr w14:paraId="18393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BD338B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2D48BF9F">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1946C7D4">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166CF37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检查检验报告结构化</w:t>
            </w:r>
          </w:p>
        </w:tc>
        <w:tc>
          <w:tcPr>
            <w:tcW w:w="5488" w:type="dxa"/>
            <w:vAlign w:val="center"/>
          </w:tcPr>
          <w:p w14:paraId="7278A300">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基于强大的医学数据基座，内置近10万条医学术语清洗规则，支持将非结构化检查检验报告（图片文本）自动解析、清洗并映射为标准化学历字段名称、结果数值、单位、参考范围、图像标识、采样时间等），实现检验数据的机器可读与语义级理解。</w:t>
            </w:r>
          </w:p>
        </w:tc>
      </w:tr>
      <w:tr w14:paraId="4D3A2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9FE796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5912B782">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521345B7">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0ADFE7E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实时拍照</w:t>
            </w:r>
          </w:p>
        </w:tc>
        <w:tc>
          <w:tcPr>
            <w:tcW w:w="5488" w:type="dxa"/>
            <w:vAlign w:val="center"/>
          </w:tcPr>
          <w:p w14:paraId="640B33E3">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系统支持相机拍照实时上传功能，方便患者在移动端直接拍摄并上传。</w:t>
            </w:r>
          </w:p>
        </w:tc>
      </w:tr>
      <w:tr w14:paraId="7FD19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271895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B4422D5">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restart"/>
            <w:tcBorders>
              <w:top w:val="single" w:color="auto" w:sz="4" w:space="0"/>
              <w:bottom w:val="single" w:color="auto" w:sz="4" w:space="0"/>
            </w:tcBorders>
            <w:vAlign w:val="center"/>
          </w:tcPr>
          <w:p w14:paraId="05CA1729">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r>
              <w:rPr>
                <w:rFonts w:hint="eastAsia" w:ascii="仿宋_GB2312" w:hAnsi="仿宋_GB2312" w:cs="仿宋_GB2312"/>
                <w:color w:val="auto"/>
                <w:kern w:val="0"/>
                <w:sz w:val="24"/>
                <w:szCs w:val="24"/>
                <w:highlight w:val="none"/>
                <w:lang w:val="en-US" w:eastAsia="zh-CN"/>
              </w:rPr>
              <w:t>大模型智能问诊引擎​</w:t>
            </w:r>
          </w:p>
        </w:tc>
        <w:tc>
          <w:tcPr>
            <w:tcW w:w="1418" w:type="dxa"/>
            <w:vAlign w:val="center"/>
          </w:tcPr>
          <w:p w14:paraId="7B618A0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医学大模型底座</w:t>
            </w:r>
          </w:p>
        </w:tc>
        <w:tc>
          <w:tcPr>
            <w:tcW w:w="5488" w:type="dxa"/>
            <w:vAlign w:val="center"/>
          </w:tcPr>
          <w:p w14:paraId="47E26716">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基于医学领域专属大模型构建，深度融合医学知识图谱与临床问诊逻辑，在医学术语理解、临床问诊精度、推理可信度等核心维度具备本质差异。</w:t>
            </w:r>
          </w:p>
        </w:tc>
      </w:tr>
      <w:tr w14:paraId="209E6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82B483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218CB1F6">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41B63988">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112B434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临床医生思维模拟</w:t>
            </w:r>
          </w:p>
        </w:tc>
        <w:tc>
          <w:tcPr>
            <w:tcW w:w="5488" w:type="dxa"/>
            <w:vAlign w:val="center"/>
          </w:tcPr>
          <w:p w14:paraId="1A5E08F8">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系统须模拟临床医生问诊思路，智能提示与患者互动，通过多轮对话深入收集患者的关键信息，包括症状表现、病史详情、伴随症状等</w:t>
            </w:r>
          </w:p>
        </w:tc>
      </w:tr>
      <w:tr w14:paraId="735E4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0A23D4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1429AEE2">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2F4BF38D">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13D0CD5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主动引导式问诊</w:t>
            </w:r>
          </w:p>
        </w:tc>
        <w:tc>
          <w:tcPr>
            <w:tcW w:w="5488" w:type="dxa"/>
            <w:vAlign w:val="center"/>
          </w:tcPr>
          <w:p w14:paraId="386B9BEF">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系统须支持根据患者实时反馈判断信息完整性，自动识别缺失的关键导诊要素并进行有针对性的追问，同时避免重复提问，提升交互体验与问诊效率。</w:t>
            </w:r>
          </w:p>
        </w:tc>
      </w:tr>
      <w:tr w14:paraId="774F6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B84553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629FE43C">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3A22D3EF">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55A57BA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口语/方言精准识别</w:t>
            </w:r>
          </w:p>
        </w:tc>
        <w:tc>
          <w:tcPr>
            <w:tcW w:w="5488" w:type="dxa"/>
            <w:vAlign w:val="center"/>
          </w:tcPr>
          <w:p w14:paraId="5BA7C966">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支持识别非标准、口语化、方言化的症状描述（如“窜稀”“心口窝疼”等），自动对齐至标准医学术语，扩大患者覆盖人群。</w:t>
            </w:r>
          </w:p>
        </w:tc>
      </w:tr>
      <w:tr w14:paraId="1C127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6A7D0F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72036A2">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2610207F">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5717A33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内容安全护栏</w:t>
            </w:r>
          </w:p>
        </w:tc>
        <w:tc>
          <w:tcPr>
            <w:tcW w:w="5488" w:type="dxa"/>
            <w:vAlign w:val="center"/>
          </w:tcPr>
          <w:p w14:paraId="2D28312D">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内置医疗领域内容安全机制，自动拦截违规、诱导性话题，符合医学伦理规范。</w:t>
            </w:r>
          </w:p>
        </w:tc>
      </w:tr>
      <w:tr w14:paraId="754FE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26F2CE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25EA4ACE">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33013EB8">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48ACB51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问诊中断实时保存</w:t>
            </w:r>
          </w:p>
        </w:tc>
        <w:tc>
          <w:tcPr>
            <w:tcW w:w="5488" w:type="dxa"/>
            <w:vAlign w:val="center"/>
          </w:tcPr>
          <w:p w14:paraId="53B95F15">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系统须支持问诊过程中断后的状态实时保存。当用户意外退出或主动暂停后，再次进入时可从中断处继续问诊，无需重新开始，显著提升患者体验与问诊完成率。</w:t>
            </w:r>
          </w:p>
        </w:tc>
      </w:tr>
      <w:tr w14:paraId="44839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BF3E0E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4D7C3E2">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1B3A6673">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26F4055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问诊轮次智能管控</w:t>
            </w:r>
          </w:p>
        </w:tc>
        <w:tc>
          <w:tcPr>
            <w:tcW w:w="5488" w:type="dxa"/>
            <w:vAlign w:val="center"/>
          </w:tcPr>
          <w:p w14:paraId="70A129C2">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系统须智能控制大模型问诊轮次，避免无限追问导致对话冗长。支持问诊轮数（如最多 5 轮），保障沟通效率与核心信息聚焦。</w:t>
            </w:r>
          </w:p>
        </w:tc>
      </w:tr>
      <w:tr w14:paraId="3C845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8DE607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51117925">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restart"/>
            <w:tcBorders>
              <w:top w:val="single" w:color="auto" w:sz="4" w:space="0"/>
              <w:bottom w:val="single" w:color="auto" w:sz="4" w:space="0"/>
            </w:tcBorders>
            <w:vAlign w:val="center"/>
          </w:tcPr>
          <w:p w14:paraId="4BECA95A">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r>
              <w:rPr>
                <w:rFonts w:hint="eastAsia" w:ascii="仿宋_GB2312" w:hAnsi="仿宋_GB2312" w:cs="仿宋_GB2312"/>
                <w:color w:val="auto"/>
                <w:kern w:val="0"/>
                <w:sz w:val="24"/>
                <w:szCs w:val="24"/>
                <w:highlight w:val="none"/>
                <w:lang w:val="en-US" w:eastAsia="zh-CN"/>
              </w:rPr>
              <w:t>智能科室推荐</w:t>
            </w:r>
          </w:p>
        </w:tc>
        <w:tc>
          <w:tcPr>
            <w:tcW w:w="1418" w:type="dxa"/>
            <w:vAlign w:val="center"/>
          </w:tcPr>
          <w:p w14:paraId="05945F5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精准科室推荐引擎</w:t>
            </w:r>
          </w:p>
        </w:tc>
        <w:tc>
          <w:tcPr>
            <w:tcW w:w="5488" w:type="dxa"/>
            <w:vAlign w:val="center"/>
          </w:tcPr>
          <w:p w14:paraId="74F9D434">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根据患者输入的症状、病史等信息，结合医院的科室设置和专家资源，运用智能匹配算法，精准推荐就诊科室，帮助患者快速找到合适的就诊科室，减少就医盲目性。</w:t>
            </w:r>
          </w:p>
        </w:tc>
      </w:tr>
      <w:tr w14:paraId="1F0EA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1DED95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0FDD8B2">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44F99DDF">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5D2A20F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自定义科室映射匹配</w:t>
            </w:r>
          </w:p>
        </w:tc>
        <w:tc>
          <w:tcPr>
            <w:tcW w:w="5488" w:type="dxa"/>
            <w:vAlign w:val="center"/>
          </w:tcPr>
          <w:p w14:paraId="6A677B5E">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支持将导诊推荐科室与HIS挂号科室进行1:1或N:1映射。医院可后台手动匹配、Excel批量导入或通过接口自动拉取HIS科室字典。</w:t>
            </w:r>
          </w:p>
        </w:tc>
      </w:tr>
      <w:tr w14:paraId="553B5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63EAD7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2702B206">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613A1C78">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1F23F64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科室开放周期设置</w:t>
            </w:r>
          </w:p>
        </w:tc>
        <w:tc>
          <w:tcPr>
            <w:tcW w:w="5488" w:type="dxa"/>
            <w:vAlign w:val="center"/>
          </w:tcPr>
          <w:p w14:paraId="76EAC9DF">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支持按科室配置开放周期（如“心内科仅周一/三/五上午”），不在开放周期内的科室不参与推荐。</w:t>
            </w:r>
          </w:p>
        </w:tc>
      </w:tr>
      <w:tr w14:paraId="34993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14DCAD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6C93C403">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13FC0041">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47EF37F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多院区智能推荐</w:t>
            </w:r>
          </w:p>
        </w:tc>
        <w:tc>
          <w:tcPr>
            <w:tcW w:w="5488" w:type="dxa"/>
            <w:vAlign w:val="center"/>
          </w:tcPr>
          <w:p w14:paraId="762FEC11">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支持集团医院多院区差异化科室与专科特色智能推荐,可设置默认推荐院区,引导患者就近就诊,平衡集团门诊负载。</w:t>
            </w:r>
          </w:p>
        </w:tc>
      </w:tr>
      <w:tr w14:paraId="44484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1BE077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C2EFAE6">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256595CB">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6DCA0D7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推荐依据可视化</w:t>
            </w:r>
          </w:p>
        </w:tc>
        <w:tc>
          <w:tcPr>
            <w:tcW w:w="5488" w:type="dxa"/>
            <w:vAlign w:val="center"/>
          </w:tcPr>
          <w:p w14:paraId="59DA8277">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系统须在推荐科室时，明确展示推荐依据（例如：“根据您描述的‘胸痛、出汗’，建议优先考虑‘心内科’就诊”），增强患者对推荐结果的信任度与理解。</w:t>
            </w:r>
          </w:p>
        </w:tc>
      </w:tr>
      <w:tr w14:paraId="229D4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CFF47F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70C75E5">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389C77E0">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684E3B2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科室介绍与指引</w:t>
            </w:r>
          </w:p>
        </w:tc>
        <w:tc>
          <w:tcPr>
            <w:tcW w:w="5488" w:type="dxa"/>
            <w:vAlign w:val="center"/>
          </w:tcPr>
          <w:p w14:paraId="00B76310">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系统须在推荐科室时，同步展示科室的详细介绍，内容须涵盖科室特色、诊疗范围及专家团队构成；同时须提供科室的具体位置文字指引（含楼层、诊区等），方便患者提前规划就医路线，做好就诊准备。</w:t>
            </w:r>
          </w:p>
        </w:tc>
      </w:tr>
      <w:tr w14:paraId="32220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B4EC73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37A0D80">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60BCDFE1">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42737D6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科室缓存与同步机制</w:t>
            </w:r>
          </w:p>
        </w:tc>
        <w:tc>
          <w:tcPr>
            <w:tcW w:w="5488" w:type="dxa"/>
            <w:vAlign w:val="center"/>
          </w:tcPr>
          <w:p w14:paraId="203416C5">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支持科室映射配置变更后实时生效或按策略刷新，避免推荐错误。</w:t>
            </w:r>
          </w:p>
        </w:tc>
      </w:tr>
      <w:tr w14:paraId="1D6D8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501905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9E7E6BE">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restart"/>
            <w:tcBorders>
              <w:top w:val="single" w:color="auto" w:sz="4" w:space="0"/>
              <w:bottom w:val="single" w:color="auto" w:sz="4" w:space="0"/>
            </w:tcBorders>
            <w:vAlign w:val="center"/>
          </w:tcPr>
          <w:p w14:paraId="3664ECC0">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r>
              <w:rPr>
                <w:rFonts w:hint="eastAsia" w:ascii="仿宋_GB2312" w:hAnsi="仿宋_GB2312" w:cs="仿宋_GB2312"/>
                <w:color w:val="auto"/>
                <w:kern w:val="0"/>
                <w:sz w:val="24"/>
                <w:szCs w:val="24"/>
                <w:highlight w:val="none"/>
                <w:lang w:val="en-US" w:eastAsia="zh-CN"/>
              </w:rPr>
              <w:t>智能医生推荐</w:t>
            </w:r>
          </w:p>
        </w:tc>
        <w:tc>
          <w:tcPr>
            <w:tcW w:w="1418" w:type="dxa"/>
            <w:vAlign w:val="center"/>
          </w:tcPr>
          <w:p w14:paraId="6192C79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医生标签体系</w:t>
            </w:r>
          </w:p>
        </w:tc>
        <w:tc>
          <w:tcPr>
            <w:tcW w:w="5488" w:type="dxa"/>
            <w:vAlign w:val="center"/>
          </w:tcPr>
          <w:p w14:paraId="64EAC348">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支持为每位医生配置多个标签（如“擅长关节镜”、“小儿癫痫”、“副主任医师”），标签支持后台动态增删改。</w:t>
            </w:r>
          </w:p>
        </w:tc>
      </w:tr>
      <w:tr w14:paraId="7883B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3396C1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85D4C81">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746FAC24">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06D9731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科室后医生匹配</w:t>
            </w:r>
          </w:p>
        </w:tc>
        <w:tc>
          <w:tcPr>
            <w:tcW w:w="5488" w:type="dxa"/>
            <w:vAlign w:val="center"/>
          </w:tcPr>
          <w:p w14:paraId="2B556C44">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系统须完成科室推荐后，根据患者病情关键词与医生标签进行二次匹配，输出该科室下的医生推荐列表。</w:t>
            </w:r>
          </w:p>
        </w:tc>
      </w:tr>
      <w:tr w14:paraId="199F4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A0E53E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680210F">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29F0678F">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7BB2ED0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医生开放周期设置</w:t>
            </w:r>
          </w:p>
        </w:tc>
        <w:tc>
          <w:tcPr>
            <w:tcW w:w="5488" w:type="dxa"/>
            <w:vAlign w:val="center"/>
          </w:tcPr>
          <w:p w14:paraId="101B398E">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支持按医生配置开放周期（如“张医生仅周一/三/五上午”），不在开放周期内的医生不参与推荐。</w:t>
            </w:r>
          </w:p>
        </w:tc>
      </w:tr>
      <w:tr w14:paraId="214A8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B26D5D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67BAD591">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6B5DEE67">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4E702AE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专家信息库</w:t>
            </w:r>
          </w:p>
        </w:tc>
        <w:tc>
          <w:tcPr>
            <w:tcW w:w="5488" w:type="dxa"/>
            <w:vAlign w:val="center"/>
          </w:tcPr>
          <w:p w14:paraId="4F4FEB48">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建立完善的专家信息库，全面涵盖各科室专家的专业特长、出诊时间等，为推荐医生提供数据基础。</w:t>
            </w:r>
          </w:p>
        </w:tc>
      </w:tr>
      <w:tr w14:paraId="6AC94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7519AE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581CB0E4">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1A6C6984">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49C4DDF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医生介绍与擅长领域展示</w:t>
            </w:r>
          </w:p>
        </w:tc>
        <w:tc>
          <w:tcPr>
            <w:tcW w:w="5488" w:type="dxa"/>
            <w:vAlign w:val="center"/>
          </w:tcPr>
          <w:p w14:paraId="28740C80">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系统须在推荐医生时，同步展示医生的详细档案，内容须至少包含医生简介、擅长领域、学术职称等关键信息，辅助患者全面了解医生情况，提升选择精准度。</w:t>
            </w:r>
          </w:p>
        </w:tc>
      </w:tr>
      <w:tr w14:paraId="433D6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1196EC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58E09244">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restart"/>
            <w:tcBorders>
              <w:top w:val="single" w:color="auto" w:sz="4" w:space="0"/>
              <w:bottom w:val="single" w:color="auto" w:sz="4" w:space="0"/>
            </w:tcBorders>
            <w:vAlign w:val="center"/>
          </w:tcPr>
          <w:p w14:paraId="12458FB1">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r>
              <w:rPr>
                <w:rFonts w:hint="eastAsia" w:ascii="仿宋_GB2312" w:hAnsi="仿宋_GB2312" w:cs="仿宋_GB2312"/>
                <w:color w:val="auto"/>
                <w:kern w:val="0"/>
                <w:sz w:val="24"/>
                <w:szCs w:val="24"/>
                <w:highlight w:val="none"/>
                <w:lang w:val="en-US" w:eastAsia="zh-CN"/>
              </w:rPr>
              <w:t>导诊策略配置与管理</w:t>
            </w:r>
          </w:p>
        </w:tc>
        <w:tc>
          <w:tcPr>
            <w:tcW w:w="1418" w:type="dxa"/>
            <w:vAlign w:val="center"/>
          </w:tcPr>
          <w:p w14:paraId="6E321F6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推荐科室/医生数量控制</w:t>
            </w:r>
          </w:p>
        </w:tc>
        <w:tc>
          <w:tcPr>
            <w:tcW w:w="5488" w:type="dxa"/>
            <w:vAlign w:val="center"/>
          </w:tcPr>
          <w:p w14:paraId="66FA802C">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系统须支持针对推荐科室和推荐医生分别独立设置向前端患者展示的最大数量（例如：科室最多展示3个，医生最多展示5个），防止推荐结果过多导致患者选择困难，确保界面简洁与决策高效。</w:t>
            </w:r>
          </w:p>
        </w:tc>
      </w:tr>
      <w:tr w14:paraId="4CDD3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CF8636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7103FE0B">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03234923">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1DFE83F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推荐结果排序自定义</w:t>
            </w:r>
          </w:p>
        </w:tc>
        <w:tc>
          <w:tcPr>
            <w:tcW w:w="5488" w:type="dxa"/>
            <w:vAlign w:val="center"/>
          </w:tcPr>
          <w:p w14:paraId="76C6285B">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系统须支持管理员自定义调整推荐科室的展示顺序及推荐医生的展示顺序，以满足医院基于专家号源、科室热度或运营策略的个性化排序需求</w:t>
            </w:r>
          </w:p>
        </w:tc>
      </w:tr>
      <w:tr w14:paraId="7D0E7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39E3D7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22346E5">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45302665">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0253F4B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推荐内容展示模式配置​</w:t>
            </w:r>
          </w:p>
        </w:tc>
        <w:tc>
          <w:tcPr>
            <w:tcW w:w="5488" w:type="dxa"/>
            <w:vAlign w:val="center"/>
          </w:tcPr>
          <w:p w14:paraId="005904D6">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系统须支持自定义导诊结果的展示模式，须至少提供三种模式供管理员选择：模式一“仅推荐科室”、模式二“仅推荐医生”、模式三“科室与医生联合推荐”，且配置修改后须在前端实时生效</w:t>
            </w:r>
          </w:p>
        </w:tc>
      </w:tr>
      <w:tr w14:paraId="68C86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90C065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6D3D23D8">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31EB8670">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21FCB83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问诊模板配置</w:t>
            </w:r>
          </w:p>
        </w:tc>
        <w:tc>
          <w:tcPr>
            <w:tcW w:w="5488" w:type="dxa"/>
            <w:vAlign w:val="center"/>
          </w:tcPr>
          <w:p w14:paraId="790B5A20">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支持配置大模型问诊的初始引导语、推荐提示词。</w:t>
            </w:r>
          </w:p>
        </w:tc>
      </w:tr>
      <w:tr w14:paraId="3A4EC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B15340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65D99D3C">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66A0ED00">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37B01D1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批量导入与接口获取</w:t>
            </w:r>
          </w:p>
        </w:tc>
        <w:tc>
          <w:tcPr>
            <w:tcW w:w="5488" w:type="dxa"/>
            <w:vAlign w:val="center"/>
          </w:tcPr>
          <w:p w14:paraId="175719D5">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科室映射、医生标签、开放周期等支持Excel批量导入，也支持通跟医院对接获取。</w:t>
            </w:r>
          </w:p>
        </w:tc>
      </w:tr>
      <w:tr w14:paraId="7A07B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FDB325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5C336EAA">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restart"/>
            <w:tcBorders>
              <w:top w:val="single" w:color="auto" w:sz="4" w:space="0"/>
              <w:bottom w:val="single" w:color="auto" w:sz="4" w:space="0"/>
            </w:tcBorders>
            <w:vAlign w:val="center"/>
          </w:tcPr>
          <w:p w14:paraId="2B17FC4D">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r>
              <w:rPr>
                <w:rFonts w:hint="eastAsia" w:ascii="仿宋_GB2312" w:hAnsi="仿宋_GB2312" w:cs="仿宋_GB2312"/>
                <w:color w:val="auto"/>
                <w:kern w:val="0"/>
                <w:sz w:val="24"/>
                <w:szCs w:val="24"/>
                <w:highlight w:val="none"/>
                <w:lang w:val="en-US" w:eastAsia="zh-CN"/>
              </w:rPr>
              <w:t>挂号与流程闭环</w:t>
            </w:r>
          </w:p>
        </w:tc>
        <w:tc>
          <w:tcPr>
            <w:tcW w:w="1418" w:type="dxa"/>
            <w:vAlign w:val="center"/>
          </w:tcPr>
          <w:p w14:paraId="6BB09CB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挂号系统无缝对接</w:t>
            </w:r>
          </w:p>
        </w:tc>
        <w:tc>
          <w:tcPr>
            <w:tcW w:w="5488" w:type="dxa"/>
            <w:vAlign w:val="center"/>
          </w:tcPr>
          <w:p w14:paraId="442C0CDF">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系统须与医院现有挂号系统实现无缝对接。患者在完成导诊并确认推荐科室/医生后，可直接通过系统跳转至挂号页面完成操作，无需二次登录。</w:t>
            </w:r>
          </w:p>
        </w:tc>
      </w:tr>
      <w:tr w14:paraId="0C74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F999FA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38F7894">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tcBorders>
              <w:top w:val="single" w:color="auto" w:sz="4" w:space="0"/>
              <w:bottom w:val="single" w:color="auto" w:sz="4" w:space="0"/>
            </w:tcBorders>
            <w:vAlign w:val="center"/>
          </w:tcPr>
          <w:p w14:paraId="6927D034">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4482F6F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多入口挂号链接通知</w:t>
            </w:r>
          </w:p>
        </w:tc>
        <w:tc>
          <w:tcPr>
            <w:tcW w:w="5488" w:type="dxa"/>
            <w:vAlign w:val="center"/>
          </w:tcPr>
          <w:p w14:paraId="7037EC71">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系统须支持根据患者来源渠道（如公众号、小程序、互联网医院App等）配置不同的挂号链接或跳转路径，确保患者从任何入口进入都能被导向正确的挂号平台。</w:t>
            </w:r>
          </w:p>
        </w:tc>
      </w:tr>
      <w:tr w14:paraId="6717F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6CD5BB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A3F0167">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tcBorders>
              <w:top w:val="single" w:color="auto" w:sz="4" w:space="0"/>
            </w:tcBorders>
            <w:vAlign w:val="center"/>
          </w:tcPr>
          <w:p w14:paraId="37765615">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r>
              <w:rPr>
                <w:rFonts w:hint="eastAsia" w:ascii="仿宋_GB2312" w:hAnsi="仿宋_GB2312" w:cs="仿宋_GB2312"/>
                <w:color w:val="auto"/>
                <w:kern w:val="0"/>
                <w:sz w:val="24"/>
                <w:szCs w:val="24"/>
                <w:highlight w:val="none"/>
                <w:lang w:val="en-US" w:eastAsia="zh-CN"/>
              </w:rPr>
              <w:t>多语言支持​</w:t>
            </w:r>
          </w:p>
        </w:tc>
        <w:tc>
          <w:tcPr>
            <w:tcW w:w="1418" w:type="dxa"/>
            <w:vAlign w:val="center"/>
          </w:tcPr>
          <w:p w14:paraId="4DF19FB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多语言版本</w:t>
            </w:r>
          </w:p>
        </w:tc>
        <w:tc>
          <w:tcPr>
            <w:tcW w:w="5488" w:type="dxa"/>
            <w:vAlign w:val="center"/>
          </w:tcPr>
          <w:p w14:paraId="17ABF36E">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系统须支持中英双语言版本，患者可自主切换语言界面，系统问诊内容、提示语、推荐结果均支持中英双语，满足涉外医疗服务需求。</w:t>
            </w:r>
          </w:p>
        </w:tc>
      </w:tr>
      <w:tr w14:paraId="5542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8790B2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5DE5DAE">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restart"/>
            <w:vAlign w:val="center"/>
          </w:tcPr>
          <w:p w14:paraId="7145A5C7">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r>
              <w:rPr>
                <w:rFonts w:hint="eastAsia" w:ascii="仿宋_GB2312" w:hAnsi="仿宋_GB2312" w:cs="仿宋_GB2312"/>
                <w:color w:val="auto"/>
                <w:kern w:val="0"/>
                <w:sz w:val="24"/>
                <w:szCs w:val="24"/>
                <w:highlight w:val="none"/>
                <w:lang w:val="en-US" w:eastAsia="zh-CN"/>
              </w:rPr>
              <w:t>隐私协议​</w:t>
            </w:r>
          </w:p>
        </w:tc>
        <w:tc>
          <w:tcPr>
            <w:tcW w:w="1418" w:type="dxa"/>
            <w:vAlign w:val="center"/>
          </w:tcPr>
          <w:p w14:paraId="2A860B5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用户授权与隐私保护</w:t>
            </w:r>
          </w:p>
        </w:tc>
        <w:tc>
          <w:tcPr>
            <w:tcW w:w="5488" w:type="dxa"/>
            <w:vAlign w:val="center"/>
          </w:tcPr>
          <w:p w14:paraId="28D30831">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系统须支持设置进入预问诊前的隐私授权确认，满足等保与合规要求。</w:t>
            </w:r>
          </w:p>
        </w:tc>
      </w:tr>
      <w:tr w14:paraId="65845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01C914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9AECF48">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vAlign w:val="center"/>
          </w:tcPr>
          <w:p w14:paraId="0B4CF7A6">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7904BEE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授权配置</w:t>
            </w:r>
          </w:p>
        </w:tc>
        <w:tc>
          <w:tcPr>
            <w:tcW w:w="5488" w:type="dxa"/>
            <w:vAlign w:val="center"/>
          </w:tcPr>
          <w:p w14:paraId="1DB28AD4">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支持自定义设置隐私内容及自定义设置弹出时机：每日进入时均需确认或首次进入弹窗提示。</w:t>
            </w:r>
          </w:p>
        </w:tc>
      </w:tr>
      <w:tr w14:paraId="1EF9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398B9C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14166B06">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restart"/>
            <w:vAlign w:val="center"/>
          </w:tcPr>
          <w:p w14:paraId="6D960600">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r>
              <w:rPr>
                <w:rFonts w:hint="eastAsia" w:ascii="仿宋_GB2312" w:hAnsi="仿宋_GB2312" w:cs="仿宋_GB2312"/>
                <w:color w:val="auto"/>
                <w:kern w:val="0"/>
                <w:sz w:val="24"/>
                <w:szCs w:val="24"/>
                <w:highlight w:val="none"/>
                <w:lang w:val="en-US" w:eastAsia="zh-CN"/>
              </w:rPr>
              <w:t>运营管理​</w:t>
            </w:r>
          </w:p>
        </w:tc>
        <w:tc>
          <w:tcPr>
            <w:tcW w:w="1418" w:type="dxa"/>
            <w:vAlign w:val="center"/>
          </w:tcPr>
          <w:p w14:paraId="22CC0DE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导诊记录管理</w:t>
            </w:r>
          </w:p>
        </w:tc>
        <w:tc>
          <w:tcPr>
            <w:tcW w:w="5488" w:type="dxa"/>
            <w:vAlign w:val="center"/>
          </w:tcPr>
          <w:p w14:paraId="5EB2B102">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系统须支持查看全量导诊记录，支持所有患者数据，支持关键字搜索、时间筛选等，便于运营统计和质控管理。</w:t>
            </w:r>
          </w:p>
        </w:tc>
      </w:tr>
      <w:tr w14:paraId="4527D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3126E9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2332EAD6">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vAlign w:val="center"/>
          </w:tcPr>
          <w:p w14:paraId="71783149">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274ED90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预问诊详情查看</w:t>
            </w:r>
          </w:p>
        </w:tc>
        <w:tc>
          <w:tcPr>
            <w:tcW w:w="5488" w:type="dxa"/>
            <w:vAlign w:val="center"/>
          </w:tcPr>
          <w:p w14:paraId="2F85B1D4">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系统须支持查看每条导诊详情，包括患者对话、最终推荐结果，便于医院进行运营复盘及医疗质控。</w:t>
            </w:r>
          </w:p>
        </w:tc>
      </w:tr>
      <w:tr w14:paraId="432C9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CE6589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24FD75F">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vAlign w:val="center"/>
          </w:tcPr>
          <w:p w14:paraId="337BE615">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Merge w:val="restart"/>
            <w:vAlign w:val="center"/>
          </w:tcPr>
          <w:p w14:paraId="61D355E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导诊数据批量导出</w:t>
            </w:r>
          </w:p>
        </w:tc>
        <w:tc>
          <w:tcPr>
            <w:tcW w:w="5488" w:type="dxa"/>
            <w:vAlign w:val="center"/>
          </w:tcPr>
          <w:p w14:paraId="2E8D8066">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系统须支持导诊明细及详情数据的批量导出功能，导出内容须涵盖患者基本信息、会话交互记录、推荐科室/医生等关键字段，满足运营复盘与数据分析。</w:t>
            </w:r>
          </w:p>
        </w:tc>
      </w:tr>
      <w:tr w14:paraId="6C607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CE652F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6442054">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vAlign w:val="center"/>
          </w:tcPr>
          <w:p w14:paraId="76C28F44">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Merge w:val="continue"/>
            <w:vAlign w:val="center"/>
          </w:tcPr>
          <w:p w14:paraId="10C8174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5488" w:type="dxa"/>
            <w:vAlign w:val="center"/>
          </w:tcPr>
          <w:p w14:paraId="6111B7FA">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系统须支持导出导诊核心运营报表，含进入人次、沟通人次、完成人次、点击挂号人次等，便于运营分析。</w:t>
            </w:r>
          </w:p>
        </w:tc>
      </w:tr>
      <w:tr w14:paraId="16B8B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F78BEE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78F15481">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restart"/>
            <w:vAlign w:val="center"/>
          </w:tcPr>
          <w:p w14:paraId="7ABA1C3B">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r>
              <w:rPr>
                <w:rFonts w:hint="eastAsia" w:ascii="仿宋_GB2312" w:hAnsi="仿宋_GB2312" w:cs="仿宋_GB2312"/>
                <w:color w:val="auto"/>
                <w:kern w:val="0"/>
                <w:sz w:val="24"/>
                <w:szCs w:val="24"/>
                <w:highlight w:val="none"/>
                <w:lang w:val="en-US" w:eastAsia="zh-CN"/>
              </w:rPr>
              <w:t>私有化部署与数据安全​</w:t>
            </w:r>
          </w:p>
        </w:tc>
        <w:tc>
          <w:tcPr>
            <w:tcW w:w="1418" w:type="dxa"/>
            <w:vAlign w:val="center"/>
          </w:tcPr>
          <w:p w14:paraId="749200B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私有化部署</w:t>
            </w:r>
          </w:p>
        </w:tc>
        <w:tc>
          <w:tcPr>
            <w:tcW w:w="5488" w:type="dxa"/>
            <w:vAlign w:val="center"/>
          </w:tcPr>
          <w:p w14:paraId="6D9FAD5D">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系统须支持医院私有化部署，全部数据与模型在院内闭环运行，数据不出院；满足医疗数据合规、等保与保密要求，保障患者隐私和数据主权。</w:t>
            </w:r>
          </w:p>
        </w:tc>
      </w:tr>
      <w:tr w14:paraId="329B2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5D2B23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5D652DF">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Merge w:val="continue"/>
            <w:vAlign w:val="center"/>
          </w:tcPr>
          <w:p w14:paraId="0B8A37B6">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418" w:type="dxa"/>
            <w:vAlign w:val="center"/>
          </w:tcPr>
          <w:p w14:paraId="439E142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国产算力适配</w:t>
            </w:r>
          </w:p>
        </w:tc>
        <w:tc>
          <w:tcPr>
            <w:tcW w:w="5488" w:type="dxa"/>
            <w:vAlign w:val="center"/>
          </w:tcPr>
          <w:p w14:paraId="0BBAD99B">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系统须支持核心模型运行于国产算力平台，符合产业政策导向，确保在信创环境下稳定运行。</w:t>
            </w:r>
          </w:p>
        </w:tc>
      </w:tr>
      <w:tr w14:paraId="758D6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77FE42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5DFFF3E9">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p>
        </w:tc>
        <w:tc>
          <w:tcPr>
            <w:tcW w:w="1275" w:type="dxa"/>
            <w:vAlign w:val="center"/>
          </w:tcPr>
          <w:p w14:paraId="5701FE40">
            <w:pPr>
              <w:widowControl/>
              <w:tabs>
                <w:tab w:val="left" w:pos="492"/>
              </w:tabs>
              <w:ind w:firstLine="0" w:firstLineChars="0"/>
              <w:jc w:val="center"/>
              <w:rPr>
                <w:rFonts w:hint="eastAsia" w:ascii="仿宋_GB2312" w:hAnsi="仿宋_GB2312" w:cs="仿宋_GB2312"/>
                <w:color w:val="auto"/>
                <w:kern w:val="0"/>
                <w:sz w:val="24"/>
                <w:szCs w:val="24"/>
                <w:highlight w:val="none"/>
                <w:lang w:eastAsia="zh-CN"/>
              </w:rPr>
            </w:pPr>
            <w:r>
              <w:rPr>
                <w:rFonts w:hint="eastAsia" w:ascii="仿宋_GB2312" w:hAnsi="仿宋_GB2312" w:cs="仿宋_GB2312"/>
                <w:color w:val="auto"/>
                <w:kern w:val="0"/>
                <w:sz w:val="24"/>
                <w:szCs w:val="24"/>
                <w:highlight w:val="none"/>
                <w:lang w:val="en-US" w:eastAsia="zh-CN"/>
              </w:rPr>
              <w:t>跨模块数据贯通​</w:t>
            </w:r>
          </w:p>
        </w:tc>
        <w:tc>
          <w:tcPr>
            <w:tcW w:w="1418" w:type="dxa"/>
            <w:vAlign w:val="center"/>
          </w:tcPr>
          <w:p w14:paraId="0E83B82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预问诊贯通</w:t>
            </w:r>
          </w:p>
        </w:tc>
        <w:tc>
          <w:tcPr>
            <w:tcW w:w="5488" w:type="dxa"/>
            <w:vAlign w:val="center"/>
          </w:tcPr>
          <w:p w14:paraId="07A72A80">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导诊生成的病情概述直接作为预问诊的初始上下文，患者进入预问诊时无需重复描述症状、病史，系统自动提示“已根据导诊信息为您填充”。</w:t>
            </w:r>
          </w:p>
        </w:tc>
      </w:tr>
      <w:tr w14:paraId="1645E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restart"/>
            <w:vAlign w:val="center"/>
          </w:tcPr>
          <w:p w14:paraId="41C9BAA3">
            <w:pPr>
              <w:widowControl/>
              <w:tabs>
                <w:tab w:val="left" w:pos="492"/>
              </w:tabs>
              <w:ind w:firstLine="0" w:firstLineChars="0"/>
              <w:jc w:val="center"/>
              <w:rPr>
                <w:rFonts w:hint="default"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4</w:t>
            </w:r>
          </w:p>
        </w:tc>
        <w:tc>
          <w:tcPr>
            <w:tcW w:w="851" w:type="dxa"/>
            <w:vMerge w:val="restart"/>
            <w:vAlign w:val="center"/>
          </w:tcPr>
          <w:p w14:paraId="2D6580E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AI智能预问诊</w:t>
            </w:r>
          </w:p>
        </w:tc>
        <w:tc>
          <w:tcPr>
            <w:tcW w:w="1275" w:type="dxa"/>
            <w:vMerge w:val="restart"/>
            <w:vAlign w:val="center"/>
          </w:tcPr>
          <w:p w14:paraId="0D057AB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多入口与集成能力​</w:t>
            </w:r>
          </w:p>
        </w:tc>
        <w:tc>
          <w:tcPr>
            <w:tcW w:w="1418" w:type="dxa"/>
            <w:vMerge w:val="restart"/>
            <w:vAlign w:val="center"/>
          </w:tcPr>
          <w:p w14:paraId="4B9C4D8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多渠道统一接入与数据同步</w:t>
            </w:r>
          </w:p>
        </w:tc>
        <w:tc>
          <w:tcPr>
            <w:tcW w:w="5488" w:type="dxa"/>
            <w:vAlign w:val="center"/>
          </w:tcPr>
          <w:p w14:paraId="6CE976AF">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系统须支持至少3种以上患者接入渠道，包括但不限于微信公众号、小程序、互联网医院APP，满足患者多样化使用习惯。</w:t>
            </w:r>
          </w:p>
        </w:tc>
      </w:tr>
      <w:tr w14:paraId="1ADE4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3B8B51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F9C550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4DD174E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Merge w:val="continue"/>
            <w:vAlign w:val="center"/>
          </w:tcPr>
          <w:p w14:paraId="50A5FD8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5488" w:type="dxa"/>
            <w:vAlign w:val="center"/>
          </w:tcPr>
          <w:p w14:paraId="7D0CF439">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系统须保障跨终端数据实时同步：患者在任一终端的历史预问诊记录、身份信息须实时互通，确保切换设备后无需重复输入信息，保障就诊服务的连续性与一致性。</w:t>
            </w:r>
          </w:p>
        </w:tc>
      </w:tr>
      <w:tr w14:paraId="4D9B5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434A23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66BD9E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60FC6F5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573CBC5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第三方平台对接</w:t>
            </w:r>
          </w:p>
        </w:tc>
        <w:tc>
          <w:tcPr>
            <w:tcW w:w="5488" w:type="dxa"/>
            <w:vAlign w:val="center"/>
          </w:tcPr>
          <w:p w14:paraId="26E3BF74">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系统须支持与第三方平台的快捷接入，患者通过第三方入口可一键跳转至本院预问诊系统，实现免二次登录，降低患者使用门槛；</w:t>
            </w:r>
          </w:p>
        </w:tc>
      </w:tr>
      <w:tr w14:paraId="1E660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4C9BD6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A59776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2DAD24F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6F1507F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互联网医院入口集成</w:t>
            </w:r>
          </w:p>
        </w:tc>
        <w:tc>
          <w:tcPr>
            <w:tcW w:w="5488" w:type="dxa"/>
            <w:vAlign w:val="center"/>
          </w:tcPr>
          <w:p w14:paraId="1FA21D26">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系统须支持与医院现有互联网医院平台无感对接，已登录互联网医院的患者可直接进入预问诊流程，无需再次输入信息。</w:t>
            </w:r>
          </w:p>
        </w:tc>
      </w:tr>
      <w:tr w14:paraId="35F9C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ED1481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67ADEA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03B8046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18863E4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非互联网医院入口独立鉴权</w:t>
            </w:r>
          </w:p>
        </w:tc>
        <w:tc>
          <w:tcPr>
            <w:tcW w:w="5488" w:type="dxa"/>
            <w:vAlign w:val="center"/>
          </w:tcPr>
          <w:p w14:paraId="1DE0406B">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系统须支持非互联网医院入口（如微信）独立发起预问诊服务，患者可通过就诊卡号、身份证件或手机号+短信验证码等方式完成身份鉴权后，直接进入预问诊流程，实现独立完整的预问诊服务闭环。</w:t>
            </w:r>
          </w:p>
        </w:tc>
      </w:tr>
      <w:tr w14:paraId="076EA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C54BA1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2636558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3C775B3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451FF2D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有挂号数据预问诊</w:t>
            </w:r>
          </w:p>
        </w:tc>
        <w:tc>
          <w:tcPr>
            <w:tcW w:w="5488" w:type="dxa"/>
            <w:vAlign w:val="center"/>
          </w:tcPr>
          <w:p w14:paraId="69A06588">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系统须支持通过HIS接口实时校验患者挂号状态，仅允许持有有效挂号记录的患者进入正式预问诊流程，确保诊疗行为合规</w:t>
            </w:r>
          </w:p>
        </w:tc>
      </w:tr>
      <w:tr w14:paraId="245C1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B17B0C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68086C1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3B3B86C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3B571E3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无挂号数据先行问诊</w:t>
            </w:r>
          </w:p>
        </w:tc>
        <w:tc>
          <w:tcPr>
            <w:tcW w:w="5488" w:type="dxa"/>
            <w:vAlign w:val="center"/>
          </w:tcPr>
          <w:p w14:paraId="4A41F6D9">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系统须支持无挂号患者凭身份证号等唯一标识先行进行预问诊；待患者后续完成挂号后，系统须支持将预问诊报告自动关联回写至对应挂号记录下，确保诊疗数据的完整性与连续性。</w:t>
            </w:r>
          </w:p>
        </w:tc>
      </w:tr>
      <w:tr w14:paraId="76FA3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307E08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6DD6E58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restart"/>
            <w:vAlign w:val="center"/>
          </w:tcPr>
          <w:p w14:paraId="41DA916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多模态交互​</w:t>
            </w:r>
          </w:p>
        </w:tc>
        <w:tc>
          <w:tcPr>
            <w:tcW w:w="1418" w:type="dxa"/>
            <w:vAlign w:val="center"/>
          </w:tcPr>
          <w:p w14:paraId="57DB1B7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文字输入</w:t>
            </w:r>
          </w:p>
        </w:tc>
        <w:tc>
          <w:tcPr>
            <w:tcW w:w="5488" w:type="dxa"/>
            <w:vAlign w:val="center"/>
          </w:tcPr>
          <w:p w14:paraId="27D787CB">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患者须能通过自然语言文字输入方式描述其症状、病史、就诊目的，系统应能理解非结构化、口语化的表述并进行专业追问。</w:t>
            </w:r>
          </w:p>
        </w:tc>
      </w:tr>
      <w:tr w14:paraId="1F646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6E394E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550C9A6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7E281EE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1C8BD55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语音输入</w:t>
            </w:r>
          </w:p>
        </w:tc>
        <w:tc>
          <w:tcPr>
            <w:tcW w:w="5488" w:type="dxa"/>
            <w:vAlign w:val="center"/>
          </w:tcPr>
          <w:p w14:paraId="0142A453">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系统须支持语音输入功能，患者可通过语音描述症状，系统能准确将语音转换为文字并进行理解和分析。</w:t>
            </w:r>
          </w:p>
        </w:tc>
      </w:tr>
      <w:tr w14:paraId="709C8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6E852A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D0DEBC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47B5DA6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2E832A3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图片上传</w:t>
            </w:r>
          </w:p>
        </w:tc>
        <w:tc>
          <w:tcPr>
            <w:tcW w:w="5488" w:type="dxa"/>
            <w:vAlign w:val="center"/>
          </w:tcPr>
          <w:p w14:paraId="65DF291A">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系统须支持图片上传功能，便于患者上传检查检验报告单。</w:t>
            </w:r>
          </w:p>
        </w:tc>
      </w:tr>
      <w:tr w14:paraId="423E1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3BFC32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1A8C60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1854162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7C9FFA1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智能语音播报</w:t>
            </w:r>
          </w:p>
        </w:tc>
        <w:tc>
          <w:tcPr>
            <w:tcW w:w="5488" w:type="dxa"/>
            <w:vAlign w:val="center"/>
          </w:tcPr>
          <w:p w14:paraId="5DA8753C">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系统需支持将系统应答的文本内容转化为自然流畅的语音进行播报，有效提升就医体验的包容性与适老化水平。</w:t>
            </w:r>
          </w:p>
        </w:tc>
      </w:tr>
      <w:tr w14:paraId="3CA14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E98ECF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537F799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2C1C5C5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4C06FA8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OCR识别</w:t>
            </w:r>
          </w:p>
        </w:tc>
        <w:tc>
          <w:tcPr>
            <w:tcW w:w="5488" w:type="dxa"/>
            <w:vAlign w:val="center"/>
          </w:tcPr>
          <w:p w14:paraId="3E1C96B9">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系统须内置高精度OCR文字识别引擎，能对患者上传的图片格式（JPG、PNG等）检查检验报告进行关键信息（如检查日期、项目名称、数值、结论）自动识别并支持写入病历。</w:t>
            </w:r>
          </w:p>
        </w:tc>
      </w:tr>
      <w:tr w14:paraId="18AA8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519E99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7417B8D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15FBFE4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430868F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检查检验报告结构化</w:t>
            </w:r>
          </w:p>
        </w:tc>
        <w:tc>
          <w:tcPr>
            <w:tcW w:w="5488" w:type="dxa"/>
            <w:vAlign w:val="center"/>
          </w:tcPr>
          <w:p w14:paraId="3EB5E7CA">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基于强大的医学数据基座，内置近10万条医学术语清洗规则，支持将非结构化检查检验报告（图片文本）自动解析、清洗并映射为标准化学历字段名称、结果数值、单位、参考范围、图像标识、采样时间等），实现检验数据的机器可读与语义级理解。</w:t>
            </w:r>
          </w:p>
        </w:tc>
      </w:tr>
      <w:tr w14:paraId="0F208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CA9F69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53E206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1C0711A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6D9A863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实时拍照</w:t>
            </w:r>
          </w:p>
        </w:tc>
        <w:tc>
          <w:tcPr>
            <w:tcW w:w="5488" w:type="dxa"/>
            <w:vAlign w:val="center"/>
          </w:tcPr>
          <w:p w14:paraId="6E418984">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系统支持相机拍照实时上传功能，方便患者在移动端直接拍摄并上传。</w:t>
            </w:r>
          </w:p>
        </w:tc>
      </w:tr>
      <w:tr w14:paraId="2D01C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6A1FA9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04ECB5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restart"/>
            <w:vAlign w:val="center"/>
          </w:tcPr>
          <w:p w14:paraId="5944DC3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大模型智能问诊引擎​</w:t>
            </w:r>
          </w:p>
        </w:tc>
        <w:tc>
          <w:tcPr>
            <w:tcW w:w="1418" w:type="dxa"/>
            <w:vAlign w:val="center"/>
          </w:tcPr>
          <w:p w14:paraId="05EB30C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医学大模型底座</w:t>
            </w:r>
          </w:p>
        </w:tc>
        <w:tc>
          <w:tcPr>
            <w:tcW w:w="5488" w:type="dxa"/>
            <w:vAlign w:val="center"/>
          </w:tcPr>
          <w:p w14:paraId="66334863">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基于医学领域专属大模型构建，深度融合医学知识图谱与临床问诊逻辑，在医学术语理解、临床问诊精度、推理可信度等核心维度具备本质差异。</w:t>
            </w:r>
          </w:p>
        </w:tc>
      </w:tr>
      <w:tr w14:paraId="3FC41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1D5E2A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1EC6A14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1592FA9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633F628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临床医生思维全模拟</w:t>
            </w:r>
          </w:p>
        </w:tc>
        <w:tc>
          <w:tcPr>
            <w:tcW w:w="5488" w:type="dxa"/>
            <w:vAlign w:val="center"/>
          </w:tcPr>
          <w:p w14:paraId="3CC8F1B9">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模拟临床医生问诊思路，智能提示与患者互动，全面采集主诉症状、伴随症状、诊疗情况、既往史、家族史等医疗信息，有效利用患者候诊时间，提高患者对病情认知的同时，也为医生采集更为详细的病史资料。</w:t>
            </w:r>
          </w:p>
        </w:tc>
      </w:tr>
      <w:tr w14:paraId="32B40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86ED6C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185C302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23DB5F8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1691AB2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开放式病史采集</w:t>
            </w:r>
          </w:p>
        </w:tc>
        <w:tc>
          <w:tcPr>
            <w:tcW w:w="5488" w:type="dxa"/>
            <w:vAlign w:val="center"/>
          </w:tcPr>
          <w:p w14:paraId="057289F7">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系统须支持大模型引导的开放式病史采集，患者可用自然语言表达病情，系统通过大模型的理解能力动态生成追问问题，而非局限于固定选项，提升信息采集的自然度与全面性。</w:t>
            </w:r>
          </w:p>
        </w:tc>
      </w:tr>
      <w:tr w14:paraId="64F46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4DE9A3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AD65EC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1C96A63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23B47AF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追问与个性化引导</w:t>
            </w:r>
          </w:p>
        </w:tc>
        <w:tc>
          <w:tcPr>
            <w:tcW w:w="5488" w:type="dxa"/>
            <w:vAlign w:val="center"/>
          </w:tcPr>
          <w:p w14:paraId="5433C9F7">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能够精准理解患者的口语化描述，准确匹配专业医学术语，并根据患者回答智能调整追问问题，提供个性化的问诊体验，确保问诊过程的针对性和有效性，使医生获得准确、有效和完整的信息，提高诊断的准确性。</w:t>
            </w:r>
          </w:p>
        </w:tc>
      </w:tr>
      <w:tr w14:paraId="270E5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903428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0C9817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1A8C873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5C2E4FC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专科专病能力</w:t>
            </w:r>
          </w:p>
        </w:tc>
        <w:tc>
          <w:tcPr>
            <w:tcW w:w="5488" w:type="dxa"/>
            <w:vAlign w:val="center"/>
          </w:tcPr>
          <w:p w14:paraId="589CA4B1">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大模型能够精准识别患者所涉及的专科，并自动切换到自动专科的预问诊问诊式，无论是常见的内科、外科、妇产科、儿科，还是中医科、中西医结合科等专科，都能提供高度专业化和针对性的询问内容。</w:t>
            </w:r>
          </w:p>
        </w:tc>
      </w:tr>
      <w:tr w14:paraId="67202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B70D04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90B10B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5A1AC7C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11C54ED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口语/方言精准识别</w:t>
            </w:r>
          </w:p>
        </w:tc>
        <w:tc>
          <w:tcPr>
            <w:tcW w:w="5488" w:type="dxa"/>
            <w:vAlign w:val="center"/>
          </w:tcPr>
          <w:p w14:paraId="720A83BC">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支持识别非标准、口语化、方言化的症状描述，自动对齐至标准医学术语，扩大患者覆盖人群。</w:t>
            </w:r>
          </w:p>
        </w:tc>
      </w:tr>
      <w:tr w14:paraId="7EFE6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7E3D4A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3C8776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2271E59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56B18EB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内容安全护栏</w:t>
            </w:r>
          </w:p>
        </w:tc>
        <w:tc>
          <w:tcPr>
            <w:tcW w:w="5488" w:type="dxa"/>
            <w:vAlign w:val="center"/>
          </w:tcPr>
          <w:p w14:paraId="4279778A">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内置医疗领域内容安全机制，自动拦截违规、诱导性话题，符合医学伦理规范。</w:t>
            </w:r>
          </w:p>
        </w:tc>
      </w:tr>
      <w:tr w14:paraId="11EB2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45FCC1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7411A79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Align w:val="center"/>
          </w:tcPr>
          <w:p w14:paraId="611D7AB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大模型+问卷双模式融合​</w:t>
            </w:r>
          </w:p>
        </w:tc>
        <w:tc>
          <w:tcPr>
            <w:tcW w:w="1418" w:type="dxa"/>
            <w:vAlign w:val="center"/>
          </w:tcPr>
          <w:p w14:paraId="5E61590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双模式协同</w:t>
            </w:r>
          </w:p>
        </w:tc>
        <w:tc>
          <w:tcPr>
            <w:tcW w:w="5488" w:type="dxa"/>
            <w:vAlign w:val="center"/>
          </w:tcPr>
          <w:p w14:paraId="5A07C485">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支持大模型问诊与固定问卷模板在同一会话中协同；大模型可前置（信息核对）、后置（量表评分）灵活编排；两者输出统一汇入一诉五史结构化病历，兼顾灵活性模板与信息合规。</w:t>
            </w:r>
          </w:p>
        </w:tc>
      </w:tr>
      <w:tr w14:paraId="23AAA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BD41A9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182B90B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restart"/>
            <w:vAlign w:val="center"/>
          </w:tcPr>
          <w:p w14:paraId="294DBF6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可视化问卷配置后台（问卷引擎）​</w:t>
            </w:r>
          </w:p>
        </w:tc>
        <w:tc>
          <w:tcPr>
            <w:tcW w:w="1418" w:type="dxa"/>
            <w:vAlign w:val="center"/>
          </w:tcPr>
          <w:p w14:paraId="4786D53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零代码可视化配置</w:t>
            </w:r>
          </w:p>
        </w:tc>
        <w:tc>
          <w:tcPr>
            <w:tcW w:w="5488" w:type="dxa"/>
            <w:vAlign w:val="center"/>
          </w:tcPr>
          <w:p w14:paraId="73E43D7D">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系统须为院方提供"零代码"可视化配置后台，业务人员通过点选、勾选、填写参数等操作即可独立完成复杂问诊问卷的设计、修改，全程无需编写任何前端或后端代码。</w:t>
            </w:r>
          </w:p>
        </w:tc>
      </w:tr>
      <w:tr w14:paraId="3E27F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E18D80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2EC33DD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72BBEA5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349EA2F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所见即所得编辑画布</w:t>
            </w:r>
          </w:p>
        </w:tc>
        <w:tc>
          <w:tcPr>
            <w:tcW w:w="5488" w:type="dxa"/>
            <w:vAlign w:val="center"/>
          </w:tcPr>
          <w:p w14:paraId="4490C34B">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系统须提供所见即所得的问卷编辑画布，在编辑问卷时，支持展示问卷内容属性配置及问卷预览区域。管理员对问卷的任何修改（如拖动排序、修改题干）都应实时在画布上同步更新。</w:t>
            </w:r>
          </w:p>
        </w:tc>
      </w:tr>
      <w:tr w14:paraId="03467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75D53F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73AC88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62123A6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2FB9823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丰富题型组件库</w:t>
            </w:r>
          </w:p>
        </w:tc>
        <w:tc>
          <w:tcPr>
            <w:tcW w:w="5488" w:type="dxa"/>
            <w:vAlign w:val="center"/>
          </w:tcPr>
          <w:p w14:paraId="6D2CFF98">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系统须提供丰富的基础题型组件库，至少应包括：单选题、多选题、单行文本题、多行文本题、评分题、文件上传题及签名题等。</w:t>
            </w:r>
          </w:p>
        </w:tc>
      </w:tr>
      <w:tr w14:paraId="1C342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F281BC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205CAF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34F3EE7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72679F2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组合题型设计</w:t>
            </w:r>
          </w:p>
        </w:tc>
        <w:tc>
          <w:tcPr>
            <w:tcW w:w="5488" w:type="dxa"/>
            <w:vAlign w:val="center"/>
          </w:tcPr>
          <w:p w14:paraId="3247F2BB">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系统须支持“组合题型”，允许管理员将多个基础题型组合为一个逻辑单元，在患者端，这些题目作为一个整体问题显示在同一屏幕或卡片上。</w:t>
            </w:r>
          </w:p>
        </w:tc>
      </w:tr>
      <w:tr w14:paraId="62453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D4C126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33AC38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6DBF46C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4927302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单选题型基础配置</w:t>
            </w:r>
          </w:p>
        </w:tc>
        <w:tc>
          <w:tcPr>
            <w:tcW w:w="5488" w:type="dxa"/>
            <w:vAlign w:val="center"/>
          </w:tcPr>
          <w:p w14:paraId="7E87F015">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单选题”基础题型，管理员可配置单选题的题干、选择列表，患者端以单选按钮形式展示；须支持“其他”选项及文本输入，管理员可配置某个选项（如“其他”）后自动显示文本框供患者填写具体内容。</w:t>
            </w:r>
          </w:p>
        </w:tc>
      </w:tr>
      <w:tr w14:paraId="6A952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B90296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5CEA6ED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5BF0E62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433F3A1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多选题型基础配置</w:t>
            </w:r>
          </w:p>
        </w:tc>
        <w:tc>
          <w:tcPr>
            <w:tcW w:w="5488" w:type="dxa"/>
            <w:vAlign w:val="center"/>
          </w:tcPr>
          <w:p w14:paraId="4D261756">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系统须支持"多选题"基础题型，管理员可配置多选题的题干、选项列表，患者端以复选框形式展示；须支持“其他”选项及文本输入，管理员可配置某个选项后自动显示文本框供患者填写具体内容。</w:t>
            </w:r>
          </w:p>
        </w:tc>
      </w:tr>
      <w:tr w14:paraId="7C125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0EF7A9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72C2298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1EF5AD1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4D53E61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多选题互斥逻辑</w:t>
            </w:r>
          </w:p>
        </w:tc>
        <w:tc>
          <w:tcPr>
            <w:tcW w:w="5488" w:type="dxa"/>
            <w:vAlign w:val="center"/>
          </w:tcPr>
          <w:p w14:paraId="0437F26D">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多选题须支持选项互斥管理，管理员可配置指定选项之间的互斥关系，系统须自动取消勾选其他所有已选项，并禁止与其他选项同时选中，互斥关系须支持一对多、多对多配置。</w:t>
            </w:r>
          </w:p>
        </w:tc>
      </w:tr>
      <w:tr w14:paraId="02F48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912D3A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6FFC8E1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291C659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6B91F2E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单选/多选题计分配置</w:t>
            </w:r>
          </w:p>
        </w:tc>
        <w:tc>
          <w:tcPr>
            <w:tcW w:w="5488" w:type="dxa"/>
            <w:vAlign w:val="center"/>
          </w:tcPr>
          <w:p w14:paraId="17FD56AA">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单选/多选题须支持选项计分分值配置，管理员可为每个选项配置独立的分值，系统根据患者所选选项自动累加得分，适用于心理量表、风险评估等场景。</w:t>
            </w:r>
          </w:p>
        </w:tc>
      </w:tr>
      <w:tr w14:paraId="6BF07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BA7190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5881BD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091DC7D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34C4AF8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下拉选择题</w:t>
            </w:r>
          </w:p>
        </w:tc>
        <w:tc>
          <w:tcPr>
            <w:tcW w:w="5488" w:type="dxa"/>
            <w:vAlign w:val="center"/>
          </w:tcPr>
          <w:p w14:paraId="21EA4530">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系统须支持“下拉选择题”题型，当选项数量较多时，管理员可选择以下拉菜单形式展示，患者点击下拉框，从列表中选择一个选项，适用于选项数量超过5个的场景（如省份、城市、血型、职业等）。</w:t>
            </w:r>
          </w:p>
        </w:tc>
      </w:tr>
      <w:tr w14:paraId="64E5E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5D8848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738C1E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6F7EBA2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67156EC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单行文本题型基础配置</w:t>
            </w:r>
          </w:p>
        </w:tc>
        <w:tc>
          <w:tcPr>
            <w:tcW w:w="5488" w:type="dxa"/>
            <w:vAlign w:val="center"/>
          </w:tcPr>
          <w:p w14:paraId="3C9B6B9C">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系统须支持单行文本题型的基础属性配置，管理员可在后台创建多个文本字段，并支持设置字段标题、配置该字段是否为必填项，满足基础信息或短文本场景的录入需求。</w:t>
            </w:r>
          </w:p>
        </w:tc>
      </w:tr>
      <w:tr w14:paraId="3DB9D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CFA024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19CB06C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4AFB7BF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5CFFB2E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单行文本校验规则</w:t>
            </w:r>
          </w:p>
        </w:tc>
        <w:tc>
          <w:tcPr>
            <w:tcW w:w="5488" w:type="dxa"/>
            <w:vAlign w:val="center"/>
          </w:tcPr>
          <w:p w14:paraId="325D17AE">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系统须支持为单行文本题配置校验规则，包括但不限于：1.格式范围校验：支持限制仅允许输入日期格式或数值格式；2.数值范围校验：支持设置最大/最小值（如年龄段限制0-150）及输入长度。</w:t>
            </w:r>
          </w:p>
        </w:tc>
      </w:tr>
      <w:tr w14:paraId="66264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8D52D5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7BC23CC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2AFA15E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4F0B25C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文本自增采集</w:t>
            </w:r>
          </w:p>
        </w:tc>
        <w:tc>
          <w:tcPr>
            <w:tcW w:w="5488" w:type="dxa"/>
            <w:vAlign w:val="center"/>
          </w:tcPr>
          <w:p w14:paraId="3131FDC1">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系统须支持“文本自增”采集模式，允许患者在单次问诊中动态添加多条同类文本记录，例如：在收集用药情况时，支持患者添加多种药物名称及剂量，满足复杂病史的录入需求。</w:t>
            </w:r>
          </w:p>
        </w:tc>
      </w:tr>
      <w:tr w14:paraId="12105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4EF986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778E74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2ADF517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1FF6BD8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单行文本数据自动引用</w:t>
            </w:r>
          </w:p>
        </w:tc>
        <w:tc>
          <w:tcPr>
            <w:tcW w:w="5488" w:type="dxa"/>
            <w:vAlign w:val="center"/>
          </w:tcPr>
          <w:p w14:paraId="07E08A6E">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系统须支持单行文本题基于患者基础信息（姓名、手机号）的自动引用填充，实现患者打开问卷时，相关字段自动预填，减少患者手动输入成本，提升填写效率。</w:t>
            </w:r>
          </w:p>
        </w:tc>
      </w:tr>
      <w:tr w14:paraId="61ECB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B1E2C4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78C7EE6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29AC766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7ACC3C8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多行文本题</w:t>
            </w:r>
          </w:p>
        </w:tc>
        <w:tc>
          <w:tcPr>
            <w:tcW w:w="5488" w:type="dxa"/>
            <w:vAlign w:val="center"/>
          </w:tcPr>
          <w:p w14:paraId="4E3BDEF6">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系统须支持“多行文本题”题型，患者端显示为多行文本域，适用于主诉、病情描述等长文本采集。</w:t>
            </w:r>
          </w:p>
        </w:tc>
      </w:tr>
      <w:tr w14:paraId="6BDF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1F2A29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1ABA5F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15C17D4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0882EBD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评分题</w:t>
            </w:r>
          </w:p>
        </w:tc>
        <w:tc>
          <w:tcPr>
            <w:tcW w:w="5488" w:type="dxa"/>
            <w:vAlign w:val="center"/>
          </w:tcPr>
          <w:p w14:paraId="3CC43233">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评分题”题型，用于对患者特定症状或整体状态进行量化评估。须支持配置最低分、最高分、量级刻度（如1分递增），并可自定义配置左侧提示文字（如“无痛”）与右侧提示文字（如“剧烈疼痛”）。支持滑块或数字输入等多种作答交互方式，并支持将该题得分自动计入心理量表、风险评估等专项评估结果中。</w:t>
            </w:r>
          </w:p>
        </w:tc>
      </w:tr>
      <w:tr w14:paraId="1B8E9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D2EF2E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1369D38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32836E4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7518E47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文件上传题</w:t>
            </w:r>
          </w:p>
        </w:tc>
        <w:tc>
          <w:tcPr>
            <w:tcW w:w="5488" w:type="dxa"/>
            <w:vAlign w:val="center"/>
          </w:tcPr>
          <w:p w14:paraId="46274DD5">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系统须支持"文件上传题"题型，患者可通过该题型上传电子文档，管理员配置时可设置：允许的文件类型（Excel、Word、PDF）、单个文件大小限制、最多上传文件数量。</w:t>
            </w:r>
          </w:p>
        </w:tc>
      </w:tr>
      <w:tr w14:paraId="475EA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CE10D0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2E603F5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0893DB9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20E3EF6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签名题</w:t>
            </w:r>
          </w:p>
        </w:tc>
        <w:tc>
          <w:tcPr>
            <w:tcW w:w="5488" w:type="dxa"/>
            <w:vAlign w:val="center"/>
          </w:tcPr>
          <w:p w14:paraId="76A367B7">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系统须支持“签名题”题型，患者在移动端触摸屏上手写签名进行电子确认，生成不可篡改的签名数据。</w:t>
            </w:r>
          </w:p>
        </w:tc>
      </w:tr>
      <w:tr w14:paraId="6B06F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FCEC70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9247B5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restart"/>
            <w:vAlign w:val="center"/>
          </w:tcPr>
          <w:p w14:paraId="3EB7668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高级逻辑控制​</w:t>
            </w:r>
          </w:p>
        </w:tc>
        <w:tc>
          <w:tcPr>
            <w:tcW w:w="1418" w:type="dxa"/>
            <w:vAlign w:val="center"/>
          </w:tcPr>
          <w:p w14:paraId="6EE6B99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题目显示/隐藏逻辑</w:t>
            </w:r>
          </w:p>
        </w:tc>
        <w:tc>
          <w:tcPr>
            <w:tcW w:w="5488" w:type="dxa"/>
            <w:vAlign w:val="center"/>
          </w:tcPr>
          <w:p w14:paraId="325A3A60">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系统须支持“题目显示/隐藏”逻辑，管理员可设置当前前置题目A选择了“选项X”时，当前题目B才显示，否则B在整个问卷中不可见，提升问诊针对性。</w:t>
            </w:r>
          </w:p>
        </w:tc>
      </w:tr>
      <w:tr w14:paraId="63299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13F090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2F9A0CC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7EEFC87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238A104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选项级显隐逻辑</w:t>
            </w:r>
          </w:p>
        </w:tc>
        <w:tc>
          <w:tcPr>
            <w:tcW w:w="5488" w:type="dxa"/>
            <w:vAlign w:val="center"/>
          </w:tcPr>
          <w:p w14:paraId="0C4CCED4">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系统须支持“选项级显隐”逻辑，例如，仅当患者在题目“是否有吸烟史”中选择“是”时，后续题目中“每日吸烟量”选项才显示，实现精细化流程控制。</w:t>
            </w:r>
          </w:p>
        </w:tc>
      </w:tr>
      <w:tr w14:paraId="08842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F0E4FB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C55273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79F5A8A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0A2F22D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选项动态填充逻辑</w:t>
            </w:r>
          </w:p>
        </w:tc>
        <w:tc>
          <w:tcPr>
            <w:tcW w:w="5488" w:type="dxa"/>
            <w:vAlign w:val="center"/>
          </w:tcPr>
          <w:p w14:paraId="4CC91987">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系统须支持“选项动态填充”逻辑，例如，患者在前置题目中勾选“既往病史”中勾选了某些病种，系统后续题型中能自动填充病种值，或将其设为预设选项，避免重复输入。</w:t>
            </w:r>
          </w:p>
        </w:tc>
      </w:tr>
      <w:tr w14:paraId="473EB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99A80E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1762DE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5B1B747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2E0DCD1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计算逻辑</w:t>
            </w:r>
          </w:p>
        </w:tc>
        <w:tc>
          <w:tcPr>
            <w:tcW w:w="5488" w:type="dxa"/>
            <w:vAlign w:val="center"/>
          </w:tcPr>
          <w:p w14:paraId="4BAE582D">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系统须支持“计算逻辑”，管理员可设计计算公式，使一个题目的某个数值答案可自动根据已输入数值计算得出。</w:t>
            </w:r>
          </w:p>
        </w:tc>
      </w:tr>
      <w:tr w14:paraId="0E4C7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1C5E63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747A7F0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1D4BEF1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22861AD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患者信息引用</w:t>
            </w:r>
          </w:p>
        </w:tc>
        <w:tc>
          <w:tcPr>
            <w:tcW w:w="5488" w:type="dxa"/>
            <w:vAlign w:val="center"/>
          </w:tcPr>
          <w:p w14:paraId="64396D34">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系统须支持引用患者基础信息进行个性化问诊，系统应能从接口获取问诊过程中收集的患者基础信息（至少包括姓名、手机号），并将其动态嵌入到题目中</w:t>
            </w:r>
          </w:p>
        </w:tc>
      </w:tr>
      <w:tr w14:paraId="4BEC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F052B1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5C85DBA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2771B91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47814E2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跳题结束规则</w:t>
            </w:r>
          </w:p>
        </w:tc>
        <w:tc>
          <w:tcPr>
            <w:tcW w:w="5488" w:type="dxa"/>
            <w:vAlign w:val="center"/>
          </w:tcPr>
          <w:p w14:paraId="49660C50">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系统须支持“跳题结束”规则，当患者在某题目中选择特定选项时，系统应自动跳过后续所有未答题目，直接进入问诊结束或报告生成环节</w:t>
            </w:r>
          </w:p>
        </w:tc>
      </w:tr>
      <w:tr w14:paraId="3B4CC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D014D6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878BE5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3E22670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001753B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专科模版库</w:t>
            </w:r>
          </w:p>
        </w:tc>
        <w:tc>
          <w:tcPr>
            <w:tcW w:w="5488" w:type="dxa"/>
            <w:vAlign w:val="center"/>
          </w:tcPr>
          <w:p w14:paraId="749BBBE0">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系统须内置一个经过医学验证的“专科预问诊模版库”，至少预置10个主流科室的完整问诊模版，这些模版应包含符合专科诊疗常规的题目、选项和跳转逻辑。</w:t>
            </w:r>
          </w:p>
        </w:tc>
      </w:tr>
      <w:tr w14:paraId="4E82B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B63AED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75F32A3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3D11349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3CBBF7F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模版复用与差异化配置</w:t>
            </w:r>
          </w:p>
        </w:tc>
        <w:tc>
          <w:tcPr>
            <w:tcW w:w="5488" w:type="dxa"/>
            <w:vAlign w:val="center"/>
          </w:tcPr>
          <w:p w14:paraId="38AEA118">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系统须支持“模版复用”与“差异化配置”机制，支持从一个标准模版克隆出新的模版，并支持在此基础上独立修改，而不影响原始模版。</w:t>
            </w:r>
          </w:p>
        </w:tc>
      </w:tr>
      <w:tr w14:paraId="0A489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317144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6236160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5F8DA04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7E78E93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快捷复用配置</w:t>
            </w:r>
          </w:p>
        </w:tc>
        <w:tc>
          <w:tcPr>
            <w:tcW w:w="5488" w:type="dxa"/>
            <w:vAlign w:val="center"/>
          </w:tcPr>
          <w:p w14:paraId="26239168">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系统须支持一键快捷复用已有配置问卷，提升相似科室或问诊的构建效率，减少重复配置工作量。</w:t>
            </w:r>
          </w:p>
        </w:tc>
      </w:tr>
      <w:tr w14:paraId="6369E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A57854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7288B2A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restart"/>
            <w:vAlign w:val="center"/>
          </w:tcPr>
          <w:p w14:paraId="2472F36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个性化配置与业务适配​</w:t>
            </w:r>
          </w:p>
        </w:tc>
        <w:tc>
          <w:tcPr>
            <w:tcW w:w="1418" w:type="dxa"/>
            <w:vAlign w:val="center"/>
          </w:tcPr>
          <w:p w14:paraId="1583E99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多模态问诊模式分级配置</w:t>
            </w:r>
          </w:p>
        </w:tc>
        <w:tc>
          <w:tcPr>
            <w:tcW w:w="5488" w:type="dxa"/>
            <w:vAlign w:val="center"/>
          </w:tcPr>
          <w:p w14:paraId="39FBC3CB">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按科室、医生维度独立配置问诊模式，支持“大模型自由问诊”、“结构化固定问卷”“大模型+问卷融合”三种交互形式，支持针对不同场景灵活定义，例如：儿科/体检中心配置为“大模型+问卷融合”问诊模式，复杂病种配置为“大模型自由问诊+深度追问”模式</w:t>
            </w:r>
          </w:p>
        </w:tc>
      </w:tr>
      <w:tr w14:paraId="006EE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E8F42F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1FEEDF2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177320A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2A4B3A4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初复诊差异化问诊路径</w:t>
            </w:r>
          </w:p>
        </w:tc>
        <w:tc>
          <w:tcPr>
            <w:tcW w:w="5488" w:type="dxa"/>
            <w:vAlign w:val="center"/>
          </w:tcPr>
          <w:p w14:paraId="21D89410">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系统须支持针对初诊与复诊场景配置完全分离的问诊逻辑与内容，初诊侧重全面病史采集，复诊侧重用药反馈与症状变化，确保问诊内容与诊疗阶段高度匹配。</w:t>
            </w:r>
          </w:p>
        </w:tc>
      </w:tr>
      <w:tr w14:paraId="570DE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57694E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7F24666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386180A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1EEE9B6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大模型问诊轮次智能管控</w:t>
            </w:r>
          </w:p>
        </w:tc>
        <w:tc>
          <w:tcPr>
            <w:tcW w:w="5488" w:type="dxa"/>
            <w:vAlign w:val="center"/>
          </w:tcPr>
          <w:p w14:paraId="73118954">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智能控制大模型问诊轮次，避免无限追问导致对话冗长，可根据问诊内容复杂度自动调整追问深度，支持按科室、病种或医生偏好配置（如设置5-10轮上限），防止无效发散对话，保障沟通效率与核心信息的聚焦采集。</w:t>
            </w:r>
          </w:p>
        </w:tc>
      </w:tr>
      <w:tr w14:paraId="045D1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EDD272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7930B03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4C43EC5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42FBEA0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VI视觉定制</w:t>
            </w:r>
          </w:p>
        </w:tc>
        <w:tc>
          <w:tcPr>
            <w:tcW w:w="5488" w:type="dxa"/>
            <w:vAlign w:val="center"/>
          </w:tcPr>
          <w:p w14:paraId="0E58760A">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支持在后台可视化配置页面名称、AI形象、招呼语、引导语、提示词、主色、背景图等品牌全要素，与院方VI一致，提升医院品牌形象和专业感。</w:t>
            </w:r>
          </w:p>
        </w:tc>
      </w:tr>
      <w:tr w14:paraId="6BF5F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7E6CCA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5DA9182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3FCEC17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7F4243A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回答方式个性化</w:t>
            </w:r>
          </w:p>
        </w:tc>
        <w:tc>
          <w:tcPr>
            <w:tcW w:w="5488" w:type="dxa"/>
            <w:vAlign w:val="center"/>
          </w:tcPr>
          <w:p w14:paraId="03943AC7">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系统须支持让患者回答方式个性化：只提供题目、提供选项参考、限制固定题型方式回答，满足不同患者的使用习惯。</w:t>
            </w:r>
          </w:p>
        </w:tc>
      </w:tr>
      <w:tr w14:paraId="4991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3DF94C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EA38BF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restart"/>
            <w:vAlign w:val="center"/>
          </w:tcPr>
          <w:p w14:paraId="1DA8F04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问诊过程管理​</w:t>
            </w:r>
          </w:p>
        </w:tc>
        <w:tc>
          <w:tcPr>
            <w:tcW w:w="1418" w:type="dxa"/>
            <w:vAlign w:val="center"/>
          </w:tcPr>
          <w:p w14:paraId="55165FC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问诊中断实时保存</w:t>
            </w:r>
          </w:p>
        </w:tc>
        <w:tc>
          <w:tcPr>
            <w:tcW w:w="5488" w:type="dxa"/>
            <w:vAlign w:val="center"/>
          </w:tcPr>
          <w:p w14:paraId="3977D65A">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系统须支持问诊过程中断后的状态实时保存。当用户意外退出或主动暂停后，再次进入时可从中断处继续问诊，无需重新开始，显著提升患者体验与问诊完成率。</w:t>
            </w:r>
          </w:p>
        </w:tc>
      </w:tr>
      <w:tr w14:paraId="244E3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7C5AA6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6DAADD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0DDCCD5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64B0673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问诊内容修改</w:t>
            </w:r>
          </w:p>
        </w:tc>
        <w:tc>
          <w:tcPr>
            <w:tcW w:w="5488" w:type="dxa"/>
            <w:vAlign w:val="center"/>
          </w:tcPr>
          <w:p w14:paraId="68F97AB5">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系统须支持问诊内容修改，在预问诊内容未发送医生前，该次预问诊回复内容均支持用户进行修改；支持医生回复后，后续对话根据最新回复内容重新更新。</w:t>
            </w:r>
          </w:p>
        </w:tc>
      </w:tr>
      <w:tr w14:paraId="2FB01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670E0C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876555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2F771DC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53F7C28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修改权限配置</w:t>
            </w:r>
          </w:p>
        </w:tc>
        <w:tc>
          <w:tcPr>
            <w:tcW w:w="5488" w:type="dxa"/>
            <w:vAlign w:val="center"/>
          </w:tcPr>
          <w:p w14:paraId="14A43A32">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系统须支持设置发送医生后是否支持修改可自定义配置，满足医院个性化需求，确保问诊记录的严肃性与灵活性平衡。</w:t>
            </w:r>
          </w:p>
        </w:tc>
      </w:tr>
      <w:tr w14:paraId="13F8C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2E33BF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DAE0D5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7EC442B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4ED5BF3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问诊回复动态更新</w:t>
            </w:r>
          </w:p>
        </w:tc>
        <w:tc>
          <w:tcPr>
            <w:tcW w:w="5488" w:type="dxa"/>
            <w:vAlign w:val="center"/>
          </w:tcPr>
          <w:p w14:paraId="6EE37E0C">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系统须支持基于最新回复的对话延续，允许在修改问诊内容后，重新触发后续问答流程，确保后续对话严格依据更新后的内容展开，避免前后信息冲突。</w:t>
            </w:r>
          </w:p>
        </w:tc>
      </w:tr>
      <w:tr w14:paraId="61AA9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5C2C8D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7E95D84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347E758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1959491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历史预问诊记录</w:t>
            </w:r>
          </w:p>
        </w:tc>
        <w:tc>
          <w:tcPr>
            <w:tcW w:w="5488" w:type="dxa"/>
            <w:vAlign w:val="center"/>
          </w:tcPr>
          <w:p w14:paraId="0CF96559">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系统须支持患者端展示历次预问诊记录，并支持按科室筛选，便于患者回顾历史症状变化。</w:t>
            </w:r>
          </w:p>
        </w:tc>
      </w:tr>
      <w:tr w14:paraId="00B2B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C89B0A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6C45F27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60D65FB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7707054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手动中断问诊</w:t>
            </w:r>
          </w:p>
        </w:tc>
        <w:tc>
          <w:tcPr>
            <w:tcW w:w="5488" w:type="dxa"/>
            <w:vAlign w:val="center"/>
          </w:tcPr>
          <w:p w14:paraId="7A5679C8">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系统须支持患者主动中断问诊流程，在交互界面提供显眼的“结束”按钮，患者点击后可立即终止当前问诊会话，系统按中断前的采集结果生成报告。</w:t>
            </w:r>
          </w:p>
        </w:tc>
      </w:tr>
      <w:tr w14:paraId="5EB51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BDD27A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F05C48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3C6B9A4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2CDDA22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结束引导文案自定义</w:t>
            </w:r>
          </w:p>
        </w:tc>
        <w:tc>
          <w:tcPr>
            <w:tcW w:w="5488" w:type="dxa"/>
            <w:vAlign w:val="center"/>
          </w:tcPr>
          <w:p w14:paraId="536FC9A5">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系统须支持自定义配置提前结束问诊的引导语，管理员可在后台灵活设置信息采集结束时的文案内容，引导患者主动完成问卷，提高信息收集完成率。</w:t>
            </w:r>
          </w:p>
        </w:tc>
      </w:tr>
      <w:tr w14:paraId="68E0D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A2D3E5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5EA4626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6BF254D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545AB19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超时自动结束策略</w:t>
            </w:r>
          </w:p>
        </w:tc>
        <w:tc>
          <w:tcPr>
            <w:tcW w:w="5488" w:type="dxa"/>
            <w:vAlign w:val="center"/>
          </w:tcPr>
          <w:p w14:paraId="02382432">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系统须支持配置会话超时自动结束机制，支持自定义设置无操作超时阈值（如5分钟、10分钟）；当患者在设定时间内未作答复时，系统自动提交已采集信息并结束会话，防止会话长期挂起，确保数据及时回收。</w:t>
            </w:r>
          </w:p>
        </w:tc>
      </w:tr>
      <w:tr w14:paraId="7C321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4E6567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2704212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2EFF155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1EA06B2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问诊进度可视化</w:t>
            </w:r>
          </w:p>
        </w:tc>
        <w:tc>
          <w:tcPr>
            <w:tcW w:w="5488" w:type="dxa"/>
            <w:vAlign w:val="center"/>
          </w:tcPr>
          <w:p w14:paraId="633268F7">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系统须提供可视化的问诊进度条，实时反馈当前完成度，降低患者中途放弃率。</w:t>
            </w:r>
          </w:p>
        </w:tc>
      </w:tr>
      <w:tr w14:paraId="4E8E3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8D20A9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2B4B380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restart"/>
            <w:vAlign w:val="center"/>
          </w:tcPr>
          <w:p w14:paraId="70B7078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预问诊报告生成​及回写</w:t>
            </w:r>
          </w:p>
        </w:tc>
        <w:tc>
          <w:tcPr>
            <w:tcW w:w="1418" w:type="dxa"/>
            <w:vAlign w:val="center"/>
          </w:tcPr>
          <w:p w14:paraId="4CE472B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预问诊报告</w:t>
            </w:r>
          </w:p>
        </w:tc>
        <w:tc>
          <w:tcPr>
            <w:tcW w:w="5488" w:type="dxa"/>
            <w:vAlign w:val="center"/>
          </w:tcPr>
          <w:p w14:paraId="30137249">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系统须遵循门诊电子病历书写规范，自动生成结构化预问诊报告，包括主诉、现病史、既往史、过敏史、家族史等信息，确保病历内容的规范性和完整性。</w:t>
            </w:r>
          </w:p>
        </w:tc>
      </w:tr>
      <w:tr w14:paraId="41EEB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C2B3C0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5B7D19B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457AF3F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02ED6D1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报告内容结构化</w:t>
            </w:r>
          </w:p>
        </w:tc>
        <w:tc>
          <w:tcPr>
            <w:tcW w:w="5488" w:type="dxa"/>
            <w:vAlign w:val="center"/>
          </w:tcPr>
          <w:p w14:paraId="01BF9E9E">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系统须将生成的预问诊报告进行结构化处理，字段须与医院EMR系统对接标准一致，确保数据可直接导入EMR，减少医生手动录入工作量。</w:t>
            </w:r>
          </w:p>
        </w:tc>
      </w:tr>
      <w:tr w14:paraId="76BC9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6EBD15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2E229DD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668FCB4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1A85711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口语化映射</w:t>
            </w:r>
          </w:p>
        </w:tc>
        <w:tc>
          <w:tcPr>
            <w:tcW w:w="5488" w:type="dxa"/>
            <w:vAlign w:val="center"/>
          </w:tcPr>
          <w:p w14:paraId="4DC0F3CC">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系统须支持将患者口语化表述自动映射为标准医学术语，并标注在预问诊报告中，提升病历专业度。</w:t>
            </w:r>
          </w:p>
        </w:tc>
      </w:tr>
      <w:tr w14:paraId="0E773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6CD77D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5CF267D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67E6EE7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0F5EAAB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疑似诊断提示</w:t>
            </w:r>
          </w:p>
        </w:tc>
        <w:tc>
          <w:tcPr>
            <w:tcW w:w="5488" w:type="dxa"/>
            <w:vAlign w:val="center"/>
          </w:tcPr>
          <w:p w14:paraId="439CDF8D">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系统须支持生成"疑似诊断"功能，基于患者描述的症状、病史等信息，大模型应能分析并提示可能的疾病方向，辅助基层医生拓宽诊断思路，降低漏诊率。</w:t>
            </w:r>
          </w:p>
        </w:tc>
      </w:tr>
      <w:tr w14:paraId="73B13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1E7ED3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1F31ABC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3E5D3CE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72662F3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报告字段差异化配置</w:t>
            </w:r>
          </w:p>
        </w:tc>
        <w:tc>
          <w:tcPr>
            <w:tcW w:w="5488" w:type="dxa"/>
            <w:vAlign w:val="center"/>
          </w:tcPr>
          <w:p w14:paraId="39835CC3">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系统须支持生成的预问诊报告字段按科室、医生维度独立配置调整，支持自定义字段名称、字段的显示/隐藏、排序，满足不同医生或科室对病历书写规范的个性化需求。</w:t>
            </w:r>
          </w:p>
        </w:tc>
      </w:tr>
      <w:tr w14:paraId="5C1B1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1B6D4B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190D4B7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16A0C21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61036BE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量表总分自动计算</w:t>
            </w:r>
          </w:p>
        </w:tc>
        <w:tc>
          <w:tcPr>
            <w:tcW w:w="5488" w:type="dxa"/>
            <w:vAlign w:val="center"/>
          </w:tcPr>
          <w:p w14:paraId="4040D432">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根据固定问卷作答结果自动生成量表总分，辅助医生快速完成疼痛量化、抑郁量表等专科评估，系统能对问卷结果进行结构化固定，自动计算量表得分量表总分，针对疼痛量化评估、抑郁量表等专科评估，系统能对问卷结果进行结构化固定，自动作答生成量表总分。</w:t>
            </w:r>
          </w:p>
        </w:tc>
      </w:tr>
      <w:tr w14:paraId="01991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6FACE4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1196C2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251BDD7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06253FE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预问诊报告回写</w:t>
            </w:r>
          </w:p>
        </w:tc>
        <w:tc>
          <w:tcPr>
            <w:tcW w:w="5488" w:type="dxa"/>
            <w:vAlign w:val="center"/>
          </w:tcPr>
          <w:p w14:paraId="4774BF6A">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实时同步至医生工作站，生成的预问诊报告能实时同步至医生工作站，使得医生在接诊时能直接查看患者的详细病史资料，减少重复询问和记录的时间，支持确认无误后可对接EMR系统，有效节省医生书写病历时间，保证病历的完整性和规范性。</w:t>
            </w:r>
          </w:p>
        </w:tc>
      </w:tr>
      <w:tr w14:paraId="7A29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72A212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125EFE8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0EC346B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25B8C23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结构化问卷回写与量表对接</w:t>
            </w:r>
          </w:p>
        </w:tc>
        <w:tc>
          <w:tcPr>
            <w:tcW w:w="5488" w:type="dxa"/>
            <w:vAlign w:val="center"/>
          </w:tcPr>
          <w:p w14:paraId="5D3382C3">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将患者填写的结构化问卷（含固定选项及量表得分）回写至医院EMR系统，针对康复科、心理科等特殊科室的量表问卷场景，支持将量表得分、选项结果等数据按标准格式封装并回传，确保量表数据在EMR中可直接用于疗效评估与科研分析。</w:t>
            </w:r>
          </w:p>
        </w:tc>
      </w:tr>
      <w:tr w14:paraId="7FF59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FBB1BA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674397F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Align w:val="center"/>
          </w:tcPr>
          <w:p w14:paraId="2F5BE75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多语言支持​</w:t>
            </w:r>
          </w:p>
        </w:tc>
        <w:tc>
          <w:tcPr>
            <w:tcW w:w="1418" w:type="dxa"/>
            <w:vAlign w:val="center"/>
          </w:tcPr>
          <w:p w14:paraId="76F524E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多语言版本</w:t>
            </w:r>
          </w:p>
        </w:tc>
        <w:tc>
          <w:tcPr>
            <w:tcW w:w="5488" w:type="dxa"/>
            <w:vAlign w:val="center"/>
          </w:tcPr>
          <w:p w14:paraId="05F8FEB9">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系统须支持中英双语言版本，患者可自主切换语言界面，系统问诊内容、提示语、报告输出均支持中英双语，满足涉外医疗服务需求。</w:t>
            </w:r>
          </w:p>
        </w:tc>
      </w:tr>
      <w:tr w14:paraId="680A7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5E6AF2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139309B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restart"/>
            <w:vAlign w:val="center"/>
          </w:tcPr>
          <w:p w14:paraId="28170E1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隐私协议​</w:t>
            </w:r>
          </w:p>
        </w:tc>
        <w:tc>
          <w:tcPr>
            <w:tcW w:w="1418" w:type="dxa"/>
            <w:vAlign w:val="center"/>
          </w:tcPr>
          <w:p w14:paraId="013D14B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用户授权与隐私保护</w:t>
            </w:r>
          </w:p>
        </w:tc>
        <w:tc>
          <w:tcPr>
            <w:tcW w:w="5488" w:type="dxa"/>
            <w:vAlign w:val="center"/>
          </w:tcPr>
          <w:p w14:paraId="258E2BF7">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系统须支持设置进入预问诊前的隐私授权确认，满足等保与合规要求。</w:t>
            </w:r>
          </w:p>
        </w:tc>
      </w:tr>
      <w:tr w14:paraId="06002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E37A06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5C3213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3BAA9AE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2F8C93D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授权配置</w:t>
            </w:r>
          </w:p>
        </w:tc>
        <w:tc>
          <w:tcPr>
            <w:tcW w:w="5488" w:type="dxa"/>
            <w:vAlign w:val="center"/>
          </w:tcPr>
          <w:p w14:paraId="351D078E">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支持自定义设置隐私内容及自定义设置弹出时机：每日进入时均需确认或首次进入弹窗提示。</w:t>
            </w:r>
          </w:p>
        </w:tc>
      </w:tr>
      <w:tr w14:paraId="6DB35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6AE5FB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F74C3D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restart"/>
            <w:vAlign w:val="center"/>
          </w:tcPr>
          <w:p w14:paraId="52222CD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运营管理​</w:t>
            </w:r>
          </w:p>
        </w:tc>
        <w:tc>
          <w:tcPr>
            <w:tcW w:w="1418" w:type="dxa"/>
            <w:vAlign w:val="center"/>
          </w:tcPr>
          <w:p w14:paraId="2462E2D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预问诊记录管理</w:t>
            </w:r>
          </w:p>
        </w:tc>
        <w:tc>
          <w:tcPr>
            <w:tcW w:w="5488" w:type="dxa"/>
            <w:vAlign w:val="center"/>
          </w:tcPr>
          <w:p w14:paraId="26DEC437">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系统须支持查看全量预问诊记录，支持所有患者数据，支持关键字搜索、时间筛选等，便于运营统计和质控管理。</w:t>
            </w:r>
          </w:p>
        </w:tc>
      </w:tr>
      <w:tr w14:paraId="7413F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B75949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59A5434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72F568D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10537EC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预问诊详情查看</w:t>
            </w:r>
          </w:p>
        </w:tc>
        <w:tc>
          <w:tcPr>
            <w:tcW w:w="5488" w:type="dxa"/>
            <w:vAlign w:val="center"/>
          </w:tcPr>
          <w:p w14:paraId="416E5D4B">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系统须支持查看每条预问诊详情，包括患者对话、生成的患者端预问诊病历和医生端病历，为医疗质控与纠纷溯源提供客观、不可篡改的数据依据。</w:t>
            </w:r>
          </w:p>
        </w:tc>
      </w:tr>
      <w:tr w14:paraId="6A39D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262D1B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A5C020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310A5E8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473218D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BI数据分析看板</w:t>
            </w:r>
          </w:p>
        </w:tc>
        <w:tc>
          <w:tcPr>
            <w:tcW w:w="5488" w:type="dxa"/>
            <w:vAlign w:val="center"/>
          </w:tcPr>
          <w:p w14:paraId="366085BE">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系统须提供BI数据分析看板，支持统计预问诊使用率、完成率、热门科室分布等运营指标，为医院管理决策提供数据支撑。</w:t>
            </w:r>
          </w:p>
        </w:tc>
      </w:tr>
      <w:tr w14:paraId="73A69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D8F0B1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D8B1CE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40A3D3B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Merge w:val="restart"/>
            <w:vAlign w:val="center"/>
          </w:tcPr>
          <w:p w14:paraId="372CB64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预问诊数据批量导出</w:t>
            </w:r>
          </w:p>
        </w:tc>
        <w:tc>
          <w:tcPr>
            <w:tcW w:w="5488" w:type="dxa"/>
            <w:vAlign w:val="center"/>
          </w:tcPr>
          <w:p w14:paraId="79900E5B">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系统须支持预问诊明细及详情数据的批量导出功能，导出内容须涵盖患者基本信息、会话交互记录、结构化病历报告及时间等关键字段，便于医院进行科研分析、运营复盘及医疗质控。</w:t>
            </w:r>
          </w:p>
        </w:tc>
      </w:tr>
      <w:tr w14:paraId="0EC06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E3A830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248AFCC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3EDA868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Merge w:val="continue"/>
            <w:vAlign w:val="center"/>
          </w:tcPr>
          <w:p w14:paraId="11D21D5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5488" w:type="dxa"/>
            <w:vAlign w:val="center"/>
          </w:tcPr>
          <w:p w14:paraId="6CF43726">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系统须支持导出预问诊核心运营报表，含进入人次、沟通人次、报告生成数、发送医生数等，足运营复盘与数据分析。</w:t>
            </w:r>
          </w:p>
        </w:tc>
      </w:tr>
      <w:tr w14:paraId="47177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00E340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14FC5D0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6B3D9AE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Merge w:val="restart"/>
            <w:vAlign w:val="center"/>
          </w:tcPr>
          <w:p w14:paraId="3F3B15F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满意度评价与意见反馈</w:t>
            </w:r>
          </w:p>
        </w:tc>
        <w:tc>
          <w:tcPr>
            <w:tcW w:w="5488" w:type="dxa"/>
            <w:vAlign w:val="center"/>
          </w:tcPr>
          <w:p w14:paraId="11C9CDD7">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系统须支持在问诊结束后自动触发满意度评价，提供星级评分组件，支持患者通过点击星级对预问诊服务体验进行量化打分，直观反馈患者满意度。</w:t>
            </w:r>
          </w:p>
        </w:tc>
      </w:tr>
      <w:tr w14:paraId="3BBC8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79D5AC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5F36AEE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160B0FA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Merge w:val="continue"/>
            <w:vAlign w:val="center"/>
          </w:tcPr>
          <w:p w14:paraId="7749BEC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5488" w:type="dxa"/>
            <w:vAlign w:val="center"/>
          </w:tcPr>
          <w:p w14:paraId="5FF19678">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系统须支持患者提交文字描述及附件上传（如图片、截图等），辅助说明具体问题或建议；系统须完整记录上述反馈数据，为服务流程的持续优化提供具体依据。</w:t>
            </w:r>
          </w:p>
        </w:tc>
      </w:tr>
      <w:tr w14:paraId="153BC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217DCF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6582E0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restart"/>
            <w:vAlign w:val="center"/>
          </w:tcPr>
          <w:p w14:paraId="12E4DBF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私有化部署与数据安全​</w:t>
            </w:r>
          </w:p>
        </w:tc>
        <w:tc>
          <w:tcPr>
            <w:tcW w:w="1418" w:type="dxa"/>
            <w:vAlign w:val="center"/>
          </w:tcPr>
          <w:p w14:paraId="2BC6158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私有化部署</w:t>
            </w:r>
          </w:p>
        </w:tc>
        <w:tc>
          <w:tcPr>
            <w:tcW w:w="5488" w:type="dxa"/>
            <w:vAlign w:val="center"/>
          </w:tcPr>
          <w:p w14:paraId="0023125A">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系统须支持医院私有化部署，全部数据与模型在院内闭环运行，数据不出院；满足医疗数据合规、等保与保密要求，保障患者隐私和数据主权。</w:t>
            </w:r>
          </w:p>
        </w:tc>
      </w:tr>
      <w:tr w14:paraId="7855B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641156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F44291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19E65EF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6899E3E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国产算力适配</w:t>
            </w:r>
          </w:p>
        </w:tc>
        <w:tc>
          <w:tcPr>
            <w:tcW w:w="5488" w:type="dxa"/>
            <w:vAlign w:val="center"/>
          </w:tcPr>
          <w:p w14:paraId="792B00E3">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系统须支持核心模型运行于国产算力平台，符合产业政策导向，确保在信创环境下稳定运行。</w:t>
            </w:r>
          </w:p>
        </w:tc>
      </w:tr>
      <w:tr w14:paraId="46098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77A0CA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27992A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restart"/>
            <w:vAlign w:val="center"/>
          </w:tcPr>
          <w:p w14:paraId="5DCF3FB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跨模块数据贯通​</w:t>
            </w:r>
          </w:p>
        </w:tc>
        <w:tc>
          <w:tcPr>
            <w:tcW w:w="1418" w:type="dxa"/>
            <w:vAlign w:val="center"/>
          </w:tcPr>
          <w:p w14:paraId="06C2D4B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导诊贯通</w:t>
            </w:r>
          </w:p>
        </w:tc>
        <w:tc>
          <w:tcPr>
            <w:tcW w:w="5488" w:type="dxa"/>
            <w:vAlign w:val="center"/>
          </w:tcPr>
          <w:p w14:paraId="2A2F488B">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系统须结合导诊内容作为初始上下文直接传入，避免患者重复描述，提升问诊连贯性和效率。</w:t>
            </w:r>
          </w:p>
        </w:tc>
      </w:tr>
      <w:tr w14:paraId="1E038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A8E597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61A6575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4A7163D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center"/>
          </w:tcPr>
          <w:p w14:paraId="1AD1E62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门诊病历贯通</w:t>
            </w:r>
          </w:p>
        </w:tc>
        <w:tc>
          <w:tcPr>
            <w:tcW w:w="5488" w:type="dxa"/>
            <w:vAlign w:val="center"/>
          </w:tcPr>
          <w:p w14:paraId="27E34973">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预问诊内容支持结构化输出作为门诊病历生成业务线初稿上下文直接传入，避免患者重复描述，确保病历生成自动化、标准化。</w:t>
            </w:r>
          </w:p>
        </w:tc>
      </w:tr>
      <w:tr w14:paraId="777D1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restart"/>
            <w:vAlign w:val="center"/>
          </w:tcPr>
          <w:p w14:paraId="3B911D54">
            <w:pPr>
              <w:widowControl/>
              <w:tabs>
                <w:tab w:val="left" w:pos="492"/>
              </w:tabs>
              <w:ind w:firstLine="0" w:firstLineChars="0"/>
              <w:jc w:val="center"/>
              <w:rPr>
                <w:rFonts w:hint="default"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5</w:t>
            </w:r>
          </w:p>
        </w:tc>
        <w:tc>
          <w:tcPr>
            <w:tcW w:w="851" w:type="dxa"/>
            <w:vMerge w:val="restart"/>
            <w:vAlign w:val="center"/>
          </w:tcPr>
          <w:p w14:paraId="346C06A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AI智能陪诊</w:t>
            </w:r>
          </w:p>
        </w:tc>
        <w:tc>
          <w:tcPr>
            <w:tcW w:w="1275" w:type="dxa"/>
            <w:vMerge w:val="restart"/>
            <w:vAlign w:val="center"/>
          </w:tcPr>
          <w:p w14:paraId="7528CBE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智能陪诊总体架构</w:t>
            </w:r>
          </w:p>
        </w:tc>
        <w:tc>
          <w:tcPr>
            <w:tcW w:w="1418" w:type="dxa"/>
            <w:vAlign w:val="top"/>
          </w:tcPr>
          <w:p w14:paraId="3036AE6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全流程陪诊服务框架</w:t>
            </w:r>
          </w:p>
        </w:tc>
        <w:tc>
          <w:tcPr>
            <w:tcW w:w="5488" w:type="dxa"/>
            <w:vAlign w:val="top"/>
          </w:tcPr>
          <w:p w14:paraId="6DBE9EFC">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提供覆盖诊前、诊中、诊后全流程的智能陪诊服务框架，以患者单次就诊为主线，将预约挂号、候诊签到、门诊缴费、检查检验、取药、报告查询等环节串联为统一的就诊旅程视图，实现"服务找患者"的主动式引导模式，替代传统"患者找服务"的分散式入口设计。</w:t>
            </w:r>
          </w:p>
        </w:tc>
      </w:tr>
      <w:tr w14:paraId="29A2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AC4CD1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1A79B34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745E8FB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2B24ABA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就诊待办事项智能聚合</w:t>
            </w:r>
          </w:p>
        </w:tc>
        <w:tc>
          <w:tcPr>
            <w:tcW w:w="5488" w:type="dxa"/>
            <w:vAlign w:val="top"/>
          </w:tcPr>
          <w:p w14:paraId="5E9510F5">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系统须能够以就诊人和就诊日期为双维度，智能聚合当日全部就诊待办事项，形成统一的陪诊视图，使患者无需在多个功能入口间切换，即可一目了然掌握当日就医全貌及各事项进度。</w:t>
            </w:r>
          </w:p>
        </w:tc>
      </w:tr>
      <w:tr w14:paraId="0A408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1F3DE1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643E04F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4A15C88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56D341E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就诊节点状态管理</w:t>
            </w:r>
          </w:p>
        </w:tc>
        <w:tc>
          <w:tcPr>
            <w:tcW w:w="5488" w:type="dxa"/>
            <w:vAlign w:val="top"/>
          </w:tcPr>
          <w:p w14:paraId="082AA0D3">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系统须支持对每个就诊环节的状态进行实时跟踪与标记，包括待办、进行中、已完成等状态，每个节点的完成信息按天保留并可回顾查看，便于患者掌握当前就诊进度及已办事项记录。</w:t>
            </w:r>
          </w:p>
        </w:tc>
      </w:tr>
      <w:tr w14:paraId="503AF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DE465F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ED09A1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0DBFAE8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7EAC8CA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诊前诊中诊后路径引导</w:t>
            </w:r>
          </w:p>
        </w:tc>
        <w:tc>
          <w:tcPr>
            <w:tcW w:w="5488" w:type="dxa"/>
            <w:vAlign w:val="top"/>
          </w:tcPr>
          <w:p w14:paraId="53E63443">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系统须建立清晰的诊前、诊中、诊后就医路径逻辑，在每个阶段根据患者当前状态智能推送下一步操作指引，避免因功能入口分散、流程不清导致患者就医迷失。</w:t>
            </w:r>
          </w:p>
        </w:tc>
      </w:tr>
      <w:tr w14:paraId="1E70A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6A3552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1C7F03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2262680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11BDC14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多场景节点预设机制</w:t>
            </w:r>
          </w:p>
        </w:tc>
        <w:tc>
          <w:tcPr>
            <w:tcW w:w="5488" w:type="dxa"/>
            <w:vAlign w:val="top"/>
          </w:tcPr>
          <w:p w14:paraId="479DE55E">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系统须预设门诊就诊全流程中的各类陪诊场景节点（如挂号、签到、缴费、检查、取药、报告等），各节点可根据患者实际就诊数据自动触发，形成个性化的就诊引导路径。</w:t>
            </w:r>
          </w:p>
        </w:tc>
      </w:tr>
      <w:tr w14:paraId="0CA4D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ACD91D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97C182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restart"/>
            <w:vAlign w:val="center"/>
          </w:tcPr>
          <w:p w14:paraId="72F1FE8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用户信息与系统对接</w:t>
            </w:r>
          </w:p>
        </w:tc>
        <w:tc>
          <w:tcPr>
            <w:tcW w:w="1418" w:type="dxa"/>
            <w:vAlign w:val="top"/>
          </w:tcPr>
          <w:p w14:paraId="123386D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用户体系对接</w:t>
            </w:r>
          </w:p>
        </w:tc>
        <w:tc>
          <w:tcPr>
            <w:tcW w:w="5488" w:type="dxa"/>
            <w:vAlign w:val="top"/>
          </w:tcPr>
          <w:p w14:paraId="3638E173">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系统须支持与医院公众号、小程序等现有用户体系进行对接，实现就诊人身份信息的统一关联，确保患者登录后可直接获取个人的就医待办数据信息，无需重复输入个人资料。</w:t>
            </w:r>
          </w:p>
        </w:tc>
      </w:tr>
      <w:tr w14:paraId="0D132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4C6029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D35615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05DADC7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4421C49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多就诊人管理</w:t>
            </w:r>
          </w:p>
        </w:tc>
        <w:tc>
          <w:tcPr>
            <w:tcW w:w="5488" w:type="dxa"/>
            <w:vAlign w:val="top"/>
          </w:tcPr>
          <w:p w14:paraId="124765D6">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系统须支持在同一账户下管理多个就诊人信息（如家属、子女等），可自由切换查看不同就诊人的就医待办和陪诊引导信息，满足家庭就医管理需求。</w:t>
            </w:r>
          </w:p>
        </w:tc>
      </w:tr>
      <w:tr w14:paraId="692EE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F016F2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78EB364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329AAD4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66E1079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就诊数据实时同步</w:t>
            </w:r>
          </w:p>
        </w:tc>
        <w:tc>
          <w:tcPr>
            <w:tcW w:w="5488" w:type="dxa"/>
            <w:vAlign w:val="top"/>
          </w:tcPr>
          <w:p w14:paraId="5C4250B2">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系统须能够与医院HIS、检查检验等业务系统进行数据实时同步，确保患者在陪诊页面看到的挂号、缴费、检查、报告等信息为最新状态，避免信息滞后导致误导。</w:t>
            </w:r>
          </w:p>
        </w:tc>
      </w:tr>
      <w:tr w14:paraId="6C50C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AF34CC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69E26A7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755EB8E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5EB6720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就诊行程自动识别</w:t>
            </w:r>
          </w:p>
        </w:tc>
        <w:tc>
          <w:tcPr>
            <w:tcW w:w="5488" w:type="dxa"/>
            <w:vAlign w:val="top"/>
          </w:tcPr>
          <w:p w14:paraId="6CD02841">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系统须能够根据患者的预约挂号记录、医嘱处方等数据，自动识别并构建患者当日的就诊行程清单，无需患者手动添加或配置。</w:t>
            </w:r>
          </w:p>
        </w:tc>
      </w:tr>
      <w:tr w14:paraId="0D103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EC250F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9DB2EC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restart"/>
            <w:vAlign w:val="center"/>
          </w:tcPr>
          <w:p w14:paraId="73E14E3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线上就医引导</w:t>
            </w:r>
          </w:p>
        </w:tc>
        <w:tc>
          <w:tcPr>
            <w:tcW w:w="1418" w:type="dxa"/>
            <w:vAlign w:val="top"/>
          </w:tcPr>
          <w:p w14:paraId="549F735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挂号系统对接</w:t>
            </w:r>
          </w:p>
        </w:tc>
        <w:tc>
          <w:tcPr>
            <w:tcW w:w="5488" w:type="dxa"/>
            <w:vAlign w:val="top"/>
          </w:tcPr>
          <w:p w14:paraId="70CBD115">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系统须与医院现有挂号系统实现深度对接，在患者当前无就诊行程安排时，系统能够主动提供挂号途径引导，患者可通过陪诊系统直接跳转至挂号功能完成科室选择与挂号操作。</w:t>
            </w:r>
          </w:p>
        </w:tc>
      </w:tr>
      <w:tr w14:paraId="4B565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463676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67B9E01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674D48E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0B0CA46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智能导诊集成</w:t>
            </w:r>
          </w:p>
        </w:tc>
        <w:tc>
          <w:tcPr>
            <w:tcW w:w="5488" w:type="dxa"/>
            <w:vAlign w:val="top"/>
          </w:tcPr>
          <w:p w14:paraId="179C3C54">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系统须集成智能导诊功能，当患者没有明确就诊科室意向时，可通过症状描述等方式触发智能导诊服务，由系统推荐相应的就诊科室并引导挂号，降低患者自行选科的决策难度。</w:t>
            </w:r>
          </w:p>
        </w:tc>
      </w:tr>
      <w:tr w14:paraId="7DE4B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2B6ED9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5EA0A30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48CD8DE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4A7D2C0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首次就医引导流程</w:t>
            </w:r>
          </w:p>
        </w:tc>
        <w:tc>
          <w:tcPr>
            <w:tcW w:w="5488" w:type="dxa"/>
            <w:vAlign w:val="top"/>
          </w:tcPr>
          <w:p w14:paraId="3AB8C5F5">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系统须针对首次使用陪诊服务的患者提供新手引导流程，通过简洁的操作指引帮助患者快速了解系统功能布局和核心操作方式，降低首次使用门槛。</w:t>
            </w:r>
          </w:p>
        </w:tc>
      </w:tr>
      <w:tr w14:paraId="1F56A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000F46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75BBF2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04A74C6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0DA8694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无就诊安排空状态处理</w:t>
            </w:r>
          </w:p>
        </w:tc>
        <w:tc>
          <w:tcPr>
            <w:tcW w:w="5488" w:type="dxa"/>
            <w:vAlign w:val="top"/>
          </w:tcPr>
          <w:p w14:paraId="6185C38B">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系统须在患者当日无就诊安排时提供友好的空状态页面，明确告知无待办事项，并提供预约挂号、智能导诊等常用服务入口，引导患者进行下一步操作。</w:t>
            </w:r>
          </w:p>
        </w:tc>
      </w:tr>
      <w:tr w14:paraId="3B717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7DF2BF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62CA059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restart"/>
            <w:vAlign w:val="center"/>
          </w:tcPr>
          <w:p w14:paraId="34C149D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预约挂号引导</w:t>
            </w:r>
          </w:p>
        </w:tc>
        <w:tc>
          <w:tcPr>
            <w:tcW w:w="1418" w:type="dxa"/>
            <w:vAlign w:val="top"/>
          </w:tcPr>
          <w:p w14:paraId="7D20E4E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挂号信息展示</w:t>
            </w:r>
          </w:p>
        </w:tc>
        <w:tc>
          <w:tcPr>
            <w:tcW w:w="5488" w:type="dxa"/>
            <w:vAlign w:val="top"/>
          </w:tcPr>
          <w:p w14:paraId="0D4D232C">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系统须支持查询并展示医疗机构院内的预约挂号记录信息，包括就诊时间、就诊科室、门诊类型、挂号费用、就诊院区等基本信息，使患者对即将到来的就诊安排一目了然。</w:t>
            </w:r>
          </w:p>
        </w:tc>
      </w:tr>
      <w:tr w14:paraId="0B9A5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E7D24E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053777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0AF1CC7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760DDD8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挂号支付引导</w:t>
            </w:r>
          </w:p>
        </w:tc>
        <w:tc>
          <w:tcPr>
            <w:tcW w:w="5488" w:type="dxa"/>
            <w:vAlign w:val="top"/>
          </w:tcPr>
          <w:p w14:paraId="4054B109">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系统须在到达就诊日时，主动引导患者前往医院已建设的线上挂号功能完成挂号支付操作，支持直接跳转至缴费页面，减少患者自行寻找支付入口的困难。</w:t>
            </w:r>
          </w:p>
        </w:tc>
      </w:tr>
      <w:tr w14:paraId="5BFFB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CEDB8F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A4FA6A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59A8C88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3F6A327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就诊注意事项提醒</w:t>
            </w:r>
          </w:p>
        </w:tc>
        <w:tc>
          <w:tcPr>
            <w:tcW w:w="5488" w:type="dxa"/>
            <w:vAlign w:val="top"/>
          </w:tcPr>
          <w:p w14:paraId="6687B96F">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系统须支持高亮展示医院需要告知患者的就诊前注意事项，包括但不限于空腹要求、携带证件、特殊准备等提醒内容，确保关键信息有效传达。</w:t>
            </w:r>
          </w:p>
        </w:tc>
      </w:tr>
      <w:tr w14:paraId="27DB4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A6D391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6741F48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69F01BF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48D218F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预约挂号详情查看</w:t>
            </w:r>
          </w:p>
        </w:tc>
        <w:tc>
          <w:tcPr>
            <w:tcW w:w="5488" w:type="dxa"/>
            <w:vAlign w:val="top"/>
          </w:tcPr>
          <w:p w14:paraId="6865D37F">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系统须提供预约挂号详情页面链接跳转功能，患者可通过陪诊页面一键跳转至挂号详情页查看完整的预约信息。</w:t>
            </w:r>
          </w:p>
        </w:tc>
      </w:tr>
      <w:tr w14:paraId="44B1C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BE7ED4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1ADE6D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470D0AC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32826CE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挂号状态实时更新</w:t>
            </w:r>
          </w:p>
        </w:tc>
        <w:tc>
          <w:tcPr>
            <w:tcW w:w="5488" w:type="dxa"/>
            <w:vAlign w:val="top"/>
          </w:tcPr>
          <w:p w14:paraId="24915A0D">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系统须实时同步挂号订单的状态信息（如已预约、已支付、已取消等），在陪诊视图中准确展示当前挂号状态，避免信息不一致。</w:t>
            </w:r>
          </w:p>
        </w:tc>
      </w:tr>
      <w:tr w14:paraId="66281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68B264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65598BD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restart"/>
            <w:vAlign w:val="center"/>
          </w:tcPr>
          <w:p w14:paraId="7F6394B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签到候诊引导</w:t>
            </w:r>
          </w:p>
        </w:tc>
        <w:tc>
          <w:tcPr>
            <w:tcW w:w="1418" w:type="dxa"/>
            <w:vAlign w:val="top"/>
          </w:tcPr>
          <w:p w14:paraId="366228D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在线签到引导</w:t>
            </w:r>
          </w:p>
        </w:tc>
        <w:tc>
          <w:tcPr>
            <w:tcW w:w="5488" w:type="dxa"/>
            <w:vAlign w:val="top"/>
          </w:tcPr>
          <w:p w14:paraId="1546E664">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系统须在患者当日挂号支付完成后，主动引导患者前往诊区进行就诊签到，支持跳转至医院已建设的候诊签到功能完成在线签到操作，简化到院后的签到流程。</w:t>
            </w:r>
          </w:p>
        </w:tc>
      </w:tr>
      <w:tr w14:paraId="52AF3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C26D0F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70CC027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1200582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0193C7D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排队信息实时展示</w:t>
            </w:r>
          </w:p>
        </w:tc>
        <w:tc>
          <w:tcPr>
            <w:tcW w:w="5488" w:type="dxa"/>
            <w:vAlign w:val="top"/>
          </w:tcPr>
          <w:p w14:paraId="2F5D32C8">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系统须在签到成功后为患者提供实时的排队信息，包括排队号、当前叫号序号、前方排队人数、预计等候时间等，帮助患者合理安排等候时间。</w:t>
            </w:r>
          </w:p>
        </w:tc>
      </w:tr>
      <w:tr w14:paraId="2095E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CE8922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136A2F2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063F2B3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7618B7C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就诊区信息推送</w:t>
            </w:r>
          </w:p>
        </w:tc>
        <w:tc>
          <w:tcPr>
            <w:tcW w:w="5488" w:type="dxa"/>
            <w:vAlign w:val="top"/>
          </w:tcPr>
          <w:p w14:paraId="23B34C70">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系统须在签到完成后向患者推送就诊区域位置信息，包括诊区楼层、诊室编号等，便于患者快速定位就诊地点。</w:t>
            </w:r>
          </w:p>
        </w:tc>
      </w:tr>
      <w:tr w14:paraId="5CF0F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9D7D6E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2412910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60D8E12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3A21C8A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叫号提醒通知</w:t>
            </w:r>
          </w:p>
        </w:tc>
        <w:tc>
          <w:tcPr>
            <w:tcW w:w="5488" w:type="dxa"/>
            <w:vAlign w:val="top"/>
          </w:tcPr>
          <w:p w14:paraId="2F6FD17D">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系统须支持在即将轮到患者就诊时发送叫号提醒通知，避免患者因离开候诊区域而错过就诊，提升候诊体验。</w:t>
            </w:r>
          </w:p>
        </w:tc>
      </w:tr>
      <w:tr w14:paraId="40CC3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B7AC38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FF678F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7F4943A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0198DFF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候诊超时提醒</w:t>
            </w:r>
          </w:p>
        </w:tc>
        <w:tc>
          <w:tcPr>
            <w:tcW w:w="5488" w:type="dxa"/>
            <w:vAlign w:val="top"/>
          </w:tcPr>
          <w:p w14:paraId="247AEC68">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系统须支持在患者已签到但长时间未被叫号时进行候诊超时提醒，告知患者当前排队状态并建议后续操作。</w:t>
            </w:r>
          </w:p>
        </w:tc>
      </w:tr>
      <w:tr w14:paraId="06027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4167D6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7010F68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restart"/>
            <w:vAlign w:val="center"/>
          </w:tcPr>
          <w:p w14:paraId="2EFAA4B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门诊缴费引导</w:t>
            </w:r>
          </w:p>
        </w:tc>
        <w:tc>
          <w:tcPr>
            <w:tcW w:w="1418" w:type="dxa"/>
            <w:vAlign w:val="top"/>
          </w:tcPr>
          <w:p w14:paraId="1D5E858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处方医嘱缴费提醒</w:t>
            </w:r>
          </w:p>
        </w:tc>
        <w:tc>
          <w:tcPr>
            <w:tcW w:w="5488" w:type="dxa"/>
            <w:vAlign w:val="top"/>
          </w:tcPr>
          <w:p w14:paraId="3487440F">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系统须在门诊医生开具医嘱处方后，及时提醒患者有新的待缴费项目，并引导患者前往医院已建设的线上缴费功能完成在线缴费操作。</w:t>
            </w:r>
          </w:p>
        </w:tc>
      </w:tr>
      <w:tr w14:paraId="2D310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7350DD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298150A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6B3171A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0C55C09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缴费单明细展示</w:t>
            </w:r>
          </w:p>
        </w:tc>
        <w:tc>
          <w:tcPr>
            <w:tcW w:w="5488" w:type="dxa"/>
            <w:vAlign w:val="top"/>
          </w:tcPr>
          <w:p w14:paraId="2601CE69">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系统须支持按需展示缴费单的明细信息，包括缴费单名称、开单时间、费用金额、订单号及费用明细等，便于患者核实缴费内容。</w:t>
            </w:r>
          </w:p>
        </w:tc>
      </w:tr>
      <w:tr w14:paraId="429AF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5F14BD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658E3AE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3EC933C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788FBA4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多笔缴费统一管理</w:t>
            </w:r>
          </w:p>
        </w:tc>
        <w:tc>
          <w:tcPr>
            <w:tcW w:w="5488" w:type="dxa"/>
            <w:vAlign w:val="top"/>
          </w:tcPr>
          <w:p w14:paraId="3BD83C25">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系统须支持同一就诊人在同一次就诊中产生的多笔待缴费项目的统一展示和管理，患者可逐笔确认并完成缴费，避免遗漏。</w:t>
            </w:r>
          </w:p>
        </w:tc>
      </w:tr>
      <w:tr w14:paraId="79646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C43C17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B97F08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4292CD9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3D6B417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缴费状态跟踪</w:t>
            </w:r>
          </w:p>
        </w:tc>
        <w:tc>
          <w:tcPr>
            <w:tcW w:w="5488" w:type="dxa"/>
            <w:vAlign w:val="top"/>
          </w:tcPr>
          <w:p w14:paraId="6E13E77E">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系统须实时跟踪每笔缴费单的支付状态（待缴费、已缴费等），在陪诊视图中准确更新展示，缴费完成后自动更新节点状态并引导进入下一环节。</w:t>
            </w:r>
          </w:p>
        </w:tc>
      </w:tr>
      <w:tr w14:paraId="0E2A5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13846A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3C6C2A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3A7E6C2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2FB80C1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缴费详情页跳转</w:t>
            </w:r>
          </w:p>
        </w:tc>
        <w:tc>
          <w:tcPr>
            <w:tcW w:w="5488" w:type="dxa"/>
            <w:vAlign w:val="top"/>
          </w:tcPr>
          <w:p w14:paraId="0C9917E3">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系统须提供从陪诊页面到缴费详情页面的便捷跳转功能，患者可一键查看缴费单详细信息并直接进行支付操作。</w:t>
            </w:r>
          </w:p>
        </w:tc>
      </w:tr>
      <w:tr w14:paraId="371DA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31B52F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DCD452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restart"/>
            <w:vAlign w:val="center"/>
          </w:tcPr>
          <w:p w14:paraId="239D47B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检查检验引导</w:t>
            </w:r>
          </w:p>
        </w:tc>
        <w:tc>
          <w:tcPr>
            <w:tcW w:w="1418" w:type="dxa"/>
            <w:vAlign w:val="top"/>
          </w:tcPr>
          <w:p w14:paraId="3FBFAD3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即到即检项目提醒</w:t>
            </w:r>
          </w:p>
        </w:tc>
        <w:tc>
          <w:tcPr>
            <w:tcW w:w="5488" w:type="dxa"/>
            <w:vAlign w:val="top"/>
          </w:tcPr>
          <w:p w14:paraId="1FEA0669">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系统须能够识别并提醒患者哪些检查检验项目属于即到即检类型，无需预约，缴费完成后可直接前往对应检查区域进行检查，提供项目名称、检查地点等引导信息。</w:t>
            </w:r>
          </w:p>
        </w:tc>
      </w:tr>
      <w:tr w14:paraId="64198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C119CE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527097C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6647590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6D92B0DD">
            <w:pPr>
              <w:widowControl/>
              <w:tabs>
                <w:tab w:val="left" w:pos="492"/>
              </w:tabs>
              <w:ind w:firstLine="0" w:firstLineChars="0"/>
              <w:jc w:val="both"/>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预约项目预约引导</w:t>
            </w:r>
          </w:p>
        </w:tc>
        <w:tc>
          <w:tcPr>
            <w:tcW w:w="5488" w:type="dxa"/>
            <w:vAlign w:val="top"/>
          </w:tcPr>
          <w:p w14:paraId="480D175F">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系统须对需要预约的检查检验项目提供预约引导服务，引导患者前往对应预约功能完成检查预约，并展示可预约时间段、注意事项等信息。</w:t>
            </w:r>
          </w:p>
        </w:tc>
      </w:tr>
      <w:tr w14:paraId="68A2E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1001DD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1C59F1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40DFA77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3A60514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取号项目引导</w:t>
            </w:r>
          </w:p>
        </w:tc>
        <w:tc>
          <w:tcPr>
            <w:tcW w:w="5488" w:type="dxa"/>
            <w:vAlign w:val="top"/>
          </w:tcPr>
          <w:p w14:paraId="105DEF64">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系统须对需要现场取号的检查项目提供线上线下双通道引导，告知患者取号方式及取号地点，支持跳转至线上取号功能或提供线下取号窗口位置指引。</w:t>
            </w:r>
          </w:p>
        </w:tc>
      </w:tr>
      <w:tr w14:paraId="493E4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36801B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AD9890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11CB67D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273DA20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检查候诊信息展示</w:t>
            </w:r>
          </w:p>
        </w:tc>
        <w:tc>
          <w:tcPr>
            <w:tcW w:w="5488" w:type="dxa"/>
            <w:vAlign w:val="top"/>
          </w:tcPr>
          <w:p w14:paraId="27D49C4A">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系统须为已到达检查区域的患者展示当前检查项目的候诊信息，包括排队等待人数、排队号等，帮助患者了解等候进度。</w:t>
            </w:r>
          </w:p>
        </w:tc>
      </w:tr>
      <w:tr w14:paraId="28E6D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AA28AE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FABE3A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7DFF978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426FD40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已预约项目日程提醒</w:t>
            </w:r>
          </w:p>
        </w:tc>
        <w:tc>
          <w:tcPr>
            <w:tcW w:w="5488" w:type="dxa"/>
            <w:vAlign w:val="top"/>
          </w:tcPr>
          <w:p w14:paraId="4242D848">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系统须对患者已预约但尚未到检查日的项目提供日程提醒功能，在检查日前通过智能倒计时等方式提醒患者按时到院完成检查。</w:t>
            </w:r>
          </w:p>
        </w:tc>
      </w:tr>
      <w:tr w14:paraId="369DA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07E795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8D82F7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0D52D10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0AEB59B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多项目并行管理</w:t>
            </w:r>
          </w:p>
        </w:tc>
        <w:tc>
          <w:tcPr>
            <w:tcW w:w="5488" w:type="dxa"/>
            <w:vAlign w:val="top"/>
          </w:tcPr>
          <w:p w14:paraId="40E1B527">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系统须支持同一就诊人同时存在多个检查检验项目时的并行展示和引导管理，按照优先级和时间顺序为患者推荐合理的检查顺序。</w:t>
            </w:r>
          </w:p>
        </w:tc>
      </w:tr>
      <w:tr w14:paraId="2438D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ED5737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228D4E2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61A91B9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5DBEB2A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检查注意事项展示</w:t>
            </w:r>
          </w:p>
        </w:tc>
        <w:tc>
          <w:tcPr>
            <w:tcW w:w="5488" w:type="dxa"/>
            <w:vAlign w:val="top"/>
          </w:tcPr>
          <w:p w14:paraId="7B0BF833">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系统须针对不同类型的检查检验项目展示对应的检前注意事项（如空腹、憋尿、停药等），确保患者提前做好相关准备，避免因准备不足导致检查无法进行。</w:t>
            </w:r>
          </w:p>
        </w:tc>
      </w:tr>
      <w:tr w14:paraId="29C22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1773E1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1854DE7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restart"/>
            <w:vAlign w:val="center"/>
          </w:tcPr>
          <w:p w14:paraId="6BDC2E0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窗口取药引导</w:t>
            </w:r>
          </w:p>
        </w:tc>
        <w:tc>
          <w:tcPr>
            <w:tcW w:w="1418" w:type="dxa"/>
            <w:vAlign w:val="top"/>
          </w:tcPr>
          <w:p w14:paraId="08DA98A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取药信息引导</w:t>
            </w:r>
          </w:p>
        </w:tc>
        <w:tc>
          <w:tcPr>
            <w:tcW w:w="5488" w:type="dxa"/>
            <w:vAlign w:val="top"/>
          </w:tcPr>
          <w:p w14:paraId="08C882F5">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系统须在药品处方缴费完成后，为患者提供取药引导信息，包括取药号、取药药房名称、药房地址、取药窗口号等关键信息，帮助患者快速定位取药地点。</w:t>
            </w:r>
          </w:p>
        </w:tc>
      </w:tr>
      <w:tr w14:paraId="30606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CE33AE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CF2511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1B64EB7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5D531F8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电子凭证取药支持</w:t>
            </w:r>
          </w:p>
        </w:tc>
        <w:tc>
          <w:tcPr>
            <w:tcW w:w="5488" w:type="dxa"/>
            <w:vAlign w:val="top"/>
          </w:tcPr>
          <w:p w14:paraId="68F96C8F">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系统须支持通过对接医院互联网服务，展示院内电子就诊码或医保电子凭证，为患者提供扫码取药服务能力，减少窗口排队和纸质凭证依赖。</w:t>
            </w:r>
          </w:p>
        </w:tc>
      </w:tr>
      <w:tr w14:paraId="28652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48C6F8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BCA633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32CA566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5E67A5D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取药排队状态查询</w:t>
            </w:r>
          </w:p>
        </w:tc>
        <w:tc>
          <w:tcPr>
            <w:tcW w:w="5488" w:type="dxa"/>
            <w:vAlign w:val="top"/>
          </w:tcPr>
          <w:p w14:paraId="2A7812FC">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系统须支持查询取药窗口当前排队人数信息，帮助患者合理安排取药时间，避免长时间在药房窗口等候。</w:t>
            </w:r>
          </w:p>
        </w:tc>
      </w:tr>
      <w:tr w14:paraId="415C6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485B11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58BA167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72AEA14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45C40EE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药品清单查看</w:t>
            </w:r>
          </w:p>
        </w:tc>
        <w:tc>
          <w:tcPr>
            <w:tcW w:w="5488" w:type="dxa"/>
            <w:vAlign w:val="top"/>
          </w:tcPr>
          <w:p w14:paraId="3858AA32">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系统须支持展示本次处方的药品清单信息，便于患者在取药时核对药品名称和数量，确保取药准确无误。</w:t>
            </w:r>
          </w:p>
        </w:tc>
      </w:tr>
      <w:tr w14:paraId="0AE3B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2E91EC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17A9E70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5DABC8B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6953F8A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取药状态更新</w:t>
            </w:r>
          </w:p>
        </w:tc>
        <w:tc>
          <w:tcPr>
            <w:tcW w:w="5488" w:type="dxa"/>
            <w:vAlign w:val="top"/>
          </w:tcPr>
          <w:p w14:paraId="02D10E41">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系统须在患者完成取药后自动更新取药节点状态，标记为已完成，并引导患者进入后续环节（如复诊签到、离院等）。</w:t>
            </w:r>
          </w:p>
        </w:tc>
      </w:tr>
      <w:tr w14:paraId="12D3E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A6ED75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B176C7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restart"/>
            <w:vAlign w:val="center"/>
          </w:tcPr>
          <w:p w14:paraId="6DFF146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智能进度跟踪</w:t>
            </w:r>
          </w:p>
        </w:tc>
        <w:tc>
          <w:tcPr>
            <w:tcW w:w="1418" w:type="dxa"/>
            <w:vAlign w:val="top"/>
          </w:tcPr>
          <w:p w14:paraId="4D1E5B2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就诊日倒计时提醒</w:t>
            </w:r>
          </w:p>
        </w:tc>
        <w:tc>
          <w:tcPr>
            <w:tcW w:w="5488" w:type="dxa"/>
            <w:vAlign w:val="top"/>
          </w:tcPr>
          <w:p w14:paraId="299D8A0C">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系统须在门诊预约环节和检查预约环节，对未到就诊日的预约事项通过智能计算生成就诊日倒计时提醒，在指定日期自动推送陪诊信息引导，确保患者不会遗忘预约。</w:t>
            </w:r>
          </w:p>
        </w:tc>
      </w:tr>
      <w:tr w14:paraId="0102E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DDBD1A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2338E25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0DC7370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19D8D03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就诊行程时间轴</w:t>
            </w:r>
          </w:p>
        </w:tc>
        <w:tc>
          <w:tcPr>
            <w:tcW w:w="5488" w:type="dxa"/>
            <w:vAlign w:val="top"/>
          </w:tcPr>
          <w:p w14:paraId="3936908C">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系统须以时间轴形式呈现患者当日或近期的完整就诊行程，各节点按照时间顺序排列并展示对应状态，使患者能够直观掌握整体就医进度。</w:t>
            </w:r>
          </w:p>
        </w:tc>
      </w:tr>
      <w:tr w14:paraId="376A2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8F1E81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DCA9BF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6FE67FD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4BF5C96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环节超时预警</w:t>
            </w:r>
          </w:p>
        </w:tc>
        <w:tc>
          <w:tcPr>
            <w:tcW w:w="5488" w:type="dxa"/>
            <w:vAlign w:val="top"/>
          </w:tcPr>
          <w:p w14:paraId="6F6D1A47">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系统须支持对就诊过程中各环节设定合理的时间预期，当某环节等待时间超出预期时向患者发出提醒，并建议相应处理方式。</w:t>
            </w:r>
          </w:p>
        </w:tc>
      </w:tr>
      <w:tr w14:paraId="3E6FF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167568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22E72B9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62327A7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38558DE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下一步操作智能推荐</w:t>
            </w:r>
          </w:p>
        </w:tc>
        <w:tc>
          <w:tcPr>
            <w:tcW w:w="5488" w:type="dxa"/>
            <w:vAlign w:val="top"/>
          </w:tcPr>
          <w:p w14:paraId="29266B82">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系统须在每个就诊节点完成后，根据患者剩余待办事项和当前状态，智能推荐下一步最优操作，引导患者高效完成全部就诊流程。</w:t>
            </w:r>
          </w:p>
        </w:tc>
      </w:tr>
      <w:tr w14:paraId="4ED53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246C439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0ADF70B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restart"/>
            <w:vAlign w:val="center"/>
          </w:tcPr>
          <w:p w14:paraId="1EAE468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报告进度跟踪及解读</w:t>
            </w:r>
          </w:p>
        </w:tc>
        <w:tc>
          <w:tcPr>
            <w:tcW w:w="1418" w:type="dxa"/>
            <w:vAlign w:val="top"/>
          </w:tcPr>
          <w:p w14:paraId="0E4C8EE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报告出具进度跟踪</w:t>
            </w:r>
          </w:p>
        </w:tc>
        <w:tc>
          <w:tcPr>
            <w:tcW w:w="5488" w:type="dxa"/>
            <w:vAlign w:val="top"/>
          </w:tcPr>
          <w:p w14:paraId="57F80653">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系统须对接检查检验系统，对患者已完成的检查检验项目进行报告出具进度的实时跟踪，展示报告当前状态（检测中、已出具等），使患者无需反复前往窗口询问。</w:t>
            </w:r>
          </w:p>
        </w:tc>
      </w:tr>
      <w:tr w14:paraId="0F4FE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96B8E0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6E23E0D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2CA7ACF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2AD4816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报告出具消息推送</w:t>
            </w:r>
          </w:p>
        </w:tc>
        <w:tc>
          <w:tcPr>
            <w:tcW w:w="5488" w:type="dxa"/>
            <w:vAlign w:val="top"/>
          </w:tcPr>
          <w:p w14:paraId="6E70505F">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系统须在检查检验报告生成后，及时通过消息推送方式通知患者报告已出，并引导患者查看报告内容或进行回诊签到。</w:t>
            </w:r>
          </w:p>
        </w:tc>
      </w:tr>
      <w:tr w14:paraId="761E8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C8DB16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E1A3AE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6315972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269E47A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报告详情查看跳转</w:t>
            </w:r>
          </w:p>
        </w:tc>
        <w:tc>
          <w:tcPr>
            <w:tcW w:w="5488" w:type="dxa"/>
            <w:vAlign w:val="top"/>
          </w:tcPr>
          <w:p w14:paraId="12031A6A">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系统须提供从陪诊页面到报告详情页面的一键跳转功能，患者可直接查看报告的完整内容，包括报告名称、报告类型、检验明细、异常标记等信息。</w:t>
            </w:r>
          </w:p>
        </w:tc>
      </w:tr>
      <w:tr w14:paraId="132A1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5334CC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2263C83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4ADA7E06">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0D83D79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AI报告智能解读</w:t>
            </w:r>
          </w:p>
        </w:tc>
        <w:tc>
          <w:tcPr>
            <w:tcW w:w="5488" w:type="dxa"/>
            <w:vAlign w:val="top"/>
          </w:tcPr>
          <w:p w14:paraId="0AD706DD">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系统须集成AI报告解读能力，能够直接读取院内数据流的报告信息，通过光学字符识别技术提取报告文字信息并进行深度整合分析，基于全面的数据基础为患者提供精准、个性化的健康建议和指标解读。</w:t>
            </w:r>
          </w:p>
        </w:tc>
      </w:tr>
      <w:tr w14:paraId="68968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3950300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7A00A48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6CE3615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4338F45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历史报告对比</w:t>
            </w:r>
          </w:p>
        </w:tc>
        <w:tc>
          <w:tcPr>
            <w:tcW w:w="5488" w:type="dxa"/>
            <w:vAlign w:val="top"/>
          </w:tcPr>
          <w:p w14:paraId="2BC5F622">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系统须支持将本次检查检验报告与患者历史报告进行关键指标对比，帮助患者直观了解指标变化趋势和健康状况变化。</w:t>
            </w:r>
          </w:p>
        </w:tc>
      </w:tr>
      <w:tr w14:paraId="60AF7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6B9359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419CC1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73DDDA1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00FE3396">
            <w:pPr>
              <w:widowControl/>
              <w:tabs>
                <w:tab w:val="left" w:pos="492"/>
              </w:tabs>
              <w:ind w:firstLine="0" w:firstLineChars="0"/>
              <w:jc w:val="both"/>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异常指标高亮提示</w:t>
            </w:r>
          </w:p>
        </w:tc>
        <w:tc>
          <w:tcPr>
            <w:tcW w:w="5488" w:type="dxa"/>
            <w:vAlign w:val="top"/>
          </w:tcPr>
          <w:p w14:paraId="666F5BAE">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系统须在展示报告内容时，对超出正常参考范围的异常指标进行高亮标注或醒目提示，帮助患者快速关注到需要重点关注的检验项目。</w:t>
            </w:r>
          </w:p>
        </w:tc>
      </w:tr>
      <w:tr w14:paraId="7CD35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1421F1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704993F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restart"/>
            <w:vAlign w:val="center"/>
          </w:tcPr>
          <w:p w14:paraId="0C83FE3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导航服务集成</w:t>
            </w:r>
          </w:p>
        </w:tc>
        <w:tc>
          <w:tcPr>
            <w:tcW w:w="1418" w:type="dxa"/>
            <w:vAlign w:val="top"/>
          </w:tcPr>
          <w:p w14:paraId="020EE7B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院外来院导航</w:t>
            </w:r>
          </w:p>
        </w:tc>
        <w:tc>
          <w:tcPr>
            <w:tcW w:w="5488" w:type="dxa"/>
            <w:vAlign w:val="top"/>
          </w:tcPr>
          <w:p w14:paraId="5D1E1C76">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系统须根据预约挂号中的就诊院区地址信息，为患者提供来院导航服务，支持一键跳转至主流地图应用（如高德、百度地图等），引导患者便捷到达就诊院区。</w:t>
            </w:r>
          </w:p>
        </w:tc>
      </w:tr>
      <w:tr w14:paraId="60C9D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410041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2B5E875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1D047A4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28801D3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院内导航对接</w:t>
            </w:r>
          </w:p>
        </w:tc>
        <w:tc>
          <w:tcPr>
            <w:tcW w:w="5488" w:type="dxa"/>
            <w:vAlign w:val="top"/>
          </w:tcPr>
          <w:p w14:paraId="4DFB9347">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系统须支持与互联网智慧服务系统对接，根据就诊区域信息参数跳转至第三方院内导航服务，引导患者在院内快速定位诊室、检查室、药房、缴费窗口等具体位置。</w:t>
            </w:r>
          </w:p>
        </w:tc>
      </w:tr>
      <w:tr w14:paraId="7ADB5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FCC7E9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6501204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2A13E0A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1C80F30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院区位置信息展示</w:t>
            </w:r>
          </w:p>
        </w:tc>
        <w:tc>
          <w:tcPr>
            <w:tcW w:w="5488" w:type="dxa"/>
            <w:vAlign w:val="top"/>
          </w:tcPr>
          <w:p w14:paraId="40A326C9">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系统须在各陪诊节点中展示对应的位置信息（如院区地址、楼栋楼层、科室房间号等），即使不使用导航功能也能获取基本的位置指引。</w:t>
            </w:r>
          </w:p>
        </w:tc>
      </w:tr>
      <w:tr w14:paraId="48221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535966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2C1C1E7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restart"/>
            <w:vAlign w:val="center"/>
          </w:tcPr>
          <w:p w14:paraId="7C0DDB5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消息通知与提醒</w:t>
            </w:r>
          </w:p>
        </w:tc>
        <w:tc>
          <w:tcPr>
            <w:tcW w:w="1418" w:type="dxa"/>
            <w:vAlign w:val="top"/>
          </w:tcPr>
          <w:p w14:paraId="4EC86A4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全流程消息推送</w:t>
            </w:r>
          </w:p>
        </w:tc>
        <w:tc>
          <w:tcPr>
            <w:tcW w:w="5488" w:type="dxa"/>
            <w:vAlign w:val="top"/>
          </w:tcPr>
          <w:p w14:paraId="136B2ADC">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系统须支持在就诊全流程各关键节点（挂号成功、签到完成、叫号提醒、缴费提醒、报告出具等）通过微信模板消息、小程序通知等方式向患者推送提醒消息，确保患者及时获知就诊进展。</w:t>
            </w:r>
          </w:p>
        </w:tc>
      </w:tr>
      <w:tr w14:paraId="6BF51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1A0CFE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1B2FED07">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67DC8C7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39242D5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消息提醒可配置</w:t>
            </w:r>
          </w:p>
        </w:tc>
        <w:tc>
          <w:tcPr>
            <w:tcW w:w="5488" w:type="dxa"/>
            <w:vAlign w:val="top"/>
          </w:tcPr>
          <w:p w14:paraId="6BF41508">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系统须支持医院管理方对各类提醒消息的开关、推送时机、推送内容进行灵活配置，满足不同医院对消息推送策略的差异化需求。</w:t>
            </w:r>
          </w:p>
        </w:tc>
      </w:tr>
      <w:tr w14:paraId="25448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7CED78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106AF7C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645A853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354A6BB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消息历史记录</w:t>
            </w:r>
          </w:p>
        </w:tc>
        <w:tc>
          <w:tcPr>
            <w:tcW w:w="5488" w:type="dxa"/>
            <w:vAlign w:val="top"/>
          </w:tcPr>
          <w:p w14:paraId="61BA3C70">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系统须保留患者收到的陪诊相关消息记录，患者可随时查阅历史消息，不会因消息遗漏而错失重要就诊提醒。</w:t>
            </w:r>
          </w:p>
        </w:tc>
      </w:tr>
      <w:tr w14:paraId="5A5D9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09009B0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2CBEAC4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restart"/>
            <w:vAlign w:val="center"/>
          </w:tcPr>
          <w:p w14:paraId="62AAC19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多终端部署与兼容</w:t>
            </w:r>
          </w:p>
        </w:tc>
        <w:tc>
          <w:tcPr>
            <w:tcW w:w="1418" w:type="dxa"/>
            <w:vAlign w:val="top"/>
          </w:tcPr>
          <w:p w14:paraId="46A3E8C3">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多渠道部署支持</w:t>
            </w:r>
          </w:p>
        </w:tc>
        <w:tc>
          <w:tcPr>
            <w:tcW w:w="5488" w:type="dxa"/>
            <w:vAlign w:val="top"/>
          </w:tcPr>
          <w:p w14:paraId="316A4FCB">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系统须支持在医院微信公众号、微信小程序、支付宝小程序、医院App、互联网医院等多种渠道进行部署，满足不同患者群体的使用习惯和就医场景需求。</w:t>
            </w:r>
          </w:p>
        </w:tc>
      </w:tr>
      <w:tr w14:paraId="1445D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45D3062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2E54532C">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0943385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6D647CA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跨终端数据同步</w:t>
            </w:r>
          </w:p>
        </w:tc>
        <w:tc>
          <w:tcPr>
            <w:tcW w:w="5488" w:type="dxa"/>
            <w:vAlign w:val="top"/>
          </w:tcPr>
          <w:p w14:paraId="39A43B6F">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系统须确保不同终端设备上的陪诊数据能够实时同步，患者无论通过哪个渠道访问系统都能获取一致的、最新的就诊信息和服务状态。</w:t>
            </w:r>
          </w:p>
        </w:tc>
      </w:tr>
      <w:tr w14:paraId="054D7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6175EA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63E5793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39A0DB7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1E8C265D">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移动端适配优化</w:t>
            </w:r>
          </w:p>
        </w:tc>
        <w:tc>
          <w:tcPr>
            <w:tcW w:w="5488" w:type="dxa"/>
            <w:vAlign w:val="top"/>
          </w:tcPr>
          <w:p w14:paraId="77ABC2BE">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系统须针对移动端使用场景进行交互界面优化，确保在不同尺寸的手机屏幕上均能良好显示，操作流程简洁流畅，字体大小适中，方便老年患者使用。</w:t>
            </w:r>
          </w:p>
        </w:tc>
      </w:tr>
      <w:tr w14:paraId="53A5D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6D28AF7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336AA5E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429DCED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614022B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适老化设计</w:t>
            </w:r>
          </w:p>
        </w:tc>
        <w:tc>
          <w:tcPr>
            <w:tcW w:w="5488" w:type="dxa"/>
            <w:vAlign w:val="top"/>
          </w:tcPr>
          <w:p w14:paraId="41291F42">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系统须提供适老化设计模式，支持大字体、高对比度、简洁界面等无障碍功能，降低老年患者使用智能就医服务的门槛。</w:t>
            </w:r>
          </w:p>
        </w:tc>
      </w:tr>
      <w:tr w14:paraId="2BF45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41E0D3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17B0A58F">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restart"/>
            <w:vAlign w:val="center"/>
          </w:tcPr>
          <w:p w14:paraId="1BAAD3B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系统集成与数据安全</w:t>
            </w:r>
          </w:p>
        </w:tc>
        <w:tc>
          <w:tcPr>
            <w:tcW w:w="1418" w:type="dxa"/>
            <w:vAlign w:val="top"/>
          </w:tcPr>
          <w:p w14:paraId="7C284A34">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标准化接口对接</w:t>
            </w:r>
          </w:p>
        </w:tc>
        <w:tc>
          <w:tcPr>
            <w:tcW w:w="5488" w:type="dxa"/>
            <w:vAlign w:val="top"/>
          </w:tcPr>
          <w:p w14:paraId="77787A63">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系统须提供标准化的API接口规范，能够与医院HIS系统、检查检验系统（LIS/PACS/RIS）、挂号预约系统、缴费支付系统等核心业务系统进行稳定对接，确保数据互通。</w:t>
            </w:r>
          </w:p>
        </w:tc>
      </w:tr>
      <w:tr w14:paraId="0E98D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5C7DB04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A2C093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333EEAFE">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03BF527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患者隐私数据保护</w:t>
            </w:r>
          </w:p>
        </w:tc>
        <w:tc>
          <w:tcPr>
            <w:tcW w:w="5488" w:type="dxa"/>
            <w:vAlign w:val="top"/>
          </w:tcPr>
          <w:p w14:paraId="1E14AE8D">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系统须严格遵守国家医疗数据安全相关法规要求，对患者个人信息、就诊记录、检查报告等敏感数据采取加密存储和传输措施，保障患者隐私安全。</w:t>
            </w:r>
          </w:p>
        </w:tc>
      </w:tr>
      <w:tr w14:paraId="58E1A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19ABB29B">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5A7A3828">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060D9CF5">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06E30F99">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数据脱敏展示</w:t>
            </w:r>
          </w:p>
        </w:tc>
        <w:tc>
          <w:tcPr>
            <w:tcW w:w="5488" w:type="dxa"/>
            <w:vAlign w:val="top"/>
          </w:tcPr>
          <w:p w14:paraId="09906CD9">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系统须在前端展示患者敏感信息时进行适当脱敏处理（如身份证号部分隐藏、手机号中段掩码等），防止信息泄露风险。</w:t>
            </w:r>
          </w:p>
        </w:tc>
      </w:tr>
      <w:tr w14:paraId="6BA7E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4" w:type="dxa"/>
            <w:vMerge w:val="continue"/>
            <w:vAlign w:val="center"/>
          </w:tcPr>
          <w:p w14:paraId="73E719CA">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851" w:type="dxa"/>
            <w:vMerge w:val="continue"/>
            <w:vAlign w:val="center"/>
          </w:tcPr>
          <w:p w14:paraId="4357B7E2">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275" w:type="dxa"/>
            <w:vMerge w:val="continue"/>
            <w:vAlign w:val="center"/>
          </w:tcPr>
          <w:p w14:paraId="6EA816F0">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p>
        </w:tc>
        <w:tc>
          <w:tcPr>
            <w:tcW w:w="1418" w:type="dxa"/>
            <w:vAlign w:val="top"/>
          </w:tcPr>
          <w:p w14:paraId="398D5F91">
            <w:pPr>
              <w:widowControl/>
              <w:tabs>
                <w:tab w:val="left" w:pos="492"/>
              </w:tabs>
              <w:ind w:firstLine="0" w:firstLineChars="0"/>
              <w:jc w:val="center"/>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操作日志审计</w:t>
            </w:r>
          </w:p>
        </w:tc>
        <w:tc>
          <w:tcPr>
            <w:tcW w:w="5488" w:type="dxa"/>
            <w:vAlign w:val="top"/>
          </w:tcPr>
          <w:p w14:paraId="7657EBA2">
            <w:pPr>
              <w:widowControl/>
              <w:tabs>
                <w:tab w:val="left" w:pos="492"/>
              </w:tabs>
              <w:ind w:firstLine="0" w:firstLineChars="0"/>
              <w:jc w:val="left"/>
              <w:rPr>
                <w:rFonts w:hint="eastAsia" w:ascii="仿宋_GB2312" w:hAnsi="仿宋_GB2312" w:cs="仿宋_GB2312"/>
                <w:color w:val="auto"/>
                <w:kern w:val="0"/>
                <w:sz w:val="24"/>
                <w:szCs w:val="24"/>
                <w:highlight w:val="none"/>
                <w:lang w:val="en-US" w:eastAsia="zh-CN"/>
              </w:rPr>
            </w:pPr>
            <w:r>
              <w:rPr>
                <w:rFonts w:hint="eastAsia" w:ascii="仿宋_GB2312" w:hAnsi="仿宋_GB2312" w:cs="仿宋_GB2312"/>
                <w:color w:val="auto"/>
                <w:kern w:val="0"/>
                <w:sz w:val="24"/>
                <w:szCs w:val="24"/>
                <w:highlight w:val="none"/>
                <w:lang w:val="en-US" w:eastAsia="zh-CN"/>
              </w:rPr>
              <w:t>系统须完整记录用户操作日志和系统运行日志，支持操作行为追溯和系统运行审计，满足医疗信息系统安全合规要求。</w:t>
            </w:r>
          </w:p>
        </w:tc>
      </w:tr>
    </w:tbl>
    <w:p w14:paraId="03BCF78A">
      <w:pPr>
        <w:pStyle w:val="31"/>
        <w:pageBreakBefore w:val="0"/>
        <w:widowControl w:val="0"/>
        <w:numPr>
          <w:ilvl w:val="0"/>
          <w:numId w:val="0"/>
        </w:numPr>
        <w:kinsoku/>
        <w:wordWrap/>
        <w:overflowPunct/>
        <w:topLinePunct w:val="0"/>
        <w:autoSpaceDE/>
        <w:autoSpaceDN/>
        <w:bidi w:val="0"/>
        <w:adjustRightInd/>
        <w:snapToGrid/>
        <w:spacing w:line="312" w:lineRule="auto"/>
        <w:ind w:leftChars="0"/>
        <w:textAlignment w:val="auto"/>
        <w:rPr>
          <w:rFonts w:hint="eastAsia" w:ascii="仿宋_GB2312" w:hAnsi="仿宋_GB2312" w:eastAsia="仿宋_GB2312" w:cs="仿宋_GB2312"/>
          <w:b/>
          <w:sz w:val="24"/>
          <w:szCs w:val="24"/>
        </w:rPr>
      </w:pPr>
    </w:p>
    <w:p w14:paraId="7A2123B4">
      <w:pPr>
        <w:pStyle w:val="31"/>
        <w:pageBreakBefore w:val="0"/>
        <w:widowControl w:val="0"/>
        <w:numPr>
          <w:ilvl w:val="0"/>
          <w:numId w:val="0"/>
        </w:numPr>
        <w:kinsoku/>
        <w:wordWrap/>
        <w:overflowPunct/>
        <w:topLinePunct w:val="0"/>
        <w:autoSpaceDE/>
        <w:autoSpaceDN/>
        <w:bidi w:val="0"/>
        <w:adjustRightInd/>
        <w:snapToGrid/>
        <w:spacing w:line="312" w:lineRule="auto"/>
        <w:ind w:leftChars="0"/>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w:t>
      </w:r>
      <w:r>
        <w:rPr>
          <w:rFonts w:hint="eastAsia" w:ascii="仿宋_GB2312" w:hAnsi="仿宋_GB2312" w:eastAsia="仿宋_GB2312" w:cs="仿宋_GB2312"/>
          <w:b/>
          <w:sz w:val="24"/>
          <w:szCs w:val="24"/>
          <w:lang w:val="en-US" w:eastAsia="zh-CN"/>
        </w:rPr>
        <w:t>二</w:t>
      </w:r>
      <w:r>
        <w:rPr>
          <w:rFonts w:hint="eastAsia" w:ascii="仿宋_GB2312" w:hAnsi="仿宋_GB2312" w:eastAsia="仿宋_GB2312" w:cs="仿宋_GB2312"/>
          <w:b/>
          <w:sz w:val="24"/>
          <w:szCs w:val="24"/>
        </w:rPr>
        <w:t>）配套硬件技术要求</w:t>
      </w:r>
    </w:p>
    <w:tbl>
      <w:tblPr>
        <w:tblStyle w:val="14"/>
        <w:tblW w:w="8947" w:type="dxa"/>
        <w:tblInd w:w="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700"/>
        <w:gridCol w:w="1472"/>
        <w:gridCol w:w="4445"/>
        <w:gridCol w:w="1165"/>
        <w:gridCol w:w="1165"/>
      </w:tblGrid>
      <w:tr w14:paraId="5630F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0" w:hRule="atLeast"/>
        </w:trPr>
        <w:tc>
          <w:tcPr>
            <w:tcW w:w="700" w:type="dxa"/>
            <w:tcBorders>
              <w:tl2br w:val="nil"/>
              <w:tr2bl w:val="nil"/>
            </w:tcBorders>
            <w:shd w:val="clear" w:color="auto" w:fill="auto"/>
            <w:vAlign w:val="center"/>
          </w:tcPr>
          <w:p w14:paraId="7B07E93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1472" w:type="dxa"/>
            <w:tcBorders>
              <w:tl2br w:val="nil"/>
              <w:tr2bl w:val="nil"/>
            </w:tcBorders>
            <w:shd w:val="clear" w:color="auto" w:fill="auto"/>
            <w:vAlign w:val="center"/>
          </w:tcPr>
          <w:p w14:paraId="6AD20C7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硬件名称</w:t>
            </w:r>
          </w:p>
        </w:tc>
        <w:tc>
          <w:tcPr>
            <w:tcW w:w="4445" w:type="dxa"/>
            <w:tcBorders>
              <w:tl2br w:val="nil"/>
              <w:tr2bl w:val="nil"/>
            </w:tcBorders>
            <w:shd w:val="clear" w:color="auto" w:fill="auto"/>
            <w:vAlign w:val="center"/>
          </w:tcPr>
          <w:p w14:paraId="4E2D2C1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技术要求</w:t>
            </w:r>
          </w:p>
        </w:tc>
        <w:tc>
          <w:tcPr>
            <w:tcW w:w="1165" w:type="dxa"/>
            <w:tcBorders>
              <w:tl2br w:val="nil"/>
              <w:tr2bl w:val="nil"/>
            </w:tcBorders>
            <w:shd w:val="clear" w:color="auto" w:fill="auto"/>
            <w:vAlign w:val="center"/>
          </w:tcPr>
          <w:p w14:paraId="7CD30F4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数量</w:t>
            </w:r>
          </w:p>
        </w:tc>
        <w:tc>
          <w:tcPr>
            <w:tcW w:w="1165" w:type="dxa"/>
            <w:tcBorders>
              <w:tl2br w:val="nil"/>
              <w:tr2bl w:val="nil"/>
            </w:tcBorders>
            <w:shd w:val="clear" w:color="auto" w:fill="auto"/>
            <w:vAlign w:val="center"/>
          </w:tcPr>
          <w:p w14:paraId="42F9A72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单位</w:t>
            </w:r>
          </w:p>
        </w:tc>
      </w:tr>
      <w:tr w14:paraId="755CD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86" w:hRule="atLeast"/>
        </w:trPr>
        <w:tc>
          <w:tcPr>
            <w:tcW w:w="700" w:type="dxa"/>
            <w:tcBorders>
              <w:tl2br w:val="nil"/>
              <w:tr2bl w:val="nil"/>
            </w:tcBorders>
            <w:shd w:val="clear" w:color="auto" w:fill="auto"/>
            <w:vAlign w:val="center"/>
          </w:tcPr>
          <w:p w14:paraId="4526F6CC">
            <w:pPr>
              <w:keepNext w:val="0"/>
              <w:keepLines w:val="0"/>
              <w:pageBreakBefore w:val="0"/>
              <w:widowControl/>
              <w:numPr>
                <w:ilvl w:val="0"/>
                <w:numId w:val="0"/>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2"/>
                <w:sz w:val="24"/>
                <w:szCs w:val="24"/>
                <w:lang w:val="en-US" w:eastAsia="zh-CN" w:bidi="ar-SA"/>
              </w:rPr>
              <w:t>1</w:t>
            </w:r>
          </w:p>
        </w:tc>
        <w:tc>
          <w:tcPr>
            <w:tcW w:w="1472" w:type="dxa"/>
            <w:tcBorders>
              <w:tl2br w:val="nil"/>
              <w:tr2bl w:val="nil"/>
            </w:tcBorders>
            <w:shd w:val="clear" w:color="auto" w:fill="auto"/>
            <w:vAlign w:val="center"/>
          </w:tcPr>
          <w:p w14:paraId="1C14BCF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算力服务器</w:t>
            </w:r>
          </w:p>
        </w:tc>
        <w:tc>
          <w:tcPr>
            <w:tcW w:w="4445" w:type="dxa"/>
            <w:tcBorders>
              <w:tl2br w:val="nil"/>
              <w:tr2bl w:val="nil"/>
            </w:tcBorders>
            <w:shd w:val="clear" w:color="auto" w:fill="auto"/>
            <w:vAlign w:val="center"/>
          </w:tcPr>
          <w:p w14:paraId="0CEE7F59">
            <w:pPr>
              <w:keepNext w:val="0"/>
              <w:keepLines w:val="0"/>
              <w:pageBreakBefore w:val="0"/>
              <w:widowControl/>
              <w:numPr>
                <w:ilvl w:val="0"/>
                <w:numId w:val="2"/>
              </w:numPr>
              <w:suppressLineNumbers w:val="0"/>
              <w:kinsoku/>
              <w:wordWrap/>
              <w:overflowPunct/>
              <w:topLinePunct w:val="0"/>
              <w:autoSpaceDE/>
              <w:autoSpaceDN/>
              <w:bidi w:val="0"/>
              <w:adjustRightInd/>
              <w:snapToGrid/>
              <w:ind w:firstLine="0" w:firstLineChars="0"/>
              <w:jc w:val="left"/>
              <w:textAlignment w:val="center"/>
              <w:rPr>
                <w:rFonts w:hint="eastAsia"/>
              </w:rPr>
            </w:pPr>
            <w:r>
              <w:rPr>
                <w:rFonts w:hint="eastAsia" w:ascii="仿宋_GB2312" w:hAnsi="仿宋_GB2312" w:eastAsia="仿宋_GB2312" w:cs="仿宋_GB2312"/>
                <w:i w:val="0"/>
                <w:iCs w:val="0"/>
                <w:color w:val="000000"/>
                <w:kern w:val="0"/>
                <w:sz w:val="24"/>
                <w:szCs w:val="24"/>
                <w:u w:val="none"/>
                <w:lang w:val="en-US" w:eastAsia="zh-CN" w:bidi="ar"/>
              </w:rPr>
              <w:t>处理器：配置2颗国产服务器处理器，单颗物理核心数≥48核</w:t>
            </w:r>
            <w:r>
              <w:rPr>
                <w:rFonts w:hint="eastAsia" w:ascii="仿宋_GB2312" w:hAnsi="仿宋_GB2312" w:cs="仿宋_GB2312"/>
                <w:i w:val="0"/>
                <w:iCs w:val="0"/>
                <w:color w:val="000000"/>
                <w:kern w:val="0"/>
                <w:sz w:val="24"/>
                <w:szCs w:val="24"/>
                <w:u w:val="none"/>
                <w:lang w:val="en-US" w:eastAsia="zh-CN" w:bidi="ar"/>
              </w:rPr>
              <w:t>,主频</w:t>
            </w:r>
            <w:r>
              <w:rPr>
                <w:rFonts w:hint="eastAsia" w:ascii="仿宋_GB2312" w:hAnsi="仿宋_GB2312" w:eastAsia="仿宋_GB2312" w:cs="仿宋_GB2312"/>
                <w:i w:val="0"/>
                <w:iCs w:val="0"/>
                <w:color w:val="000000"/>
                <w:kern w:val="0"/>
                <w:sz w:val="24"/>
                <w:szCs w:val="24"/>
                <w:u w:val="none"/>
                <w:lang w:val="en-US" w:eastAsia="zh-CN" w:bidi="ar"/>
              </w:rPr>
              <w:t>≥</w:t>
            </w:r>
            <w:r>
              <w:rPr>
                <w:rFonts w:hint="eastAsia" w:ascii="仿宋_GB2312" w:hAnsi="仿宋_GB2312" w:cs="仿宋_GB2312"/>
                <w:i w:val="0"/>
                <w:iCs w:val="0"/>
                <w:color w:val="000000"/>
                <w:kern w:val="0"/>
                <w:sz w:val="24"/>
                <w:szCs w:val="24"/>
                <w:u w:val="none"/>
                <w:lang w:val="en-US" w:eastAsia="zh-CN" w:bidi="ar"/>
              </w:rPr>
              <w:t>2.6GHz</w:t>
            </w:r>
          </w:p>
          <w:p w14:paraId="5B143630">
            <w:pPr>
              <w:keepNext w:val="0"/>
              <w:keepLines w:val="0"/>
              <w:pageBreakBefore w:val="0"/>
              <w:widowControl/>
              <w:numPr>
                <w:ilvl w:val="0"/>
                <w:numId w:val="2"/>
              </w:numPr>
              <w:suppressLineNumbers w:val="0"/>
              <w:kinsoku/>
              <w:wordWrap/>
              <w:overflowPunct/>
              <w:topLinePunct w:val="0"/>
              <w:autoSpaceDE/>
              <w:autoSpaceDN/>
              <w:bidi w:val="0"/>
              <w:adjustRightInd/>
              <w:snapToGrid/>
              <w:ind w:firstLine="0" w:firstLineChars="0"/>
              <w:jc w:val="left"/>
              <w:textAlignment w:val="center"/>
              <w:rPr>
                <w:rFonts w:hint="eastAsia"/>
              </w:rPr>
            </w:pPr>
            <w:r>
              <w:rPr>
                <w:rFonts w:hint="eastAsia" w:ascii="仿宋_GB2312" w:hAnsi="仿宋_GB2312" w:eastAsia="仿宋_GB2312" w:cs="仿宋_GB2312"/>
                <w:i w:val="0"/>
                <w:iCs w:val="0"/>
                <w:color w:val="000000"/>
                <w:kern w:val="0"/>
                <w:sz w:val="24"/>
                <w:szCs w:val="24"/>
                <w:u w:val="none"/>
                <w:lang w:val="en-US" w:eastAsia="zh-CN" w:bidi="ar"/>
              </w:rPr>
              <w:t>内存</w:t>
            </w:r>
            <w:r>
              <w:rPr>
                <w:rFonts w:hint="eastAsia" w:ascii="仿宋_GB2312" w:hAnsi="仿宋_GB2312" w:cs="仿宋_GB2312"/>
                <w:i w:val="0"/>
                <w:iCs w:val="0"/>
                <w:color w:val="000000"/>
                <w:kern w:val="0"/>
                <w:sz w:val="24"/>
                <w:szCs w:val="24"/>
                <w:u w:val="none"/>
                <w:lang w:val="en-US" w:eastAsia="zh-CN" w:bidi="ar"/>
              </w:rPr>
              <w:t xml:space="preserve">:DDR4 32GB×8，总容量 </w:t>
            </w:r>
            <w:r>
              <w:rPr>
                <w:rFonts w:hint="eastAsia" w:ascii="仿宋_GB2312" w:hAnsi="仿宋_GB2312" w:eastAsia="仿宋_GB2312" w:cs="仿宋_GB2312"/>
                <w:i w:val="0"/>
                <w:iCs w:val="0"/>
                <w:color w:val="000000"/>
                <w:kern w:val="0"/>
                <w:sz w:val="24"/>
                <w:szCs w:val="24"/>
                <w:u w:val="none"/>
                <w:lang w:val="en-US" w:eastAsia="zh-CN" w:bidi="ar"/>
              </w:rPr>
              <w:t>≥</w:t>
            </w:r>
            <w:r>
              <w:rPr>
                <w:rFonts w:hint="eastAsia" w:ascii="仿宋_GB2312" w:hAnsi="仿宋_GB2312" w:cs="仿宋_GB2312"/>
                <w:i w:val="0"/>
                <w:iCs w:val="0"/>
                <w:color w:val="000000"/>
                <w:kern w:val="0"/>
                <w:sz w:val="24"/>
                <w:szCs w:val="24"/>
                <w:u w:val="none"/>
                <w:lang w:val="en-US" w:eastAsia="zh-CN" w:bidi="ar"/>
              </w:rPr>
              <w:t>256GB</w:t>
            </w:r>
          </w:p>
          <w:p w14:paraId="39C59D23">
            <w:pPr>
              <w:keepNext w:val="0"/>
              <w:keepLines w:val="0"/>
              <w:pageBreakBefore w:val="0"/>
              <w:widowControl/>
              <w:numPr>
                <w:ilvl w:val="0"/>
                <w:numId w:val="2"/>
              </w:numPr>
              <w:suppressLineNumbers w:val="0"/>
              <w:kinsoku/>
              <w:wordWrap/>
              <w:overflowPunct/>
              <w:topLinePunct w:val="0"/>
              <w:autoSpaceDE/>
              <w:autoSpaceDN/>
              <w:bidi w:val="0"/>
              <w:adjustRightInd/>
              <w:snapToGrid/>
              <w:ind w:firstLine="0" w:firstLineChars="0"/>
              <w:jc w:val="left"/>
              <w:textAlignment w:val="center"/>
              <w:rPr>
                <w:rFonts w:hint="eastAsia"/>
              </w:rPr>
            </w:pPr>
            <w:r>
              <w:rPr>
                <w:rFonts w:hint="eastAsia" w:ascii="仿宋_GB2312" w:hAnsi="仿宋_GB2312" w:cs="仿宋_GB2312"/>
                <w:i w:val="0"/>
                <w:iCs w:val="0"/>
                <w:color w:val="000000"/>
                <w:kern w:val="0"/>
                <w:sz w:val="24"/>
                <w:szCs w:val="24"/>
                <w:u w:val="none"/>
                <w:lang w:val="en-US" w:eastAsia="zh-CN" w:bidi="ar"/>
              </w:rPr>
              <w:t>AI加速卡（NPU）:</w:t>
            </w:r>
            <w:r>
              <w:rPr>
                <w:rFonts w:hint="eastAsia" w:ascii="仿宋_GB2312" w:hAnsi="仿宋_GB2312" w:eastAsia="仿宋_GB2312" w:cs="仿宋_GB2312"/>
                <w:i w:val="0"/>
                <w:iCs w:val="0"/>
                <w:color w:val="000000"/>
                <w:kern w:val="0"/>
                <w:sz w:val="24"/>
                <w:szCs w:val="24"/>
                <w:u w:val="none"/>
                <w:lang w:val="en-US" w:eastAsia="zh-CN" w:bidi="ar"/>
              </w:rPr>
              <w:t>≥</w:t>
            </w:r>
            <w:r>
              <w:rPr>
                <w:rFonts w:hint="eastAsia" w:ascii="仿宋_GB2312" w:hAnsi="仿宋_GB2312" w:cs="仿宋_GB2312"/>
                <w:i w:val="0"/>
                <w:iCs w:val="0"/>
                <w:color w:val="000000"/>
                <w:kern w:val="0"/>
                <w:sz w:val="24"/>
                <w:szCs w:val="24"/>
                <w:u w:val="none"/>
                <w:lang w:val="en-US" w:eastAsia="zh-CN" w:bidi="ar"/>
              </w:rPr>
              <w:t>256GB 显存</w:t>
            </w:r>
          </w:p>
          <w:p w14:paraId="6A18633A">
            <w:pPr>
              <w:keepNext w:val="0"/>
              <w:keepLines w:val="0"/>
              <w:pageBreakBefore w:val="0"/>
              <w:widowControl/>
              <w:numPr>
                <w:ilvl w:val="0"/>
                <w:numId w:val="2"/>
              </w:numPr>
              <w:suppressLineNumbers w:val="0"/>
              <w:kinsoku/>
              <w:wordWrap/>
              <w:overflowPunct/>
              <w:topLinePunct w:val="0"/>
              <w:autoSpaceDE/>
              <w:autoSpaceDN/>
              <w:bidi w:val="0"/>
              <w:adjustRightInd/>
              <w:snapToGrid/>
              <w:ind w:firstLine="0" w:firstLineChars="0"/>
              <w:jc w:val="left"/>
              <w:textAlignment w:val="center"/>
              <w:rPr>
                <w:rFonts w:hint="eastAsia"/>
              </w:rPr>
            </w:pPr>
            <w:r>
              <w:rPr>
                <w:rFonts w:hint="eastAsia" w:ascii="仿宋_GB2312" w:hAnsi="仿宋_GB2312" w:cs="仿宋_GB2312"/>
                <w:i w:val="0"/>
                <w:iCs w:val="0"/>
                <w:color w:val="000000"/>
                <w:kern w:val="0"/>
                <w:sz w:val="24"/>
                <w:szCs w:val="24"/>
                <w:u w:val="none"/>
                <w:lang w:val="en-US" w:eastAsia="zh-CN" w:bidi="ar"/>
              </w:rPr>
              <w:t>系统盘:</w:t>
            </w:r>
            <w:r>
              <w:rPr>
                <w:rFonts w:hint="eastAsia" w:ascii="仿宋_GB2312" w:hAnsi="仿宋_GB2312" w:eastAsia="仿宋_GB2312" w:cs="仿宋_GB2312"/>
                <w:i w:val="0"/>
                <w:iCs w:val="0"/>
                <w:color w:val="000000"/>
                <w:kern w:val="0"/>
                <w:sz w:val="24"/>
                <w:szCs w:val="24"/>
                <w:u w:val="none"/>
                <w:lang w:val="en-US" w:eastAsia="zh-CN" w:bidi="ar"/>
              </w:rPr>
              <w:t>≥</w:t>
            </w:r>
            <w:r>
              <w:rPr>
                <w:rFonts w:hint="eastAsia" w:ascii="仿宋_GB2312" w:hAnsi="仿宋_GB2312" w:cs="仿宋_GB2312"/>
                <w:i w:val="0"/>
                <w:iCs w:val="0"/>
                <w:color w:val="000000"/>
                <w:kern w:val="0"/>
                <w:sz w:val="24"/>
                <w:szCs w:val="24"/>
                <w:u w:val="none"/>
                <w:lang w:val="en-US" w:eastAsia="zh-CN" w:bidi="ar"/>
              </w:rPr>
              <w:t>960GB  SSD</w:t>
            </w:r>
          </w:p>
          <w:p w14:paraId="1AEA0689">
            <w:pPr>
              <w:keepNext w:val="0"/>
              <w:keepLines w:val="0"/>
              <w:pageBreakBefore w:val="0"/>
              <w:widowControl/>
              <w:numPr>
                <w:ilvl w:val="0"/>
                <w:numId w:val="2"/>
              </w:numPr>
              <w:suppressLineNumbers w:val="0"/>
              <w:kinsoku/>
              <w:wordWrap/>
              <w:overflowPunct/>
              <w:topLinePunct w:val="0"/>
              <w:autoSpaceDE/>
              <w:autoSpaceDN/>
              <w:bidi w:val="0"/>
              <w:adjustRightInd/>
              <w:snapToGrid/>
              <w:ind w:firstLine="0" w:firstLineChars="0"/>
              <w:jc w:val="left"/>
              <w:textAlignment w:val="center"/>
              <w:rPr>
                <w:rFonts w:hint="eastAsia"/>
              </w:rPr>
            </w:pPr>
            <w:r>
              <w:rPr>
                <w:rFonts w:hint="eastAsia" w:ascii="仿宋_GB2312" w:hAnsi="仿宋_GB2312" w:cs="仿宋_GB2312"/>
                <w:i w:val="0"/>
                <w:iCs w:val="0"/>
                <w:color w:val="000000"/>
                <w:kern w:val="0"/>
                <w:sz w:val="24"/>
                <w:szCs w:val="24"/>
                <w:u w:val="none"/>
                <w:lang w:val="en-US" w:eastAsia="zh-CN" w:bidi="ar"/>
              </w:rPr>
              <w:t>数据盘:</w:t>
            </w:r>
            <w:r>
              <w:rPr>
                <w:rFonts w:hint="eastAsia" w:ascii="仿宋_GB2312" w:hAnsi="仿宋_GB2312" w:eastAsia="仿宋_GB2312" w:cs="仿宋_GB2312"/>
                <w:i w:val="0"/>
                <w:iCs w:val="0"/>
                <w:color w:val="000000"/>
                <w:kern w:val="0"/>
                <w:sz w:val="24"/>
                <w:szCs w:val="24"/>
                <w:u w:val="none"/>
                <w:lang w:val="en-US" w:eastAsia="zh-CN" w:bidi="ar"/>
              </w:rPr>
              <w:t>≥3.8</w:t>
            </w:r>
            <w:r>
              <w:rPr>
                <w:rFonts w:hint="eastAsia" w:ascii="仿宋_GB2312" w:hAnsi="仿宋_GB2312" w:cs="仿宋_GB2312"/>
                <w:i w:val="0"/>
                <w:iCs w:val="0"/>
                <w:color w:val="000000"/>
                <w:kern w:val="0"/>
                <w:sz w:val="24"/>
                <w:szCs w:val="24"/>
                <w:u w:val="none"/>
                <w:lang w:val="en-US" w:eastAsia="zh-CN" w:bidi="ar"/>
              </w:rPr>
              <w:t>4</w:t>
            </w:r>
            <w:r>
              <w:rPr>
                <w:rFonts w:hint="eastAsia" w:ascii="仿宋_GB2312" w:hAnsi="仿宋_GB2312" w:eastAsia="仿宋_GB2312" w:cs="仿宋_GB2312"/>
                <w:i w:val="0"/>
                <w:iCs w:val="0"/>
                <w:color w:val="000000"/>
                <w:kern w:val="0"/>
                <w:sz w:val="24"/>
                <w:szCs w:val="24"/>
                <w:u w:val="none"/>
                <w:lang w:val="en-US" w:eastAsia="zh-CN" w:bidi="ar"/>
              </w:rPr>
              <w:t>TB</w:t>
            </w:r>
            <w:r>
              <w:rPr>
                <w:rFonts w:hint="eastAsia" w:ascii="仿宋_GB2312" w:hAnsi="仿宋_GB2312" w:cs="仿宋_GB2312"/>
                <w:i w:val="0"/>
                <w:iCs w:val="0"/>
                <w:color w:val="000000"/>
                <w:kern w:val="0"/>
                <w:sz w:val="24"/>
                <w:szCs w:val="24"/>
                <w:u w:val="none"/>
                <w:lang w:val="en-US" w:eastAsia="zh-CN" w:bidi="ar"/>
              </w:rPr>
              <w:t xml:space="preserve"> NVMe </w:t>
            </w:r>
          </w:p>
          <w:p w14:paraId="352BFF59">
            <w:pPr>
              <w:keepNext w:val="0"/>
              <w:keepLines w:val="0"/>
              <w:pageBreakBefore w:val="0"/>
              <w:widowControl/>
              <w:numPr>
                <w:ilvl w:val="0"/>
                <w:numId w:val="2"/>
              </w:numPr>
              <w:suppressLineNumbers w:val="0"/>
              <w:kinsoku/>
              <w:wordWrap/>
              <w:overflowPunct/>
              <w:topLinePunct w:val="0"/>
              <w:autoSpaceDE/>
              <w:autoSpaceDN/>
              <w:bidi w:val="0"/>
              <w:adjustRightInd/>
              <w:snapToGrid/>
              <w:ind w:firstLine="0" w:firstLineChars="0"/>
              <w:jc w:val="left"/>
              <w:textAlignment w:val="center"/>
              <w:rPr>
                <w:rFonts w:hint="eastAsia"/>
              </w:rPr>
            </w:pPr>
            <w:r>
              <w:rPr>
                <w:rFonts w:hint="eastAsia" w:ascii="仿宋_GB2312" w:hAnsi="仿宋_GB2312" w:cs="仿宋_GB2312"/>
                <w:i w:val="0"/>
                <w:iCs w:val="0"/>
                <w:color w:val="000000"/>
                <w:kern w:val="0"/>
                <w:sz w:val="24"/>
                <w:szCs w:val="24"/>
                <w:u w:val="none"/>
                <w:lang w:val="en-US" w:eastAsia="zh-CN" w:bidi="ar"/>
              </w:rPr>
              <w:t>网卡:4×GE接口卡</w:t>
            </w:r>
          </w:p>
          <w:p w14:paraId="6CAF223D">
            <w:pPr>
              <w:keepNext w:val="0"/>
              <w:keepLines w:val="0"/>
              <w:pageBreakBefore w:val="0"/>
              <w:widowControl/>
              <w:numPr>
                <w:ilvl w:val="0"/>
                <w:numId w:val="2"/>
              </w:numPr>
              <w:suppressLineNumbers w:val="0"/>
              <w:kinsoku/>
              <w:wordWrap/>
              <w:overflowPunct/>
              <w:topLinePunct w:val="0"/>
              <w:autoSpaceDE/>
              <w:autoSpaceDN/>
              <w:bidi w:val="0"/>
              <w:adjustRightInd/>
              <w:snapToGrid/>
              <w:ind w:firstLine="0" w:firstLineChars="0"/>
              <w:jc w:val="left"/>
              <w:textAlignment w:val="center"/>
              <w:rPr>
                <w:rFonts w:hint="eastAsia"/>
              </w:rPr>
            </w:pPr>
            <w:r>
              <w:rPr>
                <w:rFonts w:hint="eastAsia" w:ascii="仿宋_GB2312" w:hAnsi="仿宋_GB2312" w:cs="仿宋_GB2312"/>
                <w:i w:val="0"/>
                <w:iCs w:val="0"/>
                <w:color w:val="000000"/>
                <w:kern w:val="0"/>
                <w:sz w:val="24"/>
                <w:szCs w:val="24"/>
                <w:u w:val="none"/>
                <w:lang w:val="en-US" w:eastAsia="zh-CN" w:bidi="ar"/>
              </w:rPr>
              <w:t>电源:4×2000W，支持冗余</w:t>
            </w:r>
          </w:p>
          <w:p w14:paraId="0ED0B182">
            <w:pPr>
              <w:keepNext w:val="0"/>
              <w:keepLines w:val="0"/>
              <w:pageBreakBefore w:val="0"/>
              <w:widowControl/>
              <w:numPr>
                <w:ilvl w:val="0"/>
                <w:numId w:val="2"/>
              </w:numPr>
              <w:suppressLineNumbers w:val="0"/>
              <w:kinsoku/>
              <w:wordWrap/>
              <w:overflowPunct/>
              <w:topLinePunct w:val="0"/>
              <w:autoSpaceDE/>
              <w:autoSpaceDN/>
              <w:bidi w:val="0"/>
              <w:adjustRightInd/>
              <w:snapToGrid/>
              <w:ind w:firstLine="0" w:firstLineChars="0"/>
              <w:jc w:val="left"/>
              <w:textAlignment w:val="center"/>
              <w:rPr>
                <w:rFonts w:hint="eastAsia"/>
              </w:rPr>
            </w:pPr>
            <w:r>
              <w:rPr>
                <w:rFonts w:hint="eastAsia" w:ascii="仿宋_GB2312" w:hAnsi="仿宋_GB2312" w:cs="仿宋_GB2312"/>
                <w:i w:val="0"/>
                <w:iCs w:val="0"/>
                <w:color w:val="000000"/>
                <w:kern w:val="0"/>
                <w:sz w:val="24"/>
                <w:szCs w:val="24"/>
                <w:u w:val="none"/>
                <w:lang w:val="en-US" w:eastAsia="zh-CN" w:bidi="ar"/>
              </w:rPr>
              <w:t>扩展能力:整机最多可扩展至 8 张全高全长双宽 AI 加速卡，满足后续模型与并发规模增长需要</w:t>
            </w:r>
          </w:p>
          <w:p w14:paraId="75A4EEA6">
            <w:pPr>
              <w:pStyle w:val="2"/>
              <w:rPr>
                <w:rFonts w:hint="eastAsia"/>
              </w:rPr>
            </w:pPr>
          </w:p>
        </w:tc>
        <w:tc>
          <w:tcPr>
            <w:tcW w:w="1165" w:type="dxa"/>
            <w:tcBorders>
              <w:tl2br w:val="nil"/>
              <w:tr2bl w:val="nil"/>
            </w:tcBorders>
            <w:shd w:val="clear" w:color="auto" w:fill="auto"/>
            <w:vAlign w:val="center"/>
          </w:tcPr>
          <w:p w14:paraId="24D9FD6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cs="仿宋_GB2312"/>
                <w:i w:val="0"/>
                <w:iCs w:val="0"/>
                <w:color w:val="000000"/>
                <w:kern w:val="0"/>
                <w:sz w:val="24"/>
                <w:szCs w:val="24"/>
                <w:u w:val="none"/>
                <w:lang w:val="en-US" w:eastAsia="zh-CN" w:bidi="ar"/>
              </w:rPr>
              <w:t>1</w:t>
            </w:r>
          </w:p>
        </w:tc>
        <w:tc>
          <w:tcPr>
            <w:tcW w:w="1165" w:type="dxa"/>
            <w:tcBorders>
              <w:tl2br w:val="nil"/>
              <w:tr2bl w:val="nil"/>
            </w:tcBorders>
            <w:shd w:val="clear" w:color="auto" w:fill="auto"/>
            <w:vAlign w:val="center"/>
          </w:tcPr>
          <w:p w14:paraId="2A20F5F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台</w:t>
            </w:r>
          </w:p>
        </w:tc>
      </w:tr>
      <w:tr w14:paraId="364C9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86" w:hRule="atLeast"/>
        </w:trPr>
        <w:tc>
          <w:tcPr>
            <w:tcW w:w="700" w:type="dxa"/>
            <w:tcBorders>
              <w:tl2br w:val="nil"/>
              <w:tr2bl w:val="nil"/>
            </w:tcBorders>
            <w:shd w:val="clear" w:color="auto" w:fill="auto"/>
            <w:vAlign w:val="center"/>
          </w:tcPr>
          <w:p w14:paraId="00244D95">
            <w:pPr>
              <w:keepNext w:val="0"/>
              <w:keepLines w:val="0"/>
              <w:pageBreakBefore w:val="0"/>
              <w:widowControl/>
              <w:numPr>
                <w:ilvl w:val="0"/>
                <w:numId w:val="0"/>
              </w:numPr>
              <w:suppressLineNumbers w:val="0"/>
              <w:kinsoku/>
              <w:wordWrap/>
              <w:overflowPunct/>
              <w:topLinePunct w:val="0"/>
              <w:autoSpaceDE/>
              <w:autoSpaceDN/>
              <w:bidi w:val="0"/>
              <w:adjustRightInd/>
              <w:snapToGrid/>
              <w:ind w:left="425" w:leftChars="0" w:hanging="425" w:firstLineChars="0"/>
              <w:jc w:val="center"/>
              <w:textAlignment w:val="center"/>
              <w:rPr>
                <w:rFonts w:hint="default" w:ascii="仿宋_GB2312" w:hAnsi="仿宋_GB2312" w:eastAsia="仿宋_GB2312" w:cs="仿宋_GB2312"/>
                <w:i w:val="0"/>
                <w:iCs w:val="0"/>
                <w:color w:val="000000"/>
                <w:kern w:val="2"/>
                <w:sz w:val="24"/>
                <w:szCs w:val="24"/>
                <w:lang w:val="en-US" w:eastAsia="zh-CN" w:bidi="ar-SA"/>
              </w:rPr>
            </w:pPr>
            <w:r>
              <w:rPr>
                <w:rFonts w:hint="eastAsia" w:ascii="仿宋_GB2312" w:hAnsi="仿宋_GB2312" w:cs="仿宋_GB2312"/>
                <w:i w:val="0"/>
                <w:iCs w:val="0"/>
                <w:color w:val="000000"/>
                <w:kern w:val="2"/>
                <w:sz w:val="24"/>
                <w:szCs w:val="24"/>
                <w:lang w:val="en-US" w:eastAsia="zh-CN" w:bidi="ar-SA"/>
              </w:rPr>
              <w:t>2</w:t>
            </w:r>
          </w:p>
        </w:tc>
        <w:tc>
          <w:tcPr>
            <w:tcW w:w="1472" w:type="dxa"/>
            <w:tcBorders>
              <w:tl2br w:val="nil"/>
              <w:tr2bl w:val="nil"/>
            </w:tcBorders>
            <w:shd w:val="clear" w:color="auto" w:fill="auto"/>
            <w:vAlign w:val="center"/>
          </w:tcPr>
          <w:p w14:paraId="45BC2B6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三防</w:t>
            </w:r>
            <w:r>
              <w:rPr>
                <w:rFonts w:hint="eastAsia" w:ascii="仿宋_GB2312" w:hAnsi="仿宋_GB2312" w:cs="仿宋_GB2312"/>
                <w:i w:val="0"/>
                <w:iCs w:val="0"/>
                <w:color w:val="000000"/>
                <w:kern w:val="0"/>
                <w:sz w:val="24"/>
                <w:szCs w:val="24"/>
                <w:u w:val="none"/>
                <w:lang w:val="en-US" w:eastAsia="zh-CN" w:bidi="ar"/>
              </w:rPr>
              <w:t>便携工作站</w:t>
            </w:r>
          </w:p>
        </w:tc>
        <w:tc>
          <w:tcPr>
            <w:tcW w:w="4445" w:type="dxa"/>
            <w:tcBorders>
              <w:tl2br w:val="nil"/>
              <w:tr2bl w:val="nil"/>
            </w:tcBorders>
            <w:shd w:val="clear" w:color="auto" w:fill="auto"/>
            <w:vAlign w:val="center"/>
          </w:tcPr>
          <w:p w14:paraId="157DF1C2">
            <w:pPr>
              <w:pStyle w:val="2"/>
              <w:numPr>
                <w:ilvl w:val="0"/>
                <w:numId w:val="3"/>
              </w:numPr>
              <w:ind w:left="425" w:leftChars="0" w:hanging="425" w:firstLineChars="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屏幕尺寸：≥</w:t>
            </w:r>
            <w:r>
              <w:rPr>
                <w:rFonts w:hint="eastAsia" w:ascii="仿宋_GB2312" w:hAnsi="仿宋_GB2312" w:eastAsia="仿宋_GB2312" w:cs="仿宋_GB2312"/>
                <w:sz w:val="24"/>
                <w:szCs w:val="24"/>
                <w:lang w:val="en-US" w:eastAsia="zh-CN"/>
              </w:rPr>
              <w:t>10英寸</w:t>
            </w:r>
          </w:p>
          <w:p w14:paraId="5F92B3BE">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显示屏</w:t>
            </w:r>
            <w:r>
              <w:rPr>
                <w:rFonts w:hint="eastAsia" w:ascii="仿宋_GB2312" w:hAnsi="仿宋_GB2312" w:eastAsia="仿宋_GB2312" w:cs="仿宋_GB2312"/>
                <w:sz w:val="24"/>
                <w:szCs w:val="24"/>
                <w:lang w:eastAsia="zh-CN"/>
              </w:rPr>
              <w:t>：高清IPS显示屏，分辨率1280×1920</w:t>
            </w:r>
          </w:p>
          <w:p w14:paraId="06D4B3AD">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触摸屏</w:t>
            </w:r>
            <w:r>
              <w:rPr>
                <w:rFonts w:hint="eastAsia" w:ascii="仿宋_GB2312" w:hAnsi="仿宋_GB2312" w:eastAsia="仿宋_GB2312" w:cs="仿宋_GB2312"/>
                <w:sz w:val="24"/>
                <w:szCs w:val="24"/>
                <w:lang w:eastAsia="zh-CN"/>
              </w:rPr>
              <w:t>：多点触摸，G+G防爆玻璃触摸屏，全贴合总成屏幕</w:t>
            </w:r>
          </w:p>
          <w:p w14:paraId="6742C420">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电磁手写</w:t>
            </w:r>
            <w:r>
              <w:rPr>
                <w:rFonts w:hint="eastAsia" w:ascii="仿宋_GB2312" w:hAnsi="仿宋_GB2312" w:eastAsia="仿宋_GB2312" w:cs="仿宋_GB2312"/>
                <w:sz w:val="24"/>
                <w:szCs w:val="24"/>
                <w:lang w:eastAsia="zh-CN"/>
              </w:rPr>
              <w:t>：2048-8192级电磁原笔迹传感器+被动式手写电磁笔</w:t>
            </w:r>
          </w:p>
          <w:p w14:paraId="1E945B74">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电池</w:t>
            </w:r>
            <w:r>
              <w:rPr>
                <w:rFonts w:hint="eastAsia" w:ascii="仿宋_GB2312" w:hAnsi="仿宋_GB2312" w:eastAsia="仿宋_GB2312" w:cs="仿宋_GB2312"/>
                <w:sz w:val="24"/>
                <w:szCs w:val="24"/>
                <w:lang w:eastAsia="zh-CN"/>
              </w:rPr>
              <w:t>：容量</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10000mAh</w:t>
            </w:r>
          </w:p>
          <w:p w14:paraId="262C7A9B">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核心配置</w:t>
            </w:r>
            <w:r>
              <w:rPr>
                <w:rFonts w:hint="eastAsia" w:ascii="仿宋_GB2312" w:hAnsi="仿宋_GB2312" w:eastAsia="仿宋_GB2312" w:cs="仿宋_GB2312"/>
                <w:sz w:val="24"/>
                <w:szCs w:val="24"/>
                <w:lang w:eastAsia="zh-CN"/>
              </w:rPr>
              <w:t xml:space="preserve">：CPU </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8核、内存</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6GB、存储</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64GB</w:t>
            </w:r>
          </w:p>
          <w:p w14:paraId="6EBA0009">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摄像头</w:t>
            </w:r>
            <w:r>
              <w:rPr>
                <w:rFonts w:hint="eastAsia" w:ascii="仿宋_GB2312" w:hAnsi="仿宋_GB2312" w:eastAsia="仿宋_GB2312" w:cs="仿宋_GB2312"/>
                <w:sz w:val="24"/>
                <w:szCs w:val="24"/>
                <w:lang w:eastAsia="zh-CN"/>
              </w:rPr>
              <w:t>：前置</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500万像素、后置</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1300万像素，视频分辨率1920×1080</w:t>
            </w:r>
          </w:p>
          <w:p w14:paraId="25A6A70E">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传感器与指纹</w:t>
            </w:r>
            <w:r>
              <w:rPr>
                <w:rFonts w:hint="eastAsia" w:ascii="仿宋_GB2312" w:hAnsi="仿宋_GB2312" w:eastAsia="仿宋_GB2312" w:cs="仿宋_GB2312"/>
                <w:sz w:val="24"/>
                <w:szCs w:val="24"/>
                <w:lang w:eastAsia="zh-CN"/>
              </w:rPr>
              <w:t>：内置重力传感器；半导体电容指纹识别模块，指纹分辨率500dpi，识读速度毫秒级</w:t>
            </w:r>
            <w:r>
              <w:rPr>
                <w:rFonts w:hint="eastAsia" w:ascii="仿宋_GB2312" w:hAnsi="仿宋_GB2312" w:eastAsia="仿宋_GB2312" w:cs="仿宋_GB2312"/>
                <w:sz w:val="24"/>
                <w:szCs w:val="24"/>
              </w:rPr>
              <w:tab/>
            </w:r>
          </w:p>
          <w:p w14:paraId="3EA91691">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网络： 支持以太网、WiFi、蓝牙 5.0 及 4G 全网通连接</w:t>
            </w:r>
            <w:r>
              <w:rPr>
                <w:rFonts w:hint="eastAsia" w:ascii="仿宋_GB2312" w:hAnsi="仿宋_GB2312" w:eastAsia="仿宋_GB2312" w:cs="仿宋_GB2312"/>
                <w:sz w:val="24"/>
                <w:szCs w:val="24"/>
              </w:rPr>
              <w:t>以太网接口</w:t>
            </w:r>
            <w:r>
              <w:rPr>
                <w:rFonts w:hint="eastAsia" w:ascii="仿宋_GB2312" w:hAnsi="仿宋_GB2312" w:eastAsia="仿宋_GB2312" w:cs="仿宋_GB2312"/>
                <w:sz w:val="24"/>
                <w:szCs w:val="24"/>
              </w:rPr>
              <w:tab/>
            </w:r>
          </w:p>
          <w:p w14:paraId="7D7E4958">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接口与扩展： 配备 TF 卡槽（最高 256GB）、Nano SIM 卡槽、Type-C 2.0、3.5mm 耳机接口、RJ45 网口</w:t>
            </w:r>
            <w:r>
              <w:rPr>
                <w:rFonts w:hint="eastAsia" w:ascii="仿宋_GB2312" w:hAnsi="仿宋_GB2312" w:eastAsia="仿宋_GB2312" w:cs="仿宋_GB2312"/>
                <w:sz w:val="24"/>
                <w:szCs w:val="24"/>
              </w:rPr>
              <w:tab/>
            </w:r>
          </w:p>
          <w:p w14:paraId="1B925686">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配件</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配套硬件保护套、DC 5V/2A充电器及Type-C USB 2.0数据线</w:t>
            </w:r>
          </w:p>
          <w:p w14:paraId="1F3D73C8">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签名笔迹与指纹采集</w:t>
            </w:r>
            <w:r>
              <w:rPr>
                <w:rFonts w:hint="eastAsia" w:ascii="仿宋_GB2312" w:hAnsi="仿宋_GB2312" w:eastAsia="仿宋_GB2312" w:cs="仿宋_GB2312"/>
                <w:sz w:val="24"/>
                <w:szCs w:val="24"/>
                <w:lang w:eastAsia="zh-CN"/>
              </w:rPr>
              <w:t>：支持采集签名人签名笔迹、采集签名人指纹数据</w:t>
            </w:r>
          </w:p>
          <w:p w14:paraId="7F2B0B55">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文件获取与推送</w:t>
            </w:r>
            <w:r>
              <w:rPr>
                <w:rFonts w:hint="eastAsia" w:ascii="仿宋_GB2312" w:hAnsi="仿宋_GB2312" w:eastAsia="仿宋_GB2312" w:cs="仿宋_GB2312"/>
                <w:sz w:val="24"/>
                <w:szCs w:val="24"/>
                <w:lang w:eastAsia="zh-CN"/>
              </w:rPr>
              <w:t>：支持获取并显示待签署文件，支持将已签署的文件推送至业务平台</w:t>
            </w:r>
          </w:p>
          <w:p w14:paraId="3EFC1CF0">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同屏显示与批注合成</w:t>
            </w:r>
            <w:r>
              <w:rPr>
                <w:rFonts w:hint="eastAsia" w:ascii="仿宋_GB2312" w:hAnsi="仿宋_GB2312" w:eastAsia="仿宋_GB2312" w:cs="仿宋_GB2312"/>
                <w:sz w:val="24"/>
                <w:szCs w:val="24"/>
                <w:lang w:eastAsia="zh-CN"/>
              </w:rPr>
              <w:t>：支持手写屏PDF内容在主屏幕做同屏显示；主屏PDF上使用鼠标批注划线，手写屏同步显示批注划线部分，最终将批注划线部分合成到PDF中</w:t>
            </w:r>
            <w:r>
              <w:rPr>
                <w:rFonts w:hint="eastAsia" w:ascii="仿宋_GB2312" w:hAnsi="仿宋_GB2312" w:eastAsia="仿宋_GB2312" w:cs="仿宋_GB2312"/>
                <w:sz w:val="24"/>
                <w:szCs w:val="24"/>
              </w:rPr>
              <w:tab/>
            </w:r>
          </w:p>
          <w:p w14:paraId="6883B7FB">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电磁压感响应</w:t>
            </w:r>
            <w:r>
              <w:rPr>
                <w:rFonts w:hint="eastAsia" w:ascii="仿宋_GB2312" w:hAnsi="仿宋_GB2312" w:eastAsia="仿宋_GB2312" w:cs="仿宋_GB2312"/>
                <w:sz w:val="24"/>
                <w:szCs w:val="24"/>
                <w:lang w:eastAsia="zh-CN"/>
              </w:rPr>
              <w:t>：支持电磁压感响应技术，精准采集手写笔迹每一点的坐标、压力与速度，实现对签名人手写生物特征的完整采集</w:t>
            </w:r>
          </w:p>
          <w:p w14:paraId="11F9B889">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指纹同步采集</w:t>
            </w:r>
            <w:r>
              <w:rPr>
                <w:rFonts w:hint="eastAsia" w:ascii="仿宋_GB2312" w:hAnsi="仿宋_GB2312" w:eastAsia="仿宋_GB2312" w:cs="仿宋_GB2312"/>
                <w:sz w:val="24"/>
                <w:szCs w:val="24"/>
                <w:lang w:eastAsia="zh-CN"/>
              </w:rPr>
              <w:t>：集成电容指纹采集模块，可在手写签名同时记录签名人指纹数据，从而提高签名身份鉴别能力和应用安全性</w:t>
            </w:r>
          </w:p>
          <w:p w14:paraId="2296F4DC">
            <w:pPr>
              <w:pStyle w:val="2"/>
              <w:numPr>
                <w:ilvl w:val="0"/>
                <w:numId w:val="3"/>
              </w:numPr>
              <w:ind w:left="425" w:leftChars="0" w:hanging="425" w:firstLineChars="0"/>
              <w:rPr>
                <w:rFonts w:hint="eastAsia"/>
              </w:rPr>
            </w:pPr>
            <w:r>
              <w:rPr>
                <w:rFonts w:hint="eastAsia" w:ascii="仿宋_GB2312" w:hAnsi="仿宋_GB2312" w:eastAsia="仿宋_GB2312" w:cs="仿宋_GB2312"/>
                <w:sz w:val="24"/>
                <w:szCs w:val="24"/>
              </w:rPr>
              <w:t>页面推送与播放</w:t>
            </w:r>
            <w:r>
              <w:rPr>
                <w:rFonts w:hint="eastAsia" w:ascii="仿宋_GB2312" w:hAnsi="仿宋_GB2312" w:eastAsia="仿宋_GB2312" w:cs="仿宋_GB2312"/>
                <w:sz w:val="24"/>
                <w:szCs w:val="24"/>
                <w:lang w:eastAsia="zh-CN"/>
              </w:rPr>
              <w:t>：支持静态、动态页面推送，支持视频播放</w:t>
            </w:r>
          </w:p>
        </w:tc>
        <w:tc>
          <w:tcPr>
            <w:tcW w:w="1165" w:type="dxa"/>
            <w:tcBorders>
              <w:tl2br w:val="nil"/>
              <w:tr2bl w:val="nil"/>
            </w:tcBorders>
            <w:shd w:val="clear" w:color="auto" w:fill="auto"/>
            <w:vAlign w:val="center"/>
          </w:tcPr>
          <w:p w14:paraId="008946C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仿宋_GB2312" w:cs="仿宋_GB2312"/>
                <w:i w:val="0"/>
                <w:iCs w:val="0"/>
                <w:color w:val="000000"/>
                <w:kern w:val="0"/>
                <w:sz w:val="24"/>
                <w:szCs w:val="24"/>
                <w:u w:val="none"/>
                <w:lang w:val="en-US" w:eastAsia="zh-CN" w:bidi="ar"/>
              </w:rPr>
            </w:pPr>
            <w:r>
              <w:rPr>
                <w:rFonts w:hint="eastAsia" w:ascii="仿宋_GB2312" w:hAnsi="仿宋_GB2312" w:cs="仿宋_GB2312"/>
                <w:i w:val="0"/>
                <w:iCs w:val="0"/>
                <w:color w:val="000000"/>
                <w:kern w:val="0"/>
                <w:sz w:val="24"/>
                <w:szCs w:val="24"/>
                <w:u w:val="none"/>
                <w:lang w:val="en-US" w:eastAsia="zh-CN" w:bidi="ar"/>
              </w:rPr>
              <w:t>44</w:t>
            </w:r>
          </w:p>
        </w:tc>
        <w:tc>
          <w:tcPr>
            <w:tcW w:w="1165" w:type="dxa"/>
            <w:tcBorders>
              <w:tl2br w:val="nil"/>
              <w:tr2bl w:val="nil"/>
            </w:tcBorders>
            <w:shd w:val="clear" w:color="auto" w:fill="auto"/>
            <w:vAlign w:val="center"/>
          </w:tcPr>
          <w:p w14:paraId="2208ACA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cs="仿宋_GB2312"/>
                <w:i w:val="0"/>
                <w:iCs w:val="0"/>
                <w:color w:val="000000"/>
                <w:kern w:val="0"/>
                <w:sz w:val="24"/>
                <w:szCs w:val="24"/>
                <w:u w:val="none"/>
                <w:lang w:val="en-US" w:eastAsia="zh-CN" w:bidi="ar"/>
              </w:rPr>
              <w:t>台</w:t>
            </w:r>
          </w:p>
        </w:tc>
      </w:tr>
    </w:tbl>
    <w:p w14:paraId="518FB418">
      <w:pPr>
        <w:ind w:firstLine="0" w:firstLineChars="0"/>
        <w:rPr>
          <w:rFonts w:hint="eastAsia" w:ascii="仿宋_GB2312" w:hAnsi="仿宋_GB2312" w:eastAsia="仿宋_GB2312" w:cs="仿宋_GB2312"/>
          <w:b/>
          <w:bCs/>
          <w:sz w:val="28"/>
          <w:szCs w:val="28"/>
        </w:rPr>
      </w:pPr>
    </w:p>
    <w:p w14:paraId="14702E88">
      <w:pPr>
        <w:pStyle w:val="2"/>
        <w:spacing w:after="0" w:line="312" w:lineRule="auto"/>
        <w:rPr>
          <w:rFonts w:hint="eastAsia" w:ascii="仿宋_GB2312" w:hAnsi="仿宋_GB2312" w:eastAsia="仿宋_GB2312" w:cs="仿宋_GB2312"/>
          <w:b/>
          <w:bCs/>
          <w:sz w:val="28"/>
          <w:lang w:val="en-US"/>
        </w:rPr>
      </w:pPr>
      <w:bookmarkStart w:id="0" w:name="_Toc507405799"/>
      <w:bookmarkStart w:id="1" w:name="_Toc507405800"/>
      <w:r>
        <w:rPr>
          <w:rFonts w:hint="eastAsia" w:ascii="仿宋_GB2312" w:hAnsi="仿宋_GB2312" w:eastAsia="仿宋_GB2312" w:cs="仿宋_GB2312"/>
          <w:b/>
          <w:bCs/>
          <w:sz w:val="28"/>
          <w:lang w:val="en-US"/>
        </w:rPr>
        <w:t>三、对接口及系统改造的要求</w:t>
      </w:r>
    </w:p>
    <w:p w14:paraId="14702E89">
      <w:pPr>
        <w:spacing w:line="312" w:lineRule="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ab/>
      </w:r>
      <w:r>
        <w:rPr>
          <w:rFonts w:hint="eastAsia" w:ascii="仿宋_GB2312" w:hAnsi="仿宋_GB2312" w:eastAsia="仿宋_GB2312" w:cs="仿宋_GB2312"/>
          <w:b/>
          <w:bCs/>
          <w:sz w:val="24"/>
          <w:szCs w:val="24"/>
        </w:rPr>
        <w:t>质保期和维保期内免费实现以下要求：</w:t>
      </w:r>
    </w:p>
    <w:p w14:paraId="10C203D7">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3.1提供全面的接口技术，与第三方系统共享数据和功能，这些接口技术包括中间件技术接口、WEBSEVICE通用接口、数据库级接口、文件文本接口等。</w:t>
      </w:r>
    </w:p>
    <w:p w14:paraId="72F2A1E2">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3.2提供与医院第三方系统统一接口的维护与管理，与HIS、电子病历、LIS、PACS、心电系统、体检系统、集成平台、智慧运营平台、成本管理系统、排班系统、人力资源管理系统、财务管理系统、互联网医院、OA平台、自助服务平台、DRG管理、绩效管理、电子发票、短信平台、财务电子档案等其他所有医院相关业务系统（包括以上医院系统但不仅限于以上系统）进行免费接口对接，实现数据交换。</w:t>
      </w:r>
    </w:p>
    <w:p w14:paraId="662D6BA9">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3.3满足医院电子病历系统功能应用水平分级评价达到6级以上评审、医院信息互联互通标准化成熟度测评达到五级乙等以上水平评审、信息系统安全等级保护三级测评、三甲医院评审、医院智慧服务分级评估标准体系达到4级以上相关的功能要求、医院智慧管理分级评估标准体系达到4级以上相关的功能要求、网络攻防演练中的安全防护要求以及医院其他需要评审的信息化技术改造服务要求；</w:t>
      </w:r>
    </w:p>
    <w:p w14:paraId="1DD20D8B">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3.4提供软件免费升级及个性化修改服务，免费实现院方的个性化需求；软件自身错误类问题提供永久性免费修改服务；</w:t>
      </w:r>
    </w:p>
    <w:p w14:paraId="59354AF4">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3.5免费提供医院新增业务信息系统的对接、免费实现医院上级管理部门要求的系统接口对接要求。</w:t>
      </w:r>
    </w:p>
    <w:p w14:paraId="5311D4AA">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3.6若医院更换已对接的业务系统、乙方须免费提供与新业务系统的对接及联调服务。</w:t>
      </w:r>
    </w:p>
    <w:p w14:paraId="14702E90">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3.7项目软硬件系统不限定用户数、并发数、不限定医疗集团内部及院区使用。</w:t>
      </w:r>
    </w:p>
    <w:p w14:paraId="14702E91">
      <w:pPr>
        <w:pStyle w:val="3"/>
        <w:numPr>
          <w:ilvl w:val="0"/>
          <w:numId w:val="0"/>
        </w:numPr>
        <w:spacing w:before="0" w:after="0" w:line="312" w:lineRule="auto"/>
        <w:rPr>
          <w:rFonts w:hint="eastAsia" w:ascii="仿宋_GB2312" w:hAnsi="仿宋_GB2312" w:eastAsia="仿宋_GB2312" w:cs="仿宋_GB2312"/>
          <w:bCs w:val="0"/>
          <w:sz w:val="32"/>
          <w:szCs w:val="32"/>
        </w:rPr>
      </w:pPr>
      <w:r>
        <w:rPr>
          <w:rFonts w:hint="eastAsia" w:ascii="仿宋_GB2312" w:hAnsi="仿宋_GB2312" w:eastAsia="仿宋_GB2312" w:cs="仿宋_GB2312"/>
          <w:bCs w:val="0"/>
          <w:sz w:val="32"/>
          <w:szCs w:val="32"/>
        </w:rPr>
        <w:t>四、项目实施要求</w:t>
      </w:r>
    </w:p>
    <w:p w14:paraId="14702E92">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4.1驻场、实施工期要求：合同签订后，7个工作日内项目实施人员必须进场，系统需在90天内完成项目实施上线，请分别列出每个系统实施的工作计划及周期。</w:t>
      </w:r>
    </w:p>
    <w:p w14:paraId="14702E93">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4.2驻场人员要求：</w:t>
      </w:r>
    </w:p>
    <w:p w14:paraId="14702E94">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实施工程师：项目驻场实施工程师需有2年以上本厂商同等项目实施经验。项目实施阶段，驻场实施工程师不得少于1名。</w:t>
      </w:r>
    </w:p>
    <w:p w14:paraId="14702E95">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如需更换实施工程师，厂商需提交书面申请，经院方同意才可更换。</w:t>
      </w:r>
    </w:p>
    <w:p w14:paraId="14702E96">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竞标文件中需提供软件提供商项目驻场人员清单（含项目开发和项目实施人员），清单中标明驻场人员详细信息，如姓名、联系方式、技术职称等。</w:t>
      </w:r>
    </w:p>
    <w:p w14:paraId="14702E97">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4.3因厂商与院方存在对需求理解有差异的可能性，要求所有软件功能需求的响应以院方意见为准。</w:t>
      </w:r>
    </w:p>
    <w:p w14:paraId="14702E98">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4.4培训要求：</w:t>
      </w:r>
    </w:p>
    <w:p w14:paraId="14702E99">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培训应至少包括但不限于：软硬件系统的安装、部署、维护方法、系统的功能使用培训；</w:t>
      </w:r>
    </w:p>
    <w:p w14:paraId="14702E9A">
      <w:pPr>
        <w:pStyle w:val="3"/>
        <w:numPr>
          <w:ilvl w:val="0"/>
          <w:numId w:val="0"/>
        </w:numPr>
        <w:spacing w:before="0" w:after="0" w:line="312" w:lineRule="auto"/>
        <w:rPr>
          <w:rFonts w:hint="eastAsia" w:ascii="仿宋_GB2312" w:hAnsi="仿宋_GB2312" w:eastAsia="仿宋_GB2312" w:cs="仿宋_GB2312"/>
          <w:bCs w:val="0"/>
          <w:sz w:val="32"/>
          <w:szCs w:val="32"/>
        </w:rPr>
      </w:pPr>
      <w:r>
        <w:rPr>
          <w:rFonts w:hint="eastAsia" w:ascii="仿宋_GB2312" w:hAnsi="仿宋_GB2312" w:eastAsia="仿宋_GB2312" w:cs="仿宋_GB2312"/>
          <w:bCs w:val="0"/>
          <w:sz w:val="32"/>
          <w:szCs w:val="32"/>
        </w:rPr>
        <w:t>五、售后服务及其他要求</w:t>
      </w:r>
    </w:p>
    <w:p w14:paraId="14702E9B">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5.1自本项目整体最终验收之日起，所有产品要求提供三年的免费质保服务。含软硬件维护和系统软件升级、系统BUG及漏洞修复、技术支持服务、系统管理及操作培训服务，免费提供系统个性化修改需求。请详细说明售后服务的内容。</w:t>
      </w:r>
    </w:p>
    <w:p w14:paraId="14702E9C">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5.2安装调试要求：免费送货上门、安装调试、提供完善的设备及软件系统使用中文操作手册、图纸、网络详细拓扑图、系统配置、功能配置、设备配置及互联记录。</w:t>
      </w:r>
    </w:p>
    <w:p w14:paraId="14702E9D">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5.3原厂技术人员免费提供售后服务，含电话支持、现场响应、远程操作、网上客服中心等多种方式服务，应做到7×24小时全天候电话或微信等常用联系方式响应。</w:t>
      </w:r>
      <w:bookmarkStart w:id="2" w:name="_Toc507405798"/>
      <w:r>
        <w:rPr>
          <w:rFonts w:hint="eastAsia" w:ascii="仿宋_GB2312" w:hAnsi="仿宋_GB2312" w:eastAsia="仿宋_GB2312" w:cs="仿宋_GB2312"/>
          <w:color w:val="auto"/>
          <w:kern w:val="0"/>
          <w:sz w:val="24"/>
          <w:szCs w:val="24"/>
          <w:lang w:val="en-US" w:eastAsia="zh-CN" w:bidi="ar-SA"/>
        </w:rPr>
        <w:t>当出现故障时，接到故障通知后，原厂技术人员应在30分钟内响应，远程技术支持无法解决的，6小时内需到达现场处理修复，并调查分析事故原因，如现场仍不能解决问题，需24小时内免费提供同档次或更高档次的备用设备解决问题。</w:t>
      </w:r>
    </w:p>
    <w:p w14:paraId="14702E9E">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5.4供应商提供原厂技术人员巡检服务，通过电话或其他方式访问用户，了解产品使用情况及网络安全情况：按院方要求巡检（国家法定节假日前巡检），并形成巡检报告（内容涉及此产品服务器\相关设备的运行情况）反馈给我院。</w:t>
      </w:r>
    </w:p>
    <w:p w14:paraId="14702E9F">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auto"/>
          <w:kern w:val="0"/>
          <w:sz w:val="24"/>
          <w:szCs w:val="24"/>
          <w:lang w:val="en-US" w:eastAsia="zh-CN" w:bidi="ar-SA"/>
        </w:rPr>
        <w:t>5.5免费系统改造，支持信创电脑和服务器。</w:t>
      </w:r>
    </w:p>
    <w:p w14:paraId="14702EA0">
      <w:pPr>
        <w:pStyle w:val="2"/>
        <w:spacing w:after="0" w:line="312" w:lineRule="auto"/>
        <w:rPr>
          <w:rFonts w:hint="eastAsia" w:ascii="仿宋_GB2312" w:hAnsi="仿宋_GB2312" w:eastAsia="仿宋_GB2312" w:cs="仿宋_GB2312"/>
          <w:b/>
          <w:bCs/>
          <w:sz w:val="28"/>
          <w:lang w:val="en-US"/>
        </w:rPr>
      </w:pPr>
      <w:r>
        <w:rPr>
          <w:rFonts w:hint="eastAsia" w:ascii="仿宋_GB2312" w:hAnsi="仿宋_GB2312" w:eastAsia="仿宋_GB2312" w:cs="仿宋_GB2312"/>
          <w:b/>
          <w:bCs/>
          <w:sz w:val="28"/>
          <w:lang w:val="en-US"/>
        </w:rPr>
        <w:t>六、违约责任</w:t>
      </w:r>
    </w:p>
    <w:p w14:paraId="14702EA1">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6.1投标方所提供的软/硬件规格、技术标准、材料等质量不合格的，应及时更换，更换不及时的按逾期交付处罚；因质量问题我院不同意接收，投标方应向我院支付违约货款额5%违约金并赔偿我院经济损失。</w:t>
      </w:r>
    </w:p>
    <w:p w14:paraId="14702EA2">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6.2若投标方提供的产品或软件侵犯了第三方合法权益而引发的任何纠纷或诉讼，均由投标方负责交涉并承担全部责任。</w:t>
      </w:r>
    </w:p>
    <w:p w14:paraId="14702EA3">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6.3投标方逾期交付的，每天向甲方偿付违约货款额3‰违约金，但违约金累计不得超过违约货款额 5%，超过30天对方有权解除合同，违约方承担因此给对方造成的经济损失；</w:t>
      </w:r>
    </w:p>
    <w:p w14:paraId="14702EA4">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6.4售后服务违约：</w:t>
      </w:r>
    </w:p>
    <w:p w14:paraId="14702EA5">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6.4.1不能按本技术参数文档第5.3要求中按时提供设备备件的，故障上报24小时不能免费提供同档次或更高档次的备用设备解决问题，每超期一天，按500元/天向甲方支付违约金；</w:t>
      </w:r>
    </w:p>
    <w:p w14:paraId="14702EA6">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6.4.2 投标方未按本技术要求和响应文件中规定的其他服务承诺提供售后服务的，每次投标方应按合同合计金额的5% 向甲方支付违约金。</w:t>
      </w:r>
    </w:p>
    <w:p w14:paraId="14702EA7">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6.5合同签订后7个工作日内进场实施，每个模块计划实施周期需在合同内写明。因软件提供商原因逾期不进场实施的，需按每天向院方支付合同款金额3‰作为违约金，超过30天，甲有权解除合同，乙方需承担因此给院方造成的经济损失；不能按照合同约定上线期限完成，需要书面申请说明原因，得到医院书面同意后最多延期一个月，否则（或者延期一个月后）按每超期7天（一周）从总合同金额扣除5%的违约金。扣除比例达到总合同金额的50%及以上的，视为乙方违约，甲方有权单方面解除合同，并要求乙方退回所有医院已支付款项，同时按合同总金额的20%做为违约金支付给甲方。</w:t>
      </w:r>
    </w:p>
    <w:p w14:paraId="14702EA8">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6.6任何一方违反本技术要求中“保密、廉洁条款”要求的，应承担相应的违约责任并赔偿由此造成的损失，损失累计金额超过合同款项的5%的，损失方同时有权终止合同并收回已付款项。</w:t>
      </w:r>
    </w:p>
    <w:p w14:paraId="14702EA9">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6.7厂商方未按本技术要求和响应文件中规定的其他服务承诺提供售后服务的，按损失情况，每次应按合同合计金额的0.1‰-0.1%由乙方向甲方支付违约金，损失累计金额超过合同款项的5%的，损失方同时有权终止合同并收回已付款项。</w:t>
      </w:r>
    </w:p>
    <w:p w14:paraId="14702EAA">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6.8厂商不得在提供的硬件及软件系统中设置包括且不限于如：软硬件加密狗、加密软件、时间锁、授权码等限制硬件及软件系统正常运行的措施，如有特殊需要必须提交纸质文件说明，经过我院签字同意才可设置，否则视为乙方违约，乙方需要支付医院违约金</w:t>
      </w:r>
      <w:r>
        <w:rPr>
          <w:rFonts w:hint="eastAsia" w:ascii="仿宋_GB2312" w:hAnsi="仿宋_GB2312" w:cs="仿宋_GB2312"/>
          <w:color w:val="auto"/>
          <w:kern w:val="0"/>
          <w:sz w:val="24"/>
          <w:szCs w:val="24"/>
          <w:lang w:val="en-US" w:eastAsia="zh-CN" w:bidi="ar-SA"/>
        </w:rPr>
        <w:t>50</w:t>
      </w:r>
      <w:r>
        <w:rPr>
          <w:rFonts w:hint="eastAsia" w:ascii="仿宋_GB2312" w:hAnsi="仿宋_GB2312" w:eastAsia="仿宋_GB2312" w:cs="仿宋_GB2312"/>
          <w:color w:val="auto"/>
          <w:kern w:val="0"/>
          <w:sz w:val="24"/>
          <w:szCs w:val="24"/>
          <w:lang w:val="en-US" w:eastAsia="zh-CN" w:bidi="ar-SA"/>
        </w:rPr>
        <w:t>0000元（伍拾万元</w:t>
      </w:r>
      <w:r>
        <w:rPr>
          <w:rFonts w:hint="eastAsia" w:ascii="仿宋_GB2312" w:hAnsi="仿宋_GB2312" w:cs="仿宋_GB2312"/>
          <w:color w:val="auto"/>
          <w:kern w:val="0"/>
          <w:sz w:val="24"/>
          <w:szCs w:val="24"/>
          <w:lang w:val="en-US" w:eastAsia="zh-CN" w:bidi="ar-SA"/>
        </w:rPr>
        <w:t>整</w:t>
      </w:r>
      <w:r>
        <w:rPr>
          <w:rFonts w:hint="eastAsia" w:ascii="仿宋_GB2312" w:hAnsi="仿宋_GB2312" w:eastAsia="仿宋_GB2312" w:cs="仿宋_GB2312"/>
          <w:color w:val="auto"/>
          <w:kern w:val="0"/>
          <w:sz w:val="24"/>
          <w:szCs w:val="24"/>
          <w:lang w:val="en-US" w:eastAsia="zh-CN" w:bidi="ar-SA"/>
        </w:rPr>
        <w:t>），在此基础上医院有权要求乙方退回甲方已支付的所有款项。如对医院造成损失的，甲方有权要求乙方赔偿。</w:t>
      </w:r>
    </w:p>
    <w:p w14:paraId="14702EAB">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6.9厂商驻场工程师人员变更必须得到医院书面同意，否则视为乙方违约，甲方有权按5000元/人/次从合同总款中扣除。</w:t>
      </w:r>
    </w:p>
    <w:p w14:paraId="14702EAC">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6.10如合同乙方非软件提供商，软件提供商需承担连带责任，即本技术参数中对乙方的所有约束要求、违约条件均等同于对软件提供商的要求，甲方在追究乙方违约责任的同时可以同步追究软件提供商同等责任，乙方在投标时必须提供软件提供商的售后服务承诺书原件（须加盖软件提供商公章）。</w:t>
      </w:r>
    </w:p>
    <w:bookmarkEnd w:id="2"/>
    <w:p w14:paraId="14702EAD">
      <w:pPr>
        <w:pStyle w:val="2"/>
        <w:spacing w:after="0" w:line="312" w:lineRule="auto"/>
        <w:rPr>
          <w:rFonts w:hint="eastAsia" w:ascii="仿宋_GB2312" w:hAnsi="仿宋_GB2312" w:eastAsia="仿宋_GB2312" w:cs="仿宋_GB2312"/>
          <w:b/>
          <w:bCs/>
          <w:sz w:val="28"/>
          <w:lang w:val="en-US"/>
        </w:rPr>
      </w:pPr>
      <w:r>
        <w:rPr>
          <w:rFonts w:hint="eastAsia" w:ascii="仿宋_GB2312" w:hAnsi="仿宋_GB2312" w:eastAsia="仿宋_GB2312" w:cs="仿宋_GB2312"/>
          <w:b/>
          <w:bCs/>
          <w:sz w:val="28"/>
          <w:lang w:val="en-US"/>
        </w:rPr>
        <w:t>七、保密、廉洁协议</w:t>
      </w:r>
    </w:p>
    <w:p w14:paraId="14702EAE">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7.1 双方保证对从另一方取得且无法自公开渠道获得的商业秘密(技术信息、经营信息及其他商业秘密)予以保密。未经该商业秘密的提供方同意，一方不得向任何第三方泄露该商业秘密的全部或部分内容，但法律、法规另有规定或双方另有约定的除外。任何一方违反保密义务的，应承担相应的违约责任并赔偿由此造成的损失。</w:t>
      </w:r>
    </w:p>
    <w:p w14:paraId="14702EAF">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7.2 双方不得以任何方式向第三方泄露本项目的软件技术、设计方案以及功能配置等内容。</w:t>
      </w:r>
    </w:p>
    <w:p w14:paraId="14702EB0">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7.3不以任何方式向第三方泄露在本协议开发实施过程中获取的经济、技术、数据以及双方其他非公开的信息。</w:t>
      </w:r>
    </w:p>
    <w:p w14:paraId="14702EB1">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7.4 不从事商业贿赂行为，遵守廉洁协议或相关规定。甲方发现乙方有违反廉洁协议或相关规定采用不正当手段进行不正当竞争行为的，或被有关部门生效文书认定有行贿或者受贿行为的，甲方有权解除该业务合同，由此给甲方造成的损失以及发生的一切费用均由乙方承担，甲方有权对乙方实施商业贿赂不良记录，列入“黑名单”，并三年内取消其业务往来资格。</w:t>
      </w:r>
    </w:p>
    <w:p w14:paraId="14702EB2">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7.5保密期限自本合同生效之日起永久有效，如乙方需解除保密协议需向甲方提出书面申请，双方协商同意签字确认后方可解除。</w:t>
      </w:r>
    </w:p>
    <w:p w14:paraId="14702EB3">
      <w:pPr>
        <w:pStyle w:val="2"/>
        <w:spacing w:after="0" w:line="312" w:lineRule="auto"/>
        <w:rPr>
          <w:rFonts w:hint="eastAsia" w:ascii="仿宋_GB2312" w:hAnsi="仿宋_GB2312" w:eastAsia="仿宋_GB2312" w:cs="仿宋_GB2312"/>
          <w:lang w:val="en-US"/>
        </w:rPr>
      </w:pPr>
    </w:p>
    <w:p w14:paraId="14702EB4">
      <w:pPr>
        <w:pStyle w:val="2"/>
        <w:spacing w:after="0" w:line="312" w:lineRule="auto"/>
        <w:rPr>
          <w:rFonts w:hint="eastAsia" w:ascii="仿宋_GB2312" w:hAnsi="仿宋_GB2312" w:eastAsia="仿宋_GB2312" w:cs="仿宋_GB2312"/>
          <w:b/>
          <w:bCs/>
          <w:sz w:val="28"/>
          <w:lang w:val="en-US"/>
        </w:rPr>
      </w:pPr>
      <w:r>
        <w:rPr>
          <w:rFonts w:hint="eastAsia" w:ascii="仿宋_GB2312" w:hAnsi="仿宋_GB2312" w:eastAsia="仿宋_GB2312" w:cs="仿宋_GB2312"/>
          <w:b/>
          <w:bCs/>
          <w:sz w:val="28"/>
          <w:lang w:val="en-US"/>
        </w:rPr>
        <w:t>八、报价</w:t>
      </w:r>
    </w:p>
    <w:p w14:paraId="14702EB5">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8.1竞标文件提供技术偏离表、服务偏离表，并标明详细的技术和服务内容。竞标文件按系统模块报价，报价表价格包含系统软硬件费用、产品安装、调试实施、培训费用、产品升级费用、接口费（包括第三方厂家的接口费）等费用，以及明示所有责任、义务和一切风险。</w:t>
      </w:r>
    </w:p>
    <w:p w14:paraId="14702EB6">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8.2竞标文件需提供维保期方案及报价。</w:t>
      </w:r>
    </w:p>
    <w:p w14:paraId="14702EB7">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8.3竞标文件需提供系统详细图文介绍。系统实施验收参照本技术文档及竞标文件提供的图文介绍为依据。</w:t>
      </w:r>
    </w:p>
    <w:p w14:paraId="14702EB8">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8.4如项目功能二次开发内容涉及我院采购的第三方产品，请在标书内标明哪些功能的实现需要二次开发接口。</w:t>
      </w:r>
    </w:p>
    <w:p w14:paraId="14702EB9">
      <w:pPr>
        <w:pStyle w:val="3"/>
        <w:numPr>
          <w:ilvl w:val="0"/>
          <w:numId w:val="0"/>
        </w:numPr>
        <w:spacing w:before="0" w:after="0" w:line="312" w:lineRule="auto"/>
        <w:rPr>
          <w:rFonts w:hint="eastAsia" w:ascii="仿宋_GB2312" w:hAnsi="仿宋_GB2312" w:eastAsia="仿宋_GB2312" w:cs="仿宋_GB2312"/>
          <w:bCs w:val="0"/>
          <w:sz w:val="32"/>
          <w:szCs w:val="32"/>
        </w:rPr>
      </w:pPr>
      <w:r>
        <w:rPr>
          <w:rFonts w:hint="eastAsia" w:ascii="仿宋_GB2312" w:hAnsi="仿宋_GB2312" w:eastAsia="仿宋_GB2312" w:cs="仿宋_GB2312"/>
          <w:bCs w:val="0"/>
          <w:sz w:val="32"/>
          <w:szCs w:val="32"/>
        </w:rPr>
        <w:t>九、付款方式</w:t>
      </w:r>
    </w:p>
    <w:bookmarkEnd w:id="0"/>
    <w:bookmarkEnd w:id="1"/>
    <w:p w14:paraId="1DAB8A97">
      <w:pPr>
        <w:ind w:firstLine="0" w:firstLineChars="0"/>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（一）付款方式</w:t>
      </w:r>
    </w:p>
    <w:p w14:paraId="7F5D8861">
      <w:pPr>
        <w:numPr>
          <w:ilvl w:val="0"/>
          <w:numId w:val="4"/>
        </w:numPr>
        <w:ind w:left="845" w:leftChars="0" w:hanging="425" w:firstLineChars="0"/>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本项目合同签订后，启动系统上线验收，上线验收合格后，甲方支付</w:t>
      </w:r>
      <w:r>
        <w:rPr>
          <w:rFonts w:hint="eastAsia" w:ascii="仿宋_GB2312" w:hAnsi="仿宋_GB2312" w:cs="仿宋_GB2312"/>
          <w:color w:val="auto"/>
          <w:kern w:val="0"/>
          <w:sz w:val="24"/>
          <w:szCs w:val="24"/>
          <w:lang w:val="en-US" w:eastAsia="zh-CN" w:bidi="ar-SA"/>
        </w:rPr>
        <w:t>合同</w:t>
      </w:r>
      <w:r>
        <w:rPr>
          <w:rFonts w:hint="eastAsia" w:ascii="仿宋_GB2312" w:hAnsi="仿宋_GB2312" w:eastAsia="仿宋_GB2312" w:cs="仿宋_GB2312"/>
          <w:color w:val="auto"/>
          <w:kern w:val="0"/>
          <w:sz w:val="24"/>
          <w:szCs w:val="24"/>
          <w:lang w:val="en-US" w:eastAsia="zh-CN" w:bidi="ar-SA"/>
        </w:rPr>
        <w:t>款项30%；</w:t>
      </w:r>
    </w:p>
    <w:p w14:paraId="3F8AE5EF">
      <w:pPr>
        <w:numPr>
          <w:ilvl w:val="0"/>
          <w:numId w:val="4"/>
        </w:numPr>
        <w:ind w:left="845" w:leftChars="0" w:hanging="425" w:firstLineChars="0"/>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合同约定的所有模块实施完毕，系统上线稳定运行满 3 个月后，启动项目验收；验收合格后，乙方开具合同金额 100% 的发票，甲方向乙方支付合同款项的70%。</w:t>
      </w:r>
    </w:p>
    <w:p w14:paraId="2486D553">
      <w:pPr>
        <w:ind w:firstLine="0" w:firstLineChars="0"/>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（二）特别说明（财政资金支付）</w:t>
      </w:r>
    </w:p>
    <w:p w14:paraId="527C39FE">
      <w:pPr>
        <w:keepNext w:val="0"/>
        <w:keepLines w:val="0"/>
        <w:pageBreakBefore w:val="0"/>
        <w:widowControl w:val="0"/>
        <w:kinsoku/>
        <w:wordWrap/>
        <w:overflowPunct/>
        <w:topLinePunct w:val="0"/>
        <w:autoSpaceDE/>
        <w:autoSpaceDN/>
        <w:bidi w:val="0"/>
        <w:adjustRightInd/>
        <w:snapToGrid/>
        <w:spacing w:line="279" w:lineRule="auto"/>
        <w:ind w:firstLine="480" w:firstLineChars="200"/>
        <w:textAlignment w:val="auto"/>
        <w:rPr>
          <w:rFonts w:hint="eastAsia" w:ascii="仿宋_GB2312" w:hAnsi="仿宋_GB2312" w:eastAsia="仿宋_GB2312" w:cs="仿宋_GB2312"/>
          <w:b/>
          <w:bCs/>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若甲方使用财政资金支付，合同约定的付款时间为甲方向政府采购支付部门提出办理财政支付申请手续的时间（不含政府财政支付部门审核的时间）；甲方在规定时间内提出支付申请手续后，即视为甲方已按期支付。资金到账时间以财政部门资金审批进度为准，若有其他特殊情况，由双方共同协商解决。</w:t>
      </w:r>
    </w:p>
    <w:sectPr>
      <w:pgSz w:w="11906" w:h="16838"/>
      <w:pgMar w:top="1440" w:right="1080" w:bottom="1440" w:left="1080"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ind w:firstLine="480"/>
      </w:pPr>
      <w:r>
        <w:separator/>
      </w:r>
    </w:p>
  </w:footnote>
  <w:footnote w:type="continuationSeparator" w:id="1">
    <w:p>
      <w:pPr>
        <w:spacing w:before="0" w:after="0" w:line="278"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FB8F58"/>
    <w:multiLevelType w:val="singleLevel"/>
    <w:tmpl w:val="8BFB8F58"/>
    <w:lvl w:ilvl="0" w:tentative="0">
      <w:start w:val="1"/>
      <w:numFmt w:val="decimal"/>
      <w:suff w:val="nothing"/>
      <w:lvlText w:val="%1）"/>
      <w:lvlJc w:val="left"/>
    </w:lvl>
  </w:abstractNum>
  <w:abstractNum w:abstractNumId="1">
    <w:nsid w:val="C1BA373E"/>
    <w:multiLevelType w:val="singleLevel"/>
    <w:tmpl w:val="C1BA373E"/>
    <w:lvl w:ilvl="0" w:tentative="0">
      <w:start w:val="1"/>
      <w:numFmt w:val="decimal"/>
      <w:lvlText w:val="%1)"/>
      <w:lvlJc w:val="left"/>
      <w:pPr>
        <w:ind w:left="425" w:hanging="425"/>
      </w:pPr>
      <w:rPr>
        <w:rFonts w:hint="default"/>
      </w:rPr>
    </w:lvl>
  </w:abstractNum>
  <w:abstractNum w:abstractNumId="2">
    <w:nsid w:val="366D1052"/>
    <w:multiLevelType w:val="singleLevel"/>
    <w:tmpl w:val="366D1052"/>
    <w:lvl w:ilvl="0" w:tentative="0">
      <w:start w:val="1"/>
      <w:numFmt w:val="decimal"/>
      <w:lvlText w:val="%1."/>
      <w:lvlJc w:val="left"/>
      <w:pPr>
        <w:tabs>
          <w:tab w:val="left" w:pos="420"/>
        </w:tabs>
        <w:ind w:left="845" w:hanging="425"/>
      </w:pPr>
      <w:rPr>
        <w:rFonts w:hint="default"/>
      </w:rPr>
    </w:lvl>
  </w:abstractNum>
  <w:abstractNum w:abstractNumId="3">
    <w:nsid w:val="46433B6D"/>
    <w:multiLevelType w:val="multilevel"/>
    <w:tmpl w:val="46433B6D"/>
    <w:lvl w:ilvl="0" w:tentative="0">
      <w:start w:val="1"/>
      <w:numFmt w:val="decimal"/>
      <w:pStyle w:val="5"/>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871"/>
    <w:rsid w:val="000575B9"/>
    <w:rsid w:val="000A0F00"/>
    <w:rsid w:val="00124511"/>
    <w:rsid w:val="00191C9D"/>
    <w:rsid w:val="0021377D"/>
    <w:rsid w:val="00255A82"/>
    <w:rsid w:val="0028524D"/>
    <w:rsid w:val="002F4006"/>
    <w:rsid w:val="003352BD"/>
    <w:rsid w:val="00363BEC"/>
    <w:rsid w:val="003918C1"/>
    <w:rsid w:val="003F7D7D"/>
    <w:rsid w:val="00411BC5"/>
    <w:rsid w:val="00457A72"/>
    <w:rsid w:val="00511459"/>
    <w:rsid w:val="00547765"/>
    <w:rsid w:val="00596820"/>
    <w:rsid w:val="005C4856"/>
    <w:rsid w:val="00791204"/>
    <w:rsid w:val="00822BCC"/>
    <w:rsid w:val="00841187"/>
    <w:rsid w:val="00843E9B"/>
    <w:rsid w:val="00865B20"/>
    <w:rsid w:val="00885135"/>
    <w:rsid w:val="008A2C5C"/>
    <w:rsid w:val="008D03B2"/>
    <w:rsid w:val="008D6D01"/>
    <w:rsid w:val="00913BB2"/>
    <w:rsid w:val="009147B8"/>
    <w:rsid w:val="00982F8C"/>
    <w:rsid w:val="009A00F8"/>
    <w:rsid w:val="00A9728B"/>
    <w:rsid w:val="00B82898"/>
    <w:rsid w:val="00BB57BD"/>
    <w:rsid w:val="00BE7481"/>
    <w:rsid w:val="00C04871"/>
    <w:rsid w:val="00C56678"/>
    <w:rsid w:val="00CD1C6A"/>
    <w:rsid w:val="00D11A53"/>
    <w:rsid w:val="00D66938"/>
    <w:rsid w:val="00D92EE5"/>
    <w:rsid w:val="00DD2BBD"/>
    <w:rsid w:val="00EF1B80"/>
    <w:rsid w:val="00F54C14"/>
    <w:rsid w:val="00FB0176"/>
    <w:rsid w:val="00FC0582"/>
    <w:rsid w:val="00FE1B7F"/>
    <w:rsid w:val="00FF1CFA"/>
    <w:rsid w:val="018C095E"/>
    <w:rsid w:val="01AB5939"/>
    <w:rsid w:val="02633605"/>
    <w:rsid w:val="02913D1B"/>
    <w:rsid w:val="045F49E7"/>
    <w:rsid w:val="04854128"/>
    <w:rsid w:val="061A5470"/>
    <w:rsid w:val="06470303"/>
    <w:rsid w:val="064B2CB0"/>
    <w:rsid w:val="07434BE5"/>
    <w:rsid w:val="076601A7"/>
    <w:rsid w:val="0778608B"/>
    <w:rsid w:val="07E31550"/>
    <w:rsid w:val="09CF49A2"/>
    <w:rsid w:val="0A530C4F"/>
    <w:rsid w:val="0B974E6D"/>
    <w:rsid w:val="0BAC3645"/>
    <w:rsid w:val="0DEE7D08"/>
    <w:rsid w:val="115F04EC"/>
    <w:rsid w:val="15D1541F"/>
    <w:rsid w:val="183F5345"/>
    <w:rsid w:val="18934C0E"/>
    <w:rsid w:val="1A55661F"/>
    <w:rsid w:val="1B1F6C2C"/>
    <w:rsid w:val="1E54610B"/>
    <w:rsid w:val="20F84CC6"/>
    <w:rsid w:val="230A5C9B"/>
    <w:rsid w:val="235C0EC3"/>
    <w:rsid w:val="244F4611"/>
    <w:rsid w:val="24AA0F8C"/>
    <w:rsid w:val="26B172D2"/>
    <w:rsid w:val="279938C3"/>
    <w:rsid w:val="28445183"/>
    <w:rsid w:val="29852351"/>
    <w:rsid w:val="2AD91DF4"/>
    <w:rsid w:val="2C636685"/>
    <w:rsid w:val="2CCC5957"/>
    <w:rsid w:val="2E1B3283"/>
    <w:rsid w:val="2F0913C9"/>
    <w:rsid w:val="2F48454C"/>
    <w:rsid w:val="31610B38"/>
    <w:rsid w:val="31961AB9"/>
    <w:rsid w:val="33D47A42"/>
    <w:rsid w:val="34D16D92"/>
    <w:rsid w:val="350E5DAF"/>
    <w:rsid w:val="365437D6"/>
    <w:rsid w:val="3A7B57D6"/>
    <w:rsid w:val="3B367055"/>
    <w:rsid w:val="3D361B23"/>
    <w:rsid w:val="3E8250E7"/>
    <w:rsid w:val="3F47037C"/>
    <w:rsid w:val="40111499"/>
    <w:rsid w:val="409F6214"/>
    <w:rsid w:val="40F2256A"/>
    <w:rsid w:val="41AE7F1F"/>
    <w:rsid w:val="446D64D7"/>
    <w:rsid w:val="44D0671E"/>
    <w:rsid w:val="45877724"/>
    <w:rsid w:val="45FF375F"/>
    <w:rsid w:val="46753A21"/>
    <w:rsid w:val="46AF05B5"/>
    <w:rsid w:val="471E3F3B"/>
    <w:rsid w:val="48730BE1"/>
    <w:rsid w:val="49F90AA3"/>
    <w:rsid w:val="4BC6087B"/>
    <w:rsid w:val="4BDF193C"/>
    <w:rsid w:val="4C133AD8"/>
    <w:rsid w:val="4F4240F9"/>
    <w:rsid w:val="4FFF262E"/>
    <w:rsid w:val="50445303"/>
    <w:rsid w:val="51621046"/>
    <w:rsid w:val="51C615D4"/>
    <w:rsid w:val="526A6404"/>
    <w:rsid w:val="56243368"/>
    <w:rsid w:val="57821E15"/>
    <w:rsid w:val="57B41ECF"/>
    <w:rsid w:val="581E443B"/>
    <w:rsid w:val="5BE24954"/>
    <w:rsid w:val="5D5A7075"/>
    <w:rsid w:val="5E2112AD"/>
    <w:rsid w:val="60A56859"/>
    <w:rsid w:val="613F2044"/>
    <w:rsid w:val="61812E22"/>
    <w:rsid w:val="62A44938"/>
    <w:rsid w:val="64242E1E"/>
    <w:rsid w:val="64AE7DCD"/>
    <w:rsid w:val="65186AA8"/>
    <w:rsid w:val="66CA77F2"/>
    <w:rsid w:val="67BB4BB4"/>
    <w:rsid w:val="680C56FF"/>
    <w:rsid w:val="69C253FB"/>
    <w:rsid w:val="6A0E629C"/>
    <w:rsid w:val="6A626A69"/>
    <w:rsid w:val="6B100BEE"/>
    <w:rsid w:val="6B1860D6"/>
    <w:rsid w:val="6B4E646B"/>
    <w:rsid w:val="6BE40B7D"/>
    <w:rsid w:val="6C24541E"/>
    <w:rsid w:val="6CD3462C"/>
    <w:rsid w:val="6CDE3BFC"/>
    <w:rsid w:val="6D016025"/>
    <w:rsid w:val="6D301BA0"/>
    <w:rsid w:val="71D0222D"/>
    <w:rsid w:val="72501BF8"/>
    <w:rsid w:val="72A72905"/>
    <w:rsid w:val="73C117A4"/>
    <w:rsid w:val="74560DC5"/>
    <w:rsid w:val="7B4A6691"/>
    <w:rsid w:val="7CF91FAF"/>
    <w:rsid w:val="7F1211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0" w:line="278" w:lineRule="auto"/>
      <w:ind w:firstLine="200" w:firstLineChars="200"/>
      <w:jc w:val="both"/>
    </w:pPr>
    <w:rPr>
      <w:rFonts w:ascii="Times New Roman" w:hAnsi="Times New Roman" w:eastAsia="仿宋_GB2312" w:cstheme="minorBidi"/>
      <w:kern w:val="2"/>
      <w:sz w:val="24"/>
      <w:szCs w:val="24"/>
      <w:lang w:val="en-US" w:eastAsia="zh-CN" w:bidi="ar-SA"/>
      <w14:ligatures w14:val="none"/>
    </w:rPr>
  </w:style>
  <w:style w:type="paragraph" w:styleId="3">
    <w:name w:val="heading 1"/>
    <w:basedOn w:val="1"/>
    <w:next w:val="1"/>
    <w:link w:val="18"/>
    <w:qFormat/>
    <w:uiPriority w:val="9"/>
    <w:pPr>
      <w:spacing w:before="50" w:beforeLines="50" w:after="50" w:afterLines="50"/>
      <w:jc w:val="left"/>
      <w:outlineLvl w:val="0"/>
    </w:pPr>
    <w:rPr>
      <w:rFonts w:ascii="宋体" w:hAnsi="宋体" w:eastAsia="方正小标宋简体" w:cs="Times New Roman"/>
      <w:b/>
      <w:bCs/>
      <w:kern w:val="44"/>
      <w:sz w:val="32"/>
      <w:szCs w:val="48"/>
    </w:rPr>
  </w:style>
  <w:style w:type="paragraph" w:styleId="4">
    <w:name w:val="heading 2"/>
    <w:basedOn w:val="1"/>
    <w:next w:val="1"/>
    <w:link w:val="19"/>
    <w:unhideWhenUsed/>
    <w:qFormat/>
    <w:uiPriority w:val="9"/>
    <w:pPr>
      <w:tabs>
        <w:tab w:val="left" w:pos="426"/>
        <w:tab w:val="left" w:pos="993"/>
      </w:tabs>
      <w:spacing w:before="50" w:beforeLines="50" w:after="50" w:afterLines="50"/>
      <w:ind w:firstLine="0" w:firstLineChars="0"/>
      <w:jc w:val="left"/>
      <w:outlineLvl w:val="1"/>
    </w:pPr>
    <w:rPr>
      <w:rFonts w:ascii="宋体" w:hAnsi="宋体"/>
      <w:b/>
      <w:bCs/>
      <w:sz w:val="28"/>
      <w:szCs w:val="36"/>
      <w14:ligatures w14:val="standardContextual"/>
    </w:rPr>
  </w:style>
  <w:style w:type="paragraph" w:styleId="5">
    <w:name w:val="heading 3"/>
    <w:basedOn w:val="1"/>
    <w:next w:val="1"/>
    <w:link w:val="21"/>
    <w:unhideWhenUsed/>
    <w:qFormat/>
    <w:uiPriority w:val="9"/>
    <w:pPr>
      <w:keepNext/>
      <w:keepLines/>
      <w:numPr>
        <w:ilvl w:val="0"/>
        <w:numId w:val="1"/>
      </w:numPr>
      <w:ind w:firstLine="0" w:firstLineChars="0"/>
      <w:outlineLvl w:val="2"/>
    </w:pPr>
    <w:rPr>
      <w:rFonts w:asciiTheme="minorHAnsi" w:hAnsiTheme="minorHAnsi"/>
      <w14:ligatures w14:val="standardContextual"/>
    </w:rPr>
  </w:style>
  <w:style w:type="paragraph" w:styleId="6">
    <w:name w:val="heading 4"/>
    <w:basedOn w:val="1"/>
    <w:next w:val="1"/>
    <w:link w:val="20"/>
    <w:semiHidden/>
    <w:unhideWhenUsed/>
    <w:qFormat/>
    <w:uiPriority w:val="9"/>
    <w:pPr>
      <w:keepNext/>
      <w:keepLines/>
      <w:spacing w:line="240" w:lineRule="exact"/>
      <w:outlineLvl w:val="3"/>
    </w:pPr>
    <w:rPr>
      <w:rFonts w:cstheme="majorBidi"/>
      <w:szCs w:val="28"/>
    </w:rPr>
  </w:style>
  <w:style w:type="paragraph" w:styleId="7">
    <w:name w:val="heading 5"/>
    <w:basedOn w:val="1"/>
    <w:next w:val="1"/>
    <w:link w:val="23"/>
    <w:semiHidden/>
    <w:unhideWhenUsed/>
    <w:qFormat/>
    <w:uiPriority w:val="9"/>
    <w:pPr>
      <w:keepNext/>
      <w:keepLines/>
      <w:spacing w:before="80" w:after="40"/>
      <w:outlineLvl w:val="4"/>
    </w:pPr>
    <w:rPr>
      <w:rFonts w:asciiTheme="minorHAnsi" w:hAnsiTheme="minorHAnsi" w:eastAsiaTheme="minorEastAsia" w:cstheme="majorBidi"/>
      <w:color w:val="104862" w:themeColor="accent1" w:themeShade="BF"/>
    </w:rPr>
  </w:style>
  <w:style w:type="paragraph" w:styleId="8">
    <w:name w:val="heading 6"/>
    <w:basedOn w:val="1"/>
    <w:next w:val="1"/>
    <w:link w:val="24"/>
    <w:semiHidden/>
    <w:unhideWhenUsed/>
    <w:qFormat/>
    <w:uiPriority w:val="9"/>
    <w:pPr>
      <w:keepNext/>
      <w:keepLines/>
      <w:spacing w:before="40"/>
      <w:outlineLvl w:val="5"/>
    </w:pPr>
    <w:rPr>
      <w:rFonts w:asciiTheme="minorHAnsi" w:hAnsiTheme="minorHAnsi" w:eastAsiaTheme="minorEastAsia" w:cstheme="majorBidi"/>
      <w:b/>
      <w:bCs/>
      <w:color w:val="104862" w:themeColor="accent1" w:themeShade="BF"/>
    </w:rPr>
  </w:style>
  <w:style w:type="paragraph" w:styleId="9">
    <w:name w:val="heading 7"/>
    <w:basedOn w:val="1"/>
    <w:next w:val="1"/>
    <w:link w:val="25"/>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6"/>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27"/>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36"/>
    <w:qFormat/>
    <w:uiPriority w:val="0"/>
    <w:pPr>
      <w:spacing w:after="120" w:line="240" w:lineRule="auto"/>
      <w:ind w:firstLine="0" w:firstLineChars="0"/>
    </w:pPr>
    <w:rPr>
      <w:rFonts w:eastAsiaTheme="minorEastAsia"/>
      <w:kern w:val="0"/>
      <w:sz w:val="20"/>
      <w:lang w:val="zh-CN"/>
    </w:rPr>
  </w:style>
  <w:style w:type="paragraph" w:styleId="12">
    <w:name w:val="Subtitle"/>
    <w:basedOn w:val="1"/>
    <w:next w:val="1"/>
    <w:link w:val="28"/>
    <w:qFormat/>
    <w:uiPriority w:val="11"/>
    <w:pPr>
      <w:spacing w:after="160"/>
      <w:ind w:firstLine="200" w:firstLineChars="20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3">
    <w:name w:val="Title"/>
    <w:basedOn w:val="1"/>
    <w:next w:val="1"/>
    <w:link w:val="22"/>
    <w:qFormat/>
    <w:uiPriority w:val="0"/>
    <w:pPr>
      <w:spacing w:before="240" w:after="60" w:line="279" w:lineRule="auto"/>
      <w:jc w:val="center"/>
      <w:outlineLvl w:val="0"/>
    </w:pPr>
    <w:rPr>
      <w:rFonts w:eastAsia="方正小标宋简体" w:asciiTheme="majorHAnsi" w:hAnsiTheme="majorHAnsi" w:cstheme="majorBidi"/>
      <w:b/>
      <w:bCs/>
      <w:sz w:val="32"/>
      <w:szCs w:val="32"/>
    </w:rPr>
  </w:style>
  <w:style w:type="table" w:styleId="15">
    <w:name w:val="Table Grid"/>
    <w:basedOn w:val="14"/>
    <w:qFormat/>
    <w:uiPriority w:val="39"/>
    <w:pPr>
      <w:spacing w:after="0" w:line="240" w:lineRule="auto"/>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rPr>
  </w:style>
  <w:style w:type="character" w:customStyle="1" w:styleId="18">
    <w:name w:val="标题 1 字符"/>
    <w:basedOn w:val="16"/>
    <w:link w:val="3"/>
    <w:qFormat/>
    <w:uiPriority w:val="0"/>
    <w:rPr>
      <w:rFonts w:ascii="宋体" w:hAnsi="宋体" w:eastAsia="方正小标宋简体" w:cs="Times New Roman"/>
      <w:b/>
      <w:bCs/>
      <w:kern w:val="44"/>
      <w:sz w:val="32"/>
      <w:szCs w:val="48"/>
      <w14:ligatures w14:val="none"/>
    </w:rPr>
  </w:style>
  <w:style w:type="character" w:customStyle="1" w:styleId="19">
    <w:name w:val="标题 2 字符"/>
    <w:basedOn w:val="16"/>
    <w:link w:val="4"/>
    <w:qFormat/>
    <w:uiPriority w:val="9"/>
    <w:rPr>
      <w:rFonts w:ascii="宋体" w:hAnsi="宋体" w:eastAsia="仿宋_GB2312"/>
      <w:b/>
      <w:bCs/>
      <w:sz w:val="28"/>
      <w:szCs w:val="36"/>
    </w:rPr>
  </w:style>
  <w:style w:type="character" w:customStyle="1" w:styleId="20">
    <w:name w:val="标题 4 字符"/>
    <w:basedOn w:val="16"/>
    <w:link w:val="6"/>
    <w:semiHidden/>
    <w:qFormat/>
    <w:uiPriority w:val="9"/>
    <w:rPr>
      <w:rFonts w:ascii="Times New Roman" w:hAnsi="Times New Roman" w:eastAsia="仿宋_GB2312" w:cstheme="majorBidi"/>
      <w:sz w:val="28"/>
      <w:szCs w:val="28"/>
    </w:rPr>
  </w:style>
  <w:style w:type="character" w:customStyle="1" w:styleId="21">
    <w:name w:val="标题 3 字符"/>
    <w:basedOn w:val="16"/>
    <w:link w:val="5"/>
    <w:qFormat/>
    <w:uiPriority w:val="9"/>
    <w:rPr>
      <w:rFonts w:eastAsia="仿宋_GB2312"/>
      <w:sz w:val="24"/>
    </w:rPr>
  </w:style>
  <w:style w:type="character" w:customStyle="1" w:styleId="22">
    <w:name w:val="标题 字符"/>
    <w:basedOn w:val="16"/>
    <w:link w:val="13"/>
    <w:qFormat/>
    <w:uiPriority w:val="0"/>
    <w:rPr>
      <w:rFonts w:eastAsia="方正小标宋简体" w:asciiTheme="majorHAnsi" w:hAnsiTheme="majorHAnsi" w:cstheme="majorBidi"/>
      <w:b/>
      <w:bCs/>
      <w:sz w:val="32"/>
      <w:szCs w:val="32"/>
    </w:rPr>
  </w:style>
  <w:style w:type="character" w:customStyle="1" w:styleId="23">
    <w:name w:val="标题 5 字符"/>
    <w:basedOn w:val="16"/>
    <w:link w:val="7"/>
    <w:semiHidden/>
    <w:qFormat/>
    <w:uiPriority w:val="9"/>
    <w:rPr>
      <w:rFonts w:cstheme="majorBidi"/>
      <w:color w:val="104862" w:themeColor="accent1" w:themeShade="BF"/>
      <w:sz w:val="24"/>
      <w14:ligatures w14:val="none"/>
    </w:rPr>
  </w:style>
  <w:style w:type="character" w:customStyle="1" w:styleId="24">
    <w:name w:val="标题 6 字符"/>
    <w:basedOn w:val="16"/>
    <w:link w:val="8"/>
    <w:semiHidden/>
    <w:qFormat/>
    <w:uiPriority w:val="9"/>
    <w:rPr>
      <w:rFonts w:cstheme="majorBidi"/>
      <w:b/>
      <w:bCs/>
      <w:color w:val="104862" w:themeColor="accent1" w:themeShade="BF"/>
      <w:sz w:val="24"/>
      <w14:ligatures w14:val="none"/>
    </w:rPr>
  </w:style>
  <w:style w:type="character" w:customStyle="1" w:styleId="25">
    <w:name w:val="标题 7 字符"/>
    <w:basedOn w:val="16"/>
    <w:link w:val="9"/>
    <w:semiHidden/>
    <w:qFormat/>
    <w:uiPriority w:val="9"/>
    <w:rPr>
      <w:rFonts w:cstheme="majorBidi"/>
      <w:b/>
      <w:bCs/>
      <w:color w:val="595959" w:themeColor="text1" w:themeTint="A6"/>
      <w:sz w:val="24"/>
      <w14:textFill>
        <w14:solidFill>
          <w14:schemeClr w14:val="tx1">
            <w14:lumMod w14:val="65000"/>
            <w14:lumOff w14:val="35000"/>
          </w14:schemeClr>
        </w14:solidFill>
      </w14:textFill>
      <w14:ligatures w14:val="none"/>
    </w:rPr>
  </w:style>
  <w:style w:type="character" w:customStyle="1" w:styleId="26">
    <w:name w:val="标题 8 字符"/>
    <w:basedOn w:val="16"/>
    <w:link w:val="10"/>
    <w:semiHidden/>
    <w:qFormat/>
    <w:uiPriority w:val="9"/>
    <w:rPr>
      <w:rFonts w:cstheme="majorBidi"/>
      <w:color w:val="595959" w:themeColor="text1" w:themeTint="A6"/>
      <w:sz w:val="24"/>
      <w14:textFill>
        <w14:solidFill>
          <w14:schemeClr w14:val="tx1">
            <w14:lumMod w14:val="65000"/>
            <w14:lumOff w14:val="35000"/>
          </w14:schemeClr>
        </w14:solidFill>
      </w14:textFill>
      <w14:ligatures w14:val="none"/>
    </w:rPr>
  </w:style>
  <w:style w:type="character" w:customStyle="1" w:styleId="27">
    <w:name w:val="标题 9 字符"/>
    <w:basedOn w:val="16"/>
    <w:link w:val="11"/>
    <w:semiHidden/>
    <w:qFormat/>
    <w:uiPriority w:val="9"/>
    <w:rPr>
      <w:rFonts w:eastAsiaTheme="majorEastAsia" w:cstheme="majorBidi"/>
      <w:color w:val="595959" w:themeColor="text1" w:themeTint="A6"/>
      <w:sz w:val="24"/>
      <w14:textFill>
        <w14:solidFill>
          <w14:schemeClr w14:val="tx1">
            <w14:lumMod w14:val="65000"/>
            <w14:lumOff w14:val="35000"/>
          </w14:schemeClr>
        </w14:solidFill>
      </w14:textFill>
      <w14:ligatures w14:val="none"/>
    </w:rPr>
  </w:style>
  <w:style w:type="character" w:customStyle="1" w:styleId="28">
    <w:name w:val="副标题 字符"/>
    <w:basedOn w:val="16"/>
    <w:link w:val="12"/>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none"/>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6"/>
    <w:link w:val="29"/>
    <w:qFormat/>
    <w:uiPriority w:val="29"/>
    <w:rPr>
      <w:rFonts w:ascii="Times New Roman" w:hAnsi="Times New Roman" w:eastAsia="仿宋_GB2312"/>
      <w:i/>
      <w:iCs/>
      <w:color w:val="404040" w:themeColor="text1" w:themeTint="BF"/>
      <w:sz w:val="24"/>
      <w14:textFill>
        <w14:solidFill>
          <w14:schemeClr w14:val="tx1">
            <w14:lumMod w14:val="75000"/>
            <w14:lumOff w14:val="25000"/>
          </w14:schemeClr>
        </w14:solidFill>
      </w14:textFill>
      <w14:ligatures w14:val="none"/>
    </w:rPr>
  </w:style>
  <w:style w:type="paragraph" w:styleId="31">
    <w:name w:val="List Paragraph"/>
    <w:basedOn w:val="1"/>
    <w:qFormat/>
    <w:uiPriority w:val="34"/>
    <w:pPr>
      <w:ind w:left="720"/>
      <w:contextualSpacing/>
    </w:pPr>
  </w:style>
  <w:style w:type="character" w:customStyle="1" w:styleId="32">
    <w:name w:val="Intense Emphasis"/>
    <w:basedOn w:val="16"/>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6"/>
    <w:link w:val="33"/>
    <w:qFormat/>
    <w:uiPriority w:val="30"/>
    <w:rPr>
      <w:rFonts w:ascii="Times New Roman" w:hAnsi="Times New Roman" w:eastAsia="仿宋_GB2312"/>
      <w:i/>
      <w:iCs/>
      <w:color w:val="104862" w:themeColor="accent1" w:themeShade="BF"/>
      <w:sz w:val="24"/>
      <w14:ligatures w14:val="none"/>
    </w:rPr>
  </w:style>
  <w:style w:type="character" w:customStyle="1" w:styleId="35">
    <w:name w:val="Intense Reference"/>
    <w:basedOn w:val="16"/>
    <w:qFormat/>
    <w:uiPriority w:val="32"/>
    <w:rPr>
      <w:b/>
      <w:bCs/>
      <w:smallCaps/>
      <w:color w:val="104862" w:themeColor="accent1" w:themeShade="BF"/>
      <w:spacing w:val="5"/>
    </w:rPr>
  </w:style>
  <w:style w:type="character" w:customStyle="1" w:styleId="36">
    <w:name w:val="正文文本 字符"/>
    <w:basedOn w:val="16"/>
    <w:link w:val="2"/>
    <w:qFormat/>
    <w:uiPriority w:val="0"/>
    <w:rPr>
      <w:rFonts w:ascii="Times New Roman" w:hAnsi="Times New Roman"/>
      <w:kern w:val="0"/>
      <w:sz w:val="20"/>
      <w:lang w:val="zh-CN"/>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30</Pages>
  <Words>16762</Words>
  <Characters>16896</Characters>
  <Lines>222</Lines>
  <Paragraphs>143</Paragraphs>
  <TotalTime>267</TotalTime>
  <ScaleCrop>false</ScaleCrop>
  <LinksUpToDate>false</LinksUpToDate>
  <CharactersWithSpaces>16922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2026-09-07T07:34:00Z</dcterms:created>
  <dc:creator>. 欲见</dc:creator>
  <cp:lastModifiedBy>XXK-WX</cp:lastModifiedBy>
  <dcterms:modified xsi:type="dcterms:W3CDTF">2026-10-10T05:48:03Z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eyJoZGlkIjoiMzZhN2QyYzQ0Yzk5YmQ2NWEzMTY0MDhkYWJhNDQ2YzIiLCJ1c2VySWQiOiIyNjA1NTQ3NzkifQ==</vt:lpwstr>
  </property>
  <property fmtid="{D5CDD505-2E9C-101B-9397-08002B2CF9AE}" pid="3" name="KSOProductBuildVer">
    <vt:lpwstr>2052-12.1.0.28488</vt:lpwstr>
  </property>
  <property fmtid="{D5CDD505-2E9C-101B-9397-08002B2CF9AE}" pid="4" name="ICV">
    <vt:lpwstr>AE0AEC67469D4F778094BED8D2ABDF7E_13</vt:lpwstr>
  </property>
</Properties>
</file>