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仿宋_GB2312"/>
          <w:lang w:eastAsia="zh-CN"/>
        </w:rPr>
      </w:pPr>
      <w:r>
        <w:rPr>
          <w:rFonts w:ascii="仿宋_GB2312" w:hAnsi="仿宋_GB2312" w:eastAsia="仿宋_GB2312"/>
          <w:b/>
          <w:color w:val="000000"/>
          <w:sz w:val="44"/>
        </w:rPr>
        <w:t>柳州市工人医院采购提升医疗健康信息化工程建设项目相关系统接口</w:t>
      </w:r>
      <w:bookmarkStart w:id="2" w:name="_GoBack"/>
      <w:bookmarkEnd w:id="2"/>
      <w:r>
        <w:rPr>
          <w:rFonts w:ascii="仿宋_GB2312" w:hAnsi="仿宋_GB2312" w:eastAsia="仿宋_GB2312"/>
          <w:b/>
          <w:color w:val="000000"/>
          <w:sz w:val="44"/>
        </w:rPr>
        <w:t>的技术参数</w:t>
      </w:r>
      <w:r>
        <w:rPr>
          <w:rFonts w:hint="eastAsia" w:ascii="仿宋_GB2312" w:hAnsi="仿宋_GB2312" w:eastAsia="仿宋_GB2312"/>
          <w:b/>
          <w:color w:val="FF0000"/>
          <w:sz w:val="44"/>
          <w:lang w:eastAsia="zh-CN"/>
        </w:rPr>
        <w:t>要求</w:t>
      </w:r>
    </w:p>
    <w:p>
      <w:r>
        <w:rPr>
          <w:rFonts w:ascii="仿宋_GB2312" w:hAnsi="仿宋_GB2312" w:eastAsia="仿宋_GB2312"/>
          <w:b/>
          <w:color w:val="000000"/>
          <w:sz w:val="28"/>
        </w:rPr>
        <w:t>一、项目背景与目的</w:t>
      </w:r>
    </w:p>
    <w:p>
      <w:pPr>
        <w:ind w:firstLine="560"/>
      </w:pPr>
      <w:r>
        <w:rPr>
          <w:rFonts w:ascii="仿宋_GB2312" w:hAnsi="仿宋_GB2312" w:eastAsia="仿宋_GB2312"/>
          <w:b w:val="0"/>
          <w:color w:val="000000"/>
          <w:sz w:val="28"/>
        </w:rPr>
        <w:t>根据柳州市卫生健康委统筹规划，2023年自治区财政支持公立医院高质量发展和深化医药卫生体制改革示范项目建设奖补结余资金调整用于提升医疗健康信息化工程建设项目，柳州市财政局以柳财预〔2026〕485号文下达我院资金，专项用于HIS/EMR系统接入柳州市全民健康信息平台。目前我院正在实施信息化基础</w:t>
      </w:r>
      <w:r>
        <w:rPr>
          <w:rFonts w:hint="eastAsia" w:ascii="仿宋_GB2312" w:hAnsi="仿宋_GB2312" w:eastAsia="仿宋_GB2312"/>
          <w:b w:val="0"/>
          <w:color w:val="FF0000"/>
          <w:sz w:val="28"/>
          <w:lang w:eastAsia="zh-CN"/>
        </w:rPr>
        <w:t>业务</w:t>
      </w:r>
      <w:r>
        <w:rPr>
          <w:rFonts w:ascii="仿宋_GB2312" w:hAnsi="仿宋_GB2312" w:eastAsia="仿宋_GB2312"/>
          <w:b w:val="0"/>
          <w:color w:val="000000"/>
          <w:sz w:val="28"/>
        </w:rPr>
        <w:t>系统升级改造</w:t>
      </w:r>
      <w:r>
        <w:rPr>
          <w:rFonts w:ascii="仿宋_GB2312" w:hAnsi="仿宋_GB2312" w:eastAsia="仿宋_GB2312"/>
          <w:b w:val="0"/>
          <w:color w:val="FF0000"/>
          <w:sz w:val="28"/>
        </w:rPr>
        <w:t>，将智业</w:t>
      </w:r>
      <w:r>
        <w:rPr>
          <w:rFonts w:hint="eastAsia" w:ascii="仿宋_GB2312" w:hAnsi="仿宋_GB2312" w:eastAsia="仿宋_GB2312"/>
          <w:b w:val="0"/>
          <w:color w:val="FF0000"/>
          <w:sz w:val="28"/>
          <w:lang w:eastAsia="zh-CN"/>
        </w:rPr>
        <w:t>医院信息管理系统</w:t>
      </w:r>
      <w:r>
        <w:rPr>
          <w:rFonts w:ascii="仿宋_GB2312" w:hAnsi="仿宋_GB2312" w:eastAsia="仿宋_GB2312"/>
          <w:b w:val="0"/>
          <w:color w:val="FF0000"/>
          <w:sz w:val="28"/>
        </w:rPr>
        <w:t>4.0</w:t>
      </w:r>
      <w:r>
        <w:rPr>
          <w:rFonts w:hint="eastAsia" w:ascii="仿宋_GB2312" w:hAnsi="仿宋_GB2312" w:eastAsia="仿宋_GB2312"/>
          <w:b w:val="0"/>
          <w:color w:val="FF0000"/>
          <w:sz w:val="28"/>
          <w:lang w:eastAsia="zh-CN"/>
        </w:rPr>
        <w:t>版本</w:t>
      </w:r>
      <w:r>
        <w:rPr>
          <w:rFonts w:ascii="仿宋_GB2312" w:hAnsi="仿宋_GB2312" w:eastAsia="仿宋_GB2312"/>
          <w:b w:val="0"/>
          <w:color w:val="FF0000"/>
          <w:sz w:val="28"/>
        </w:rPr>
        <w:t>升级至智业</w:t>
      </w:r>
      <w:r>
        <w:rPr>
          <w:rFonts w:hint="eastAsia" w:ascii="仿宋_GB2312" w:hAnsi="仿宋_GB2312" w:eastAsia="仿宋_GB2312"/>
          <w:b w:val="0"/>
          <w:color w:val="FF0000"/>
          <w:sz w:val="28"/>
        </w:rPr>
        <w:t>一体化智慧医院信息系统</w:t>
      </w:r>
      <w:r>
        <w:rPr>
          <w:rFonts w:hint="eastAsia" w:ascii="仿宋_GB2312" w:hAnsi="仿宋_GB2312" w:eastAsia="仿宋_GB2312"/>
          <w:b w:val="0"/>
          <w:color w:val="FF0000"/>
          <w:sz w:val="28"/>
          <w:lang w:val="en-US" w:eastAsia="zh-CN"/>
        </w:rPr>
        <w:t>6.0版本</w:t>
      </w:r>
      <w:r>
        <w:rPr>
          <w:rFonts w:hint="eastAsia" w:ascii="仿宋_GB2312" w:hAnsi="仿宋_GB2312" w:eastAsia="仿宋_GB2312"/>
          <w:b w:val="0"/>
          <w:color w:val="FF0000"/>
          <w:sz w:val="28"/>
          <w:lang w:eastAsia="zh-CN"/>
        </w:rPr>
        <w:t>（</w:t>
      </w:r>
      <w:r>
        <w:rPr>
          <w:rFonts w:hint="eastAsia" w:ascii="仿宋_GB2312" w:hAnsi="仿宋_GB2312" w:eastAsia="仿宋_GB2312"/>
          <w:b w:val="0"/>
          <w:color w:val="FF0000"/>
          <w:sz w:val="28"/>
        </w:rPr>
        <w:t>ONE-LINK</w:t>
      </w:r>
      <w:r>
        <w:rPr>
          <w:rFonts w:hint="eastAsia" w:ascii="仿宋_GB2312" w:hAnsi="仿宋_GB2312" w:eastAsia="仿宋_GB2312"/>
          <w:b w:val="0"/>
          <w:color w:val="FF0000"/>
          <w:sz w:val="28"/>
          <w:lang w:eastAsia="zh-CN"/>
        </w:rPr>
        <w:t>）</w:t>
      </w:r>
      <w:r>
        <w:rPr>
          <w:rFonts w:ascii="仿宋_GB2312" w:hAnsi="仿宋_GB2312" w:eastAsia="仿宋_GB2312"/>
          <w:b w:val="0"/>
          <w:color w:val="000000"/>
          <w:sz w:val="28"/>
        </w:rPr>
        <w:t>，相关第三方业务系统需同步进行接口适配改造，以确保</w:t>
      </w:r>
      <w:r>
        <w:rPr>
          <w:rFonts w:ascii="仿宋_GB2312" w:hAnsi="仿宋_GB2312" w:eastAsia="仿宋_GB2312"/>
          <w:b w:val="0"/>
          <w:color w:val="FF0000"/>
          <w:sz w:val="28"/>
        </w:rPr>
        <w:t>智业</w:t>
      </w:r>
      <w:r>
        <w:rPr>
          <w:rFonts w:hint="eastAsia" w:ascii="仿宋_GB2312" w:hAnsi="仿宋_GB2312" w:eastAsia="仿宋_GB2312"/>
          <w:b w:val="0"/>
          <w:color w:val="FF0000"/>
          <w:sz w:val="28"/>
        </w:rPr>
        <w:t>一体化智慧医院信息系统</w:t>
      </w:r>
      <w:r>
        <w:rPr>
          <w:rFonts w:ascii="仿宋_GB2312" w:hAnsi="仿宋_GB2312" w:eastAsia="仿宋_GB2312"/>
          <w:b w:val="0"/>
          <w:color w:val="000000"/>
          <w:sz w:val="28"/>
        </w:rPr>
        <w:t>与柳州市全民健康信息平台顺利对接</w:t>
      </w:r>
      <w:r>
        <w:rPr>
          <w:rFonts w:hint="eastAsia" w:ascii="仿宋_GB2312" w:hAnsi="仿宋_GB2312" w:eastAsia="仿宋_GB2312"/>
          <w:b w:val="0"/>
          <w:color w:val="000000"/>
          <w:sz w:val="28"/>
          <w:lang w:eastAsia="zh-CN"/>
        </w:rPr>
        <w:t>、</w:t>
      </w:r>
      <w:r>
        <w:rPr>
          <w:rFonts w:ascii="仿宋_GB2312" w:hAnsi="仿宋_GB2312" w:eastAsia="仿宋_GB2312"/>
          <w:b w:val="0"/>
          <w:color w:val="000000"/>
          <w:sz w:val="28"/>
        </w:rPr>
        <w:t>数据完整。</w:t>
      </w:r>
    </w:p>
    <w:p>
      <w:pPr>
        <w:ind w:firstLine="560"/>
      </w:pPr>
      <w:r>
        <w:rPr>
          <w:rFonts w:ascii="仿宋_GB2312" w:hAnsi="仿宋_GB2312" w:eastAsia="仿宋_GB2312"/>
          <w:b w:val="0"/>
          <w:color w:val="000000"/>
          <w:sz w:val="28"/>
        </w:rPr>
        <w:t>经梳理，需进行接口适配改造的第三方系统共9项，包括心电信息管理系统、血液透析信息管理系统、统一预约管理系统、电子票据管理系统、临床决策支持系统、医院感染实时监控系统、生命体征采集系统、体检软件系统及柳州市基层云PACS与柳州市工人医院PACS系统</w:t>
      </w:r>
      <w:r>
        <w:rPr>
          <w:rFonts w:hint="eastAsia" w:ascii="仿宋_GB2312" w:hAnsi="仿宋_GB2312" w:eastAsia="仿宋_GB2312"/>
          <w:b w:val="0"/>
          <w:color w:val="FF0000"/>
          <w:sz w:val="28"/>
          <w:lang w:eastAsia="zh-CN"/>
        </w:rPr>
        <w:t>接口</w:t>
      </w:r>
      <w:r>
        <w:rPr>
          <w:rFonts w:ascii="仿宋_GB2312" w:hAnsi="仿宋_GB2312" w:eastAsia="仿宋_GB2312"/>
          <w:b w:val="0"/>
          <w:color w:val="000000"/>
          <w:sz w:val="28"/>
        </w:rPr>
        <w:t>。通过本次接口适配服务采购，确保各业务系统与</w:t>
      </w:r>
      <w:r>
        <w:rPr>
          <w:rFonts w:hint="eastAsia" w:ascii="仿宋_GB2312" w:hAnsi="仿宋_GB2312" w:eastAsia="仿宋_GB2312"/>
          <w:b w:val="0"/>
          <w:color w:val="000000"/>
          <w:sz w:val="28"/>
          <w:lang w:eastAsia="zh-CN"/>
        </w:rPr>
        <w:t>智业一体化智慧医院信息系统</w:t>
      </w:r>
      <w:r>
        <w:rPr>
          <w:rFonts w:ascii="仿宋_GB2312" w:hAnsi="仿宋_GB2312" w:eastAsia="仿宋_GB2312"/>
          <w:b w:val="0"/>
          <w:color w:val="000000"/>
          <w:sz w:val="28"/>
        </w:rPr>
        <w:t>及全民健康信息平台互联互通。</w:t>
      </w:r>
    </w:p>
    <w:p>
      <w:r>
        <w:rPr>
          <w:rFonts w:ascii="仿宋_GB2312" w:hAnsi="仿宋_GB2312" w:eastAsia="仿宋_GB2312"/>
          <w:b/>
          <w:color w:val="000000"/>
          <w:sz w:val="28"/>
        </w:rPr>
        <w:t>二、项目建设内容及要求</w:t>
      </w:r>
    </w:p>
    <w:p>
      <w:pPr>
        <w:ind w:firstLine="560"/>
      </w:pPr>
      <w:r>
        <w:rPr>
          <w:rFonts w:ascii="仿宋_GB2312" w:hAnsi="仿宋_GB2312" w:eastAsia="仿宋_GB2312"/>
          <w:b w:val="0"/>
          <w:color w:val="000000"/>
          <w:sz w:val="28"/>
        </w:rPr>
        <w:t>本项目旨在通过标准化接口适配改造与系统集成对接，打通上述9项第三方业务系统与</w:t>
      </w:r>
      <w:r>
        <w:rPr>
          <w:rFonts w:hint="eastAsia" w:ascii="仿宋_GB2312" w:hAnsi="仿宋_GB2312" w:eastAsia="仿宋_GB2312"/>
          <w:b w:val="0"/>
          <w:color w:val="000000"/>
          <w:sz w:val="28"/>
          <w:lang w:eastAsia="zh-CN"/>
        </w:rPr>
        <w:t>智业一体化智慧医院信息系统</w:t>
      </w:r>
      <w:r>
        <w:rPr>
          <w:rFonts w:ascii="仿宋_GB2312" w:hAnsi="仿宋_GB2312" w:eastAsia="仿宋_GB2312"/>
          <w:b w:val="0"/>
          <w:color w:val="000000"/>
          <w:sz w:val="28"/>
        </w:rPr>
        <w:t>（智业医院信息集成平台）之间的数据壁垒，实现各业务系统与新HIS/EMR系统数据双向实时同步、数据标准统一、业务流程闭环管理，保障医院信息化基础系统升级改造顺利完成，并与柳州市全民健康信息平台顺利对接。</w:t>
      </w:r>
    </w:p>
    <w:p>
      <w:pPr>
        <w:ind w:firstLine="560"/>
      </w:pPr>
      <w:r>
        <w:rPr>
          <w:rFonts w:ascii="仿宋_GB2312" w:hAnsi="仿宋_GB2312" w:eastAsia="仿宋_GB2312"/>
          <w:b w:val="0"/>
          <w:color w:val="000000"/>
          <w:sz w:val="28"/>
        </w:rPr>
        <w:t>总体技术要求如下：</w:t>
      </w:r>
    </w:p>
    <w:p>
      <w:pPr>
        <w:ind w:firstLine="560"/>
      </w:pPr>
      <w:r>
        <w:rPr>
          <w:rFonts w:ascii="仿宋_GB2312" w:hAnsi="仿宋_GB2312" w:eastAsia="仿宋_GB2312"/>
          <w:b w:val="0"/>
          <w:color w:val="000000"/>
          <w:sz w:val="28"/>
        </w:rPr>
        <w:t>（一）接口规范要求：各系统接口适配须遵循智业医院信息集成平台统一接口规范，通过集成平台统一入口（CallInterface）进行业务交互，支持WebService调用方式，报文采用标准XML格式，涉及国家标准交互服务的须符合HL7 V3消息规范；接口调用须传入集成平台分配的凭证号进行安全校验。</w:t>
      </w:r>
    </w:p>
    <w:p>
      <w:pPr>
        <w:ind w:firstLine="560"/>
      </w:pPr>
      <w:r>
        <w:rPr>
          <w:rFonts w:ascii="仿宋_GB2312" w:hAnsi="仿宋_GB2312" w:eastAsia="仿宋_GB2312"/>
          <w:b w:val="0"/>
          <w:color w:val="000000"/>
          <w:sz w:val="28"/>
        </w:rPr>
        <w:t>（二）单点登录要求：除柳州市基层云PACS与柳州市工人医院PACS接口适配外，各业务系统须按ONE-LINK单点登录接口规范完成改造，接入医院统一门户，B/S架构系统须提供支持拼接参数的访问地址，C/S架构系统须支持带参数命令行启动，通过集成平台令牌验证服务完成统一身份认证，实现一次登录、多系统通行。</w:t>
      </w:r>
    </w:p>
    <w:p>
      <w:pPr>
        <w:ind w:firstLine="560"/>
      </w:pPr>
      <w:r>
        <w:rPr>
          <w:rFonts w:ascii="仿宋_GB2312" w:hAnsi="仿宋_GB2312" w:eastAsia="仿宋_GB2312"/>
          <w:b w:val="0"/>
          <w:color w:val="000000"/>
          <w:sz w:val="28"/>
        </w:rPr>
        <w:t>（三）电子签章要求：除柳州市基层云PACS与柳州市工人医院PACS接口适配外，各业务系统须适配院内新版CA数字证书（电子签章）规范，实现诊疗文书合法合规电子签署与验签，签署行为全程日志留痕、可溯源可审计。</w:t>
      </w:r>
    </w:p>
    <w:p>
      <w:pPr>
        <w:ind w:firstLine="560"/>
      </w:pPr>
      <w:r>
        <w:rPr>
          <w:rFonts w:ascii="仿宋_GB2312" w:hAnsi="仿宋_GB2312" w:eastAsia="仿宋_GB2312"/>
          <w:b w:val="0"/>
          <w:color w:val="000000"/>
          <w:sz w:val="28"/>
        </w:rPr>
        <w:t>（四）数据安全要求：接口交互全过程须保障患者隐私与数据安全，具备完善的容错处理机制（异常捕获、超时判定、全局调用开关等），业务系统不因接口异常影响正常业务运行；接口调用日志可溯源、可审计。</w:t>
      </w:r>
    </w:p>
    <w:p>
      <w:pPr>
        <w:ind w:firstLine="560"/>
        <w:rPr>
          <w:color w:val="FF0000"/>
        </w:rPr>
      </w:pPr>
      <w:r>
        <w:rPr>
          <w:rFonts w:ascii="仿宋_GB2312" w:hAnsi="仿宋_GB2312" w:eastAsia="仿宋_GB2312"/>
          <w:b w:val="0"/>
          <w:color w:val="000000"/>
          <w:sz w:val="28"/>
        </w:rPr>
        <w:t>（五）实施保障要求：中标方须完成接口开发、测试环境联调、上线切换及上线保障工作，配合医院及智业集成平台实施人员完成联合调试，并提供相应的操作培训与文档交付</w:t>
      </w:r>
      <w:r>
        <w:rPr>
          <w:rFonts w:hint="eastAsia" w:ascii="仿宋_GB2312" w:hAnsi="仿宋_GB2312" w:eastAsia="仿宋_GB2312"/>
          <w:b w:val="0"/>
          <w:color w:val="000000"/>
          <w:sz w:val="28"/>
          <w:lang w:eastAsia="zh-CN"/>
        </w:rPr>
        <w:t>，</w:t>
      </w:r>
      <w:r>
        <w:rPr>
          <w:rFonts w:hint="eastAsia" w:ascii="仿宋_GB2312" w:hAnsi="仿宋_GB2312" w:eastAsia="仿宋_GB2312"/>
          <w:b w:val="0"/>
          <w:color w:val="000000"/>
          <w:sz w:val="28"/>
          <w:lang w:val="en-US" w:eastAsia="zh-CN"/>
        </w:rPr>
        <w:t>最后完成期限</w:t>
      </w:r>
      <w:r>
        <w:rPr>
          <w:rFonts w:hint="eastAsia" w:ascii="仿宋_GB2312" w:hAnsi="仿宋_GB2312" w:eastAsia="仿宋_GB2312"/>
          <w:b w:val="0"/>
          <w:color w:val="FF0000"/>
          <w:sz w:val="28"/>
          <w:lang w:val="en-US" w:eastAsia="zh-CN"/>
        </w:rPr>
        <w:t>2026年11月30日</w:t>
      </w:r>
      <w:r>
        <w:rPr>
          <w:rFonts w:ascii="仿宋_GB2312" w:hAnsi="仿宋_GB2312" w:eastAsia="仿宋_GB2312"/>
          <w:b w:val="0"/>
          <w:color w:val="FF0000"/>
          <w:sz w:val="28"/>
        </w:rPr>
        <w:t>。</w:t>
      </w:r>
    </w:p>
    <w:p>
      <w:r>
        <w:rPr>
          <w:rFonts w:ascii="仿宋_GB2312" w:hAnsi="仿宋_GB2312" w:eastAsia="仿宋_GB2312"/>
          <w:b/>
          <w:color w:val="000000"/>
          <w:sz w:val="28"/>
        </w:rPr>
        <w:t>三、各系统接口适配功能需求明细</w:t>
      </w:r>
    </w:p>
    <w:p>
      <w:r>
        <w:rPr>
          <w:rFonts w:ascii="仿宋_GB2312" w:hAnsi="仿宋_GB2312" w:eastAsia="仿宋_GB2312"/>
          <w:b/>
          <w:color w:val="000000"/>
          <w:sz w:val="28"/>
        </w:rPr>
        <w:t>（一）心电信息管理系统</w:t>
      </w:r>
      <w:r>
        <w:rPr>
          <w:rFonts w:hint="eastAsia" w:ascii="仿宋_GB2312" w:hAnsi="仿宋_GB2312" w:eastAsia="仿宋_GB2312"/>
          <w:b/>
          <w:color w:val="000000"/>
          <w:sz w:val="28"/>
          <w:lang w:val="en-US" w:eastAsia="zh-CN"/>
        </w:rPr>
        <w:t>/核医学信息管理系统</w:t>
      </w:r>
      <w:r>
        <w:rPr>
          <w:rFonts w:ascii="仿宋_GB2312" w:hAnsi="仿宋_GB2312" w:eastAsia="仿宋_GB2312"/>
          <w:b/>
          <w:color w:val="000000"/>
          <w:sz w:val="28"/>
        </w:rPr>
        <w:t>接口适配</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6"/>
        <w:gridCol w:w="2436"/>
        <w:gridCol w:w="2436"/>
        <w:gridCol w:w="2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color w:val="000000"/>
                <w:sz w:val="28"/>
              </w:rPr>
              <w:t>序号</w:t>
            </w:r>
          </w:p>
        </w:tc>
        <w:tc>
          <w:tcPr>
            <w:tcW w:w="851" w:type="dxa"/>
          </w:tcPr>
          <w:p>
            <w:pPr>
              <w:spacing w:after="0" w:line="240" w:lineRule="auto"/>
              <w:jc w:val="center"/>
            </w:pPr>
            <w:r>
              <w:rPr>
                <w:rFonts w:ascii="仿宋_GB2312" w:hAnsi="仿宋_GB2312" w:eastAsia="仿宋_GB2312"/>
                <w:b/>
                <w:color w:val="000000"/>
                <w:sz w:val="28"/>
              </w:rPr>
              <w:t>名称</w:t>
            </w:r>
          </w:p>
        </w:tc>
        <w:tc>
          <w:tcPr>
            <w:tcW w:w="2736" w:type="dxa"/>
          </w:tcPr>
          <w:p>
            <w:pPr>
              <w:spacing w:after="0" w:line="240" w:lineRule="auto"/>
              <w:jc w:val="center"/>
            </w:pPr>
            <w:r>
              <w:rPr>
                <w:rFonts w:ascii="仿宋_GB2312" w:hAnsi="仿宋_GB2312" w:eastAsia="仿宋_GB2312"/>
                <w:b/>
                <w:color w:val="000000"/>
                <w:sz w:val="28"/>
              </w:rPr>
              <w:t>确认功能\需求内容</w:t>
            </w:r>
          </w:p>
        </w:tc>
        <w:tc>
          <w:tcPr>
            <w:tcW w:w="5445" w:type="dxa"/>
          </w:tcPr>
          <w:p>
            <w:pPr>
              <w:spacing w:after="0" w:line="240" w:lineRule="auto"/>
              <w:jc w:val="center"/>
            </w:pPr>
            <w:r>
              <w:rPr>
                <w:rFonts w:ascii="仿宋_GB2312" w:hAnsi="仿宋_GB2312" w:eastAsia="仿宋_GB2312"/>
                <w:b/>
                <w:color w:val="000000"/>
                <w:sz w:val="28"/>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1</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基础字典同步</w:t>
            </w:r>
          </w:p>
        </w:tc>
        <w:tc>
          <w:tcPr>
            <w:tcW w:w="2736" w:type="dxa"/>
          </w:tcPr>
          <w:p>
            <w:pPr>
              <w:spacing w:after="0" w:line="240" w:lineRule="auto"/>
              <w:jc w:val="center"/>
            </w:pPr>
            <w:r>
              <w:rPr>
                <w:rFonts w:ascii="仿宋_GB2312" w:hAnsi="仿宋_GB2312" w:eastAsia="仿宋_GB2312"/>
                <w:b w:val="0"/>
                <w:color w:val="000000"/>
                <w:sz w:val="28"/>
              </w:rPr>
              <w:t>科室信息同步</w:t>
            </w:r>
          </w:p>
        </w:tc>
        <w:tc>
          <w:tcPr>
            <w:tcW w:w="5445" w:type="dxa"/>
          </w:tcPr>
          <w:p>
            <w:pPr>
              <w:spacing w:after="0" w:line="240" w:lineRule="auto"/>
              <w:jc w:val="left"/>
            </w:pPr>
            <w:r>
              <w:rPr>
                <w:rFonts w:ascii="仿宋_GB2312" w:hAnsi="仿宋_GB2312" w:eastAsia="仿宋_GB2312"/>
                <w:b w:val="0"/>
                <w:color w:val="000000"/>
                <w:sz w:val="28"/>
              </w:rPr>
              <w:t>适配集成平台医疗卫生机构（科室）信息注册、更新服务（HL7V3），实时同步院内科室基础信息及状态变更，匹配院内统一数据字典与编码规则。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人员信息同步</w:t>
            </w:r>
          </w:p>
        </w:tc>
        <w:tc>
          <w:tcPr>
            <w:tcW w:w="5445" w:type="dxa"/>
          </w:tcPr>
          <w:p>
            <w:pPr>
              <w:spacing w:after="0" w:line="240" w:lineRule="auto"/>
              <w:jc w:val="left"/>
            </w:pPr>
            <w:r>
              <w:rPr>
                <w:rFonts w:ascii="仿宋_GB2312" w:hAnsi="仿宋_GB2312" w:eastAsia="仿宋_GB2312"/>
                <w:b w:val="0"/>
                <w:color w:val="000000"/>
                <w:sz w:val="28"/>
              </w:rPr>
              <w:t>适配医疗卫生人员信息注册、更新服务（HL7V3），同步医护人员基础信息及变更，保障心电系统开单、报告人员信息准确一致。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病区及诊疗项目同步</w:t>
            </w:r>
          </w:p>
        </w:tc>
        <w:tc>
          <w:tcPr>
            <w:tcW w:w="5445" w:type="dxa"/>
          </w:tcPr>
          <w:p>
            <w:pPr>
              <w:spacing w:after="0" w:line="240" w:lineRule="auto"/>
              <w:jc w:val="left"/>
            </w:pPr>
            <w:r>
              <w:rPr>
                <w:rFonts w:ascii="仿宋_GB2312" w:hAnsi="仿宋_GB2312" w:eastAsia="仿宋_GB2312"/>
                <w:b w:val="0"/>
                <w:color w:val="000000"/>
                <w:sz w:val="28"/>
              </w:rPr>
              <w:t>适配获取病区字典（XML）、诊疗项目新增（XML）接口，实现病区信息、心电检查诊疗项目与HIS系统同步维护。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2</w:t>
            </w:r>
          </w:p>
        </w:tc>
        <w:tc>
          <w:tcPr>
            <w:tcW w:w="851" w:type="dxa"/>
          </w:tcPr>
          <w:p>
            <w:pPr>
              <w:spacing w:after="0" w:line="240" w:lineRule="auto"/>
              <w:jc w:val="center"/>
            </w:pPr>
            <w:r>
              <w:rPr>
                <w:rFonts w:ascii="仿宋_GB2312" w:hAnsi="仿宋_GB2312" w:eastAsia="仿宋_GB2312"/>
                <w:b w:val="0"/>
                <w:color w:val="000000"/>
                <w:sz w:val="28"/>
              </w:rPr>
              <w:t>患者信息对接</w:t>
            </w:r>
          </w:p>
        </w:tc>
        <w:tc>
          <w:tcPr>
            <w:tcW w:w="2736" w:type="dxa"/>
          </w:tcPr>
          <w:p>
            <w:pPr>
              <w:spacing w:after="0" w:line="240" w:lineRule="auto"/>
              <w:jc w:val="center"/>
            </w:pPr>
            <w:r>
              <w:rPr>
                <w:rFonts w:ascii="仿宋_GB2312" w:hAnsi="仿宋_GB2312" w:eastAsia="仿宋_GB2312"/>
                <w:b w:val="0"/>
                <w:color w:val="000000"/>
                <w:sz w:val="28"/>
              </w:rPr>
              <w:t>个人信息查询服务</w:t>
            </w:r>
          </w:p>
        </w:tc>
        <w:tc>
          <w:tcPr>
            <w:tcW w:w="5445" w:type="dxa"/>
          </w:tcPr>
          <w:p>
            <w:pPr>
              <w:spacing w:after="0" w:line="240" w:lineRule="auto"/>
              <w:jc w:val="left"/>
            </w:pPr>
            <w:r>
              <w:rPr>
                <w:rFonts w:ascii="仿宋_GB2312" w:hAnsi="仿宋_GB2312" w:eastAsia="仿宋_GB2312"/>
                <w:b w:val="0"/>
                <w:color w:val="000000"/>
                <w:sz w:val="28"/>
              </w:rPr>
              <w:t>适配个人信息查询服务（HL7V3），支持心电系统实时查询患者基本信息，保障受检者身份准确。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3</w:t>
            </w:r>
          </w:p>
        </w:tc>
        <w:tc>
          <w:tcPr>
            <w:tcW w:w="851" w:type="dxa"/>
          </w:tcPr>
          <w:p>
            <w:pPr>
              <w:spacing w:after="0" w:line="240" w:lineRule="auto"/>
              <w:jc w:val="center"/>
            </w:pPr>
            <w:r>
              <w:rPr>
                <w:rFonts w:ascii="仿宋_GB2312" w:hAnsi="仿宋_GB2312" w:eastAsia="仿宋_GB2312"/>
                <w:b w:val="0"/>
                <w:color w:val="000000"/>
                <w:sz w:val="28"/>
              </w:rPr>
              <w:t>检查申请对接</w:t>
            </w:r>
          </w:p>
        </w:tc>
        <w:tc>
          <w:tcPr>
            <w:tcW w:w="2736" w:type="dxa"/>
          </w:tcPr>
          <w:p>
            <w:pPr>
              <w:spacing w:after="0" w:line="240" w:lineRule="auto"/>
              <w:jc w:val="center"/>
            </w:pPr>
            <w:r>
              <w:rPr>
                <w:rFonts w:ascii="仿宋_GB2312" w:hAnsi="仿宋_GB2312" w:eastAsia="仿宋_GB2312"/>
                <w:b w:val="0"/>
                <w:color w:val="000000"/>
                <w:sz w:val="28"/>
              </w:rPr>
              <w:t>检查申请信息交互</w:t>
            </w:r>
          </w:p>
        </w:tc>
        <w:tc>
          <w:tcPr>
            <w:tcW w:w="5445" w:type="dxa"/>
          </w:tcPr>
          <w:p>
            <w:pPr>
              <w:spacing w:after="0" w:line="240" w:lineRule="auto"/>
              <w:jc w:val="left"/>
            </w:pPr>
            <w:r>
              <w:rPr>
                <w:rFonts w:ascii="仿宋_GB2312" w:hAnsi="仿宋_GB2312" w:eastAsia="仿宋_GB2312"/>
                <w:b w:val="0"/>
                <w:color w:val="000000"/>
                <w:sz w:val="28"/>
              </w:rPr>
              <w:t>适配检查申请信息新增、更新服务（HL7V3），实时接收HIS系统心电检查申请单开立、变更、作废信息，实现申请闭环管理。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4</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报告及状态回传</w:t>
            </w:r>
          </w:p>
        </w:tc>
        <w:tc>
          <w:tcPr>
            <w:tcW w:w="2736" w:type="dxa"/>
          </w:tcPr>
          <w:p>
            <w:pPr>
              <w:spacing w:after="0" w:line="240" w:lineRule="auto"/>
              <w:jc w:val="center"/>
            </w:pPr>
            <w:r>
              <w:rPr>
                <w:rFonts w:ascii="仿宋_GB2312" w:hAnsi="仿宋_GB2312" w:eastAsia="仿宋_GB2312"/>
                <w:b w:val="0"/>
                <w:color w:val="000000"/>
                <w:sz w:val="28"/>
              </w:rPr>
              <w:t>心电报告回传</w:t>
            </w:r>
          </w:p>
        </w:tc>
        <w:tc>
          <w:tcPr>
            <w:tcW w:w="5445" w:type="dxa"/>
          </w:tcPr>
          <w:p>
            <w:pPr>
              <w:spacing w:after="0" w:line="240" w:lineRule="auto"/>
              <w:jc w:val="left"/>
            </w:pPr>
            <w:r>
              <w:rPr>
                <w:rFonts w:ascii="仿宋_GB2312" w:hAnsi="仿宋_GB2312" w:eastAsia="仿宋_GB2312"/>
                <w:b w:val="0"/>
                <w:color w:val="000000"/>
                <w:sz w:val="28"/>
              </w:rPr>
              <w:t>适配检查报告上传存储中心（XML）、发送心电报告（XML）接口，报告审核后自动上传报告存储中心并将报告数据推送至集成平台，供临床调阅。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检查状态信息更新</w:t>
            </w:r>
          </w:p>
        </w:tc>
        <w:tc>
          <w:tcPr>
            <w:tcW w:w="5445" w:type="dxa"/>
          </w:tcPr>
          <w:p>
            <w:pPr>
              <w:spacing w:after="0" w:line="240" w:lineRule="auto"/>
              <w:jc w:val="left"/>
            </w:pPr>
            <w:r>
              <w:rPr>
                <w:rFonts w:ascii="仿宋_GB2312" w:hAnsi="仿宋_GB2312" w:eastAsia="仿宋_GB2312"/>
                <w:b w:val="0"/>
                <w:color w:val="000000"/>
                <w:sz w:val="28"/>
              </w:rPr>
              <w:t>适配检查状态信息更新服务（HL7V3），实时回传登记、检查、报告等状态，实现检查流程状态全程可跟踪。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5</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心电危急值管理</w:t>
            </w:r>
          </w:p>
        </w:tc>
        <w:tc>
          <w:tcPr>
            <w:tcW w:w="2736" w:type="dxa"/>
          </w:tcPr>
          <w:p>
            <w:pPr>
              <w:spacing w:after="0" w:line="240" w:lineRule="auto"/>
              <w:jc w:val="center"/>
            </w:pPr>
            <w:r>
              <w:rPr>
                <w:rFonts w:ascii="仿宋_GB2312" w:hAnsi="仿宋_GB2312" w:eastAsia="仿宋_GB2312"/>
                <w:b w:val="0"/>
                <w:color w:val="000000"/>
                <w:sz w:val="28"/>
              </w:rPr>
              <w:t>心电危急值上报</w:t>
            </w:r>
          </w:p>
        </w:tc>
        <w:tc>
          <w:tcPr>
            <w:tcW w:w="5445" w:type="dxa"/>
          </w:tcPr>
          <w:p>
            <w:pPr>
              <w:spacing w:after="0" w:line="240" w:lineRule="auto"/>
              <w:jc w:val="left"/>
            </w:pPr>
            <w:r>
              <w:rPr>
                <w:rFonts w:ascii="仿宋_GB2312" w:hAnsi="仿宋_GB2312" w:eastAsia="仿宋_GB2312"/>
                <w:b w:val="0"/>
                <w:color w:val="000000"/>
                <w:sz w:val="28"/>
              </w:rPr>
              <w:t>适配发送心电危急值信息接口（XML），心电检查出现危急值时实时将危急值信息推送至集成平台，及时通知临床科室，保障危急值第一时间处置。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心电危急值反馈</w:t>
            </w:r>
          </w:p>
        </w:tc>
        <w:tc>
          <w:tcPr>
            <w:tcW w:w="5445" w:type="dxa"/>
          </w:tcPr>
          <w:p>
            <w:pPr>
              <w:spacing w:after="0" w:line="240" w:lineRule="auto"/>
              <w:jc w:val="left"/>
            </w:pPr>
            <w:r>
              <w:rPr>
                <w:rFonts w:ascii="仿宋_GB2312" w:hAnsi="仿宋_GB2312" w:eastAsia="仿宋_GB2312"/>
                <w:b w:val="0"/>
                <w:color w:val="000000"/>
                <w:sz w:val="28"/>
              </w:rPr>
              <w:t>适配反馈心电危急值接口（XML），接收临床危急值接收、处置结果反馈，实现危急值上报、接收、处置、反馈全流程闭环管理，反馈记录全程留痕、可追溯。</w:t>
            </w:r>
          </w:p>
        </w:tc>
      </w:tr>
    </w:tbl>
    <w:p>
      <w:r>
        <w:rPr>
          <w:rFonts w:ascii="仿宋_GB2312" w:hAnsi="仿宋_GB2312" w:eastAsia="仿宋_GB2312"/>
          <w:b/>
          <w:color w:val="000000"/>
          <w:sz w:val="28"/>
        </w:rPr>
        <w:t>（二）血液透析信息管理系统接口适配</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6"/>
        <w:gridCol w:w="2436"/>
        <w:gridCol w:w="2436"/>
        <w:gridCol w:w="2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color w:val="000000"/>
                <w:sz w:val="28"/>
              </w:rPr>
              <w:t>序号</w:t>
            </w:r>
          </w:p>
        </w:tc>
        <w:tc>
          <w:tcPr>
            <w:tcW w:w="851" w:type="dxa"/>
          </w:tcPr>
          <w:p>
            <w:pPr>
              <w:spacing w:after="0" w:line="240" w:lineRule="auto"/>
              <w:jc w:val="center"/>
            </w:pPr>
            <w:r>
              <w:rPr>
                <w:rFonts w:ascii="仿宋_GB2312" w:hAnsi="仿宋_GB2312" w:eastAsia="仿宋_GB2312"/>
                <w:b/>
                <w:color w:val="000000"/>
                <w:sz w:val="28"/>
              </w:rPr>
              <w:t>名称</w:t>
            </w:r>
          </w:p>
        </w:tc>
        <w:tc>
          <w:tcPr>
            <w:tcW w:w="2736" w:type="dxa"/>
          </w:tcPr>
          <w:p>
            <w:pPr>
              <w:spacing w:after="0" w:line="240" w:lineRule="auto"/>
              <w:jc w:val="center"/>
            </w:pPr>
            <w:r>
              <w:rPr>
                <w:rFonts w:ascii="仿宋_GB2312" w:hAnsi="仿宋_GB2312" w:eastAsia="仿宋_GB2312"/>
                <w:b/>
                <w:color w:val="000000"/>
                <w:sz w:val="28"/>
              </w:rPr>
              <w:t>确认功能\需求内容</w:t>
            </w:r>
          </w:p>
        </w:tc>
        <w:tc>
          <w:tcPr>
            <w:tcW w:w="5445" w:type="dxa"/>
          </w:tcPr>
          <w:p>
            <w:pPr>
              <w:spacing w:after="0" w:line="240" w:lineRule="auto"/>
              <w:jc w:val="center"/>
            </w:pPr>
            <w:r>
              <w:rPr>
                <w:rFonts w:ascii="仿宋_GB2312" w:hAnsi="仿宋_GB2312" w:eastAsia="仿宋_GB2312"/>
                <w:b/>
                <w:color w:val="000000"/>
                <w:sz w:val="28"/>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1</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新HIS系统接口对接</w:t>
            </w:r>
          </w:p>
        </w:tc>
        <w:tc>
          <w:tcPr>
            <w:tcW w:w="2736" w:type="dxa"/>
          </w:tcPr>
          <w:p>
            <w:pPr>
              <w:spacing w:after="0" w:line="240" w:lineRule="auto"/>
              <w:jc w:val="center"/>
            </w:pPr>
            <w:r>
              <w:rPr>
                <w:rFonts w:ascii="仿宋_GB2312" w:hAnsi="仿宋_GB2312" w:eastAsia="仿宋_GB2312"/>
                <w:b w:val="0"/>
                <w:color w:val="000000"/>
                <w:sz w:val="28"/>
              </w:rPr>
              <w:t>患者基础信息对接</w:t>
            </w:r>
          </w:p>
        </w:tc>
        <w:tc>
          <w:tcPr>
            <w:tcW w:w="5445" w:type="dxa"/>
          </w:tcPr>
          <w:p>
            <w:pPr>
              <w:spacing w:after="0" w:line="240" w:lineRule="auto"/>
              <w:jc w:val="left"/>
            </w:pPr>
            <w:r>
              <w:rPr>
                <w:rFonts w:ascii="仿宋_GB2312" w:hAnsi="仿宋_GB2312" w:eastAsia="仿宋_GB2312"/>
                <w:b w:val="0"/>
                <w:color w:val="000000"/>
                <w:sz w:val="28"/>
              </w:rPr>
              <w:t>适配智业集成平台getPatientBaseInfo接口规范，支持通过机构代码、院区代码、病人ID、就诊卡号、证件号等多维度查询患者信息，实现血透系统与新HIS系统患者全量基础数据双向实时同步，适配标准XML报文交互格式，保障患者基础信息精准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基础字典数据同步</w:t>
            </w:r>
          </w:p>
        </w:tc>
        <w:tc>
          <w:tcPr>
            <w:tcW w:w="5445" w:type="dxa"/>
          </w:tcPr>
          <w:p>
            <w:pPr>
              <w:spacing w:after="0" w:line="240" w:lineRule="auto"/>
              <w:jc w:val="left"/>
            </w:pPr>
            <w:r>
              <w:rPr>
                <w:rFonts w:ascii="仿宋_GB2312" w:hAnsi="仿宋_GB2312" w:eastAsia="仿宋_GB2312"/>
                <w:b w:val="0"/>
                <w:color w:val="000000"/>
                <w:sz w:val="28"/>
              </w:rPr>
              <w:t>对接科室字典、员工字典标准化接口，支持全量、分页筛选查询，单页查询数据量不超过1200条，实时同步院内科室、医护人员基础信息及状态变更，完全匹配院内统一数据字典与编码规则，支撑血透业务正常开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患者医嘱信息对接</w:t>
            </w:r>
          </w:p>
        </w:tc>
        <w:tc>
          <w:tcPr>
            <w:tcW w:w="5445" w:type="dxa"/>
          </w:tcPr>
          <w:p>
            <w:pPr>
              <w:spacing w:after="0" w:line="240" w:lineRule="auto"/>
              <w:jc w:val="left"/>
            </w:pPr>
            <w:r>
              <w:rPr>
                <w:rFonts w:ascii="仿宋_GB2312" w:hAnsi="仿宋_GB2312" w:eastAsia="仿宋_GB2312"/>
                <w:b w:val="0"/>
                <w:color w:val="000000"/>
                <w:sz w:val="28"/>
              </w:rPr>
              <w:t>适配getPateinetOrder医嘱接口，同步患者血透相关医嘱开立、变更、作废、停止全流程数据，实现医嘱双向互通、状态实时更新，完成医嘱业务全流程闭环管理，适配院内医嘱编码及状态标准。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诊疗费用数据同步</w:t>
            </w:r>
          </w:p>
        </w:tc>
        <w:tc>
          <w:tcPr>
            <w:tcW w:w="5445" w:type="dxa"/>
          </w:tcPr>
          <w:p>
            <w:pPr>
              <w:spacing w:after="0" w:line="240" w:lineRule="auto"/>
              <w:jc w:val="left"/>
            </w:pPr>
            <w:r>
              <w:rPr>
                <w:rFonts w:ascii="仿宋_GB2312" w:hAnsi="仿宋_GB2312" w:eastAsia="仿宋_GB2312"/>
                <w:b w:val="0"/>
                <w:color w:val="000000"/>
                <w:sz w:val="28"/>
              </w:rPr>
              <w:t>自动同步血透诊疗、耗材、药品等全量费用数据至新HIS系统，同步缴费、退费、结算状态，支持全院统一结算对账，杜绝费用数据遗漏、错乱、重复问题，保障收费业务合规闭环。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病历文书数据互通</w:t>
            </w:r>
          </w:p>
        </w:tc>
        <w:tc>
          <w:tcPr>
            <w:tcW w:w="5445" w:type="dxa"/>
          </w:tcPr>
          <w:p>
            <w:pPr>
              <w:spacing w:after="0" w:line="240" w:lineRule="auto"/>
              <w:jc w:val="left"/>
            </w:pPr>
            <w:r>
              <w:rPr>
                <w:rFonts w:ascii="仿宋_GB2312" w:hAnsi="仿宋_GB2312" w:eastAsia="仿宋_GB2312"/>
                <w:b w:val="0"/>
                <w:color w:val="000000"/>
                <w:sz w:val="28"/>
              </w:rPr>
              <w:t>实现血透专项病历文书、诊疗记录与新HIS系统双向互通，支持HIS系统调取、归档血透诊疗文书，兼容历史诊疗数据回溯查询，满足电子病历合规备案及临床诊疗追溯需求。</w:t>
            </w:r>
          </w:p>
        </w:tc>
      </w:tr>
    </w:tbl>
    <w:p>
      <w:r>
        <w:rPr>
          <w:rFonts w:ascii="仿宋_GB2312" w:hAnsi="仿宋_GB2312" w:eastAsia="仿宋_GB2312"/>
          <w:b/>
          <w:color w:val="000000"/>
          <w:sz w:val="28"/>
        </w:rPr>
        <w:t>（三）统一预约管理系统接口适配</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6"/>
        <w:gridCol w:w="2436"/>
        <w:gridCol w:w="2436"/>
        <w:gridCol w:w="2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color w:val="000000"/>
                <w:sz w:val="28"/>
              </w:rPr>
              <w:t>序号</w:t>
            </w:r>
          </w:p>
        </w:tc>
        <w:tc>
          <w:tcPr>
            <w:tcW w:w="851" w:type="dxa"/>
          </w:tcPr>
          <w:p>
            <w:pPr>
              <w:spacing w:after="0" w:line="240" w:lineRule="auto"/>
              <w:jc w:val="center"/>
            </w:pPr>
            <w:r>
              <w:rPr>
                <w:rFonts w:ascii="仿宋_GB2312" w:hAnsi="仿宋_GB2312" w:eastAsia="仿宋_GB2312"/>
                <w:b/>
                <w:color w:val="000000"/>
                <w:sz w:val="28"/>
              </w:rPr>
              <w:t>名称</w:t>
            </w:r>
          </w:p>
        </w:tc>
        <w:tc>
          <w:tcPr>
            <w:tcW w:w="2736" w:type="dxa"/>
          </w:tcPr>
          <w:p>
            <w:pPr>
              <w:spacing w:after="0" w:line="240" w:lineRule="auto"/>
              <w:jc w:val="center"/>
            </w:pPr>
            <w:r>
              <w:rPr>
                <w:rFonts w:ascii="仿宋_GB2312" w:hAnsi="仿宋_GB2312" w:eastAsia="仿宋_GB2312"/>
                <w:b/>
                <w:color w:val="000000"/>
                <w:sz w:val="28"/>
              </w:rPr>
              <w:t>确认功能\需求内容</w:t>
            </w:r>
          </w:p>
        </w:tc>
        <w:tc>
          <w:tcPr>
            <w:tcW w:w="5445" w:type="dxa"/>
          </w:tcPr>
          <w:p>
            <w:pPr>
              <w:spacing w:after="0" w:line="240" w:lineRule="auto"/>
              <w:jc w:val="center"/>
            </w:pPr>
            <w:r>
              <w:rPr>
                <w:rFonts w:ascii="仿宋_GB2312" w:hAnsi="仿宋_GB2312" w:eastAsia="仿宋_GB2312"/>
                <w:b/>
                <w:color w:val="000000"/>
                <w:sz w:val="28"/>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1</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申请单模块</w:t>
            </w:r>
          </w:p>
        </w:tc>
        <w:tc>
          <w:tcPr>
            <w:tcW w:w="2736" w:type="dxa"/>
          </w:tcPr>
          <w:p>
            <w:pPr>
              <w:spacing w:after="0" w:line="240" w:lineRule="auto"/>
              <w:jc w:val="center"/>
            </w:pPr>
            <w:r>
              <w:rPr>
                <w:rFonts w:ascii="仿宋_GB2312" w:hAnsi="仿宋_GB2312" w:eastAsia="仿宋_GB2312"/>
                <w:b w:val="0"/>
                <w:color w:val="000000"/>
                <w:sz w:val="28"/>
              </w:rPr>
              <w:t>检查申请单对接</w:t>
            </w:r>
          </w:p>
        </w:tc>
        <w:tc>
          <w:tcPr>
            <w:tcW w:w="5445" w:type="dxa"/>
          </w:tcPr>
          <w:p>
            <w:pPr>
              <w:spacing w:after="0" w:line="240" w:lineRule="auto"/>
              <w:jc w:val="left"/>
            </w:pPr>
            <w:r>
              <w:rPr>
                <w:rFonts w:ascii="仿宋_GB2312" w:hAnsi="仿宋_GB2312" w:eastAsia="仿宋_GB2312"/>
                <w:b w:val="0"/>
                <w:color w:val="000000"/>
                <w:sz w:val="28"/>
              </w:rPr>
              <w:t>适配新HIS检查申请单获取接口，实现检查申请单实时同步，支持未缴费预约，缴费、退费状态更新实时同步至预约系统。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缴费退费状态同步</w:t>
            </w:r>
          </w:p>
        </w:tc>
        <w:tc>
          <w:tcPr>
            <w:tcW w:w="5445" w:type="dxa"/>
          </w:tcPr>
          <w:p>
            <w:pPr>
              <w:spacing w:after="0" w:line="240" w:lineRule="auto"/>
              <w:jc w:val="left"/>
            </w:pPr>
            <w:r>
              <w:rPr>
                <w:rFonts w:ascii="仿宋_GB2312" w:hAnsi="仿宋_GB2312" w:eastAsia="仿宋_GB2312"/>
                <w:b w:val="0"/>
                <w:color w:val="000000"/>
                <w:sz w:val="28"/>
              </w:rPr>
              <w:t>同步检查申请单缴费状态、退费作废状态，预约号源状态与费用状态联动，杜绝已退费申请占用号源。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超时未缴费自动取消</w:t>
            </w:r>
          </w:p>
        </w:tc>
        <w:tc>
          <w:tcPr>
            <w:tcW w:w="5445" w:type="dxa"/>
          </w:tcPr>
          <w:p>
            <w:pPr>
              <w:spacing w:after="0" w:line="240" w:lineRule="auto"/>
              <w:jc w:val="left"/>
            </w:pPr>
            <w:r>
              <w:rPr>
                <w:rFonts w:ascii="仿宋_GB2312" w:hAnsi="仿宋_GB2312" w:eastAsia="仿宋_GB2312"/>
                <w:b w:val="0"/>
                <w:color w:val="000000"/>
                <w:sz w:val="28"/>
              </w:rPr>
              <w:t>支持设置超时未缴费自动取消预约规则，释放号源资源，提升号源利用率。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2</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医生诊间预约</w:t>
            </w:r>
          </w:p>
        </w:tc>
        <w:tc>
          <w:tcPr>
            <w:tcW w:w="2736" w:type="dxa"/>
          </w:tcPr>
          <w:p>
            <w:pPr>
              <w:spacing w:after="0" w:line="240" w:lineRule="auto"/>
              <w:jc w:val="center"/>
            </w:pPr>
            <w:r>
              <w:rPr>
                <w:rFonts w:ascii="仿宋_GB2312" w:hAnsi="仿宋_GB2312" w:eastAsia="仿宋_GB2312"/>
                <w:b w:val="0"/>
                <w:color w:val="000000"/>
                <w:sz w:val="28"/>
              </w:rPr>
              <w:t>诊间预约、改约、取消</w:t>
            </w:r>
          </w:p>
        </w:tc>
        <w:tc>
          <w:tcPr>
            <w:tcW w:w="5445" w:type="dxa"/>
          </w:tcPr>
          <w:p>
            <w:pPr>
              <w:spacing w:after="0" w:line="240" w:lineRule="auto"/>
              <w:jc w:val="left"/>
            </w:pPr>
            <w:r>
              <w:rPr>
                <w:rFonts w:ascii="仿宋_GB2312" w:hAnsi="仿宋_GB2312" w:eastAsia="仿宋_GB2312"/>
                <w:b w:val="0"/>
                <w:color w:val="000000"/>
                <w:sz w:val="28"/>
              </w:rPr>
              <w:t>支持门诊医生诊间直接进行预约、改约、取消操作，预约数据及预约状态实时同步HIS系统；医生作废申请单医嘱时，预约系统及时同步取消。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预约信息回传</w:t>
            </w:r>
          </w:p>
        </w:tc>
        <w:tc>
          <w:tcPr>
            <w:tcW w:w="5445" w:type="dxa"/>
          </w:tcPr>
          <w:p>
            <w:pPr>
              <w:spacing w:after="0" w:line="240" w:lineRule="auto"/>
              <w:jc w:val="left"/>
            </w:pPr>
            <w:r>
              <w:rPr>
                <w:rFonts w:ascii="仿宋_GB2312" w:hAnsi="仿宋_GB2312" w:eastAsia="仿宋_GB2312"/>
                <w:b w:val="0"/>
                <w:color w:val="000000"/>
                <w:sz w:val="28"/>
              </w:rPr>
              <w:t>检查预约信息、预约状态通过接口及存储过程回传HIS系统，实现预约数据双向一致。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3</w:t>
            </w:r>
          </w:p>
        </w:tc>
        <w:tc>
          <w:tcPr>
            <w:tcW w:w="851" w:type="dxa"/>
          </w:tcPr>
          <w:p>
            <w:pPr>
              <w:spacing w:after="0" w:line="240" w:lineRule="auto"/>
              <w:jc w:val="center"/>
            </w:pPr>
            <w:r>
              <w:rPr>
                <w:rFonts w:ascii="仿宋_GB2312" w:hAnsi="仿宋_GB2312" w:eastAsia="仿宋_GB2312"/>
                <w:b w:val="0"/>
                <w:color w:val="000000"/>
                <w:sz w:val="28"/>
              </w:rPr>
              <w:t>住院护士站对接</w:t>
            </w:r>
          </w:p>
        </w:tc>
        <w:tc>
          <w:tcPr>
            <w:tcW w:w="2736" w:type="dxa"/>
          </w:tcPr>
          <w:p>
            <w:pPr>
              <w:spacing w:after="0" w:line="240" w:lineRule="auto"/>
              <w:jc w:val="center"/>
            </w:pPr>
            <w:r>
              <w:rPr>
                <w:rFonts w:ascii="仿宋_GB2312" w:hAnsi="仿宋_GB2312" w:eastAsia="仿宋_GB2312"/>
                <w:b w:val="0"/>
                <w:color w:val="000000"/>
                <w:sz w:val="28"/>
              </w:rPr>
              <w:t>护士站预约自动登录</w:t>
            </w:r>
          </w:p>
        </w:tc>
        <w:tc>
          <w:tcPr>
            <w:tcW w:w="5445" w:type="dxa"/>
          </w:tcPr>
          <w:p>
            <w:pPr>
              <w:spacing w:after="0" w:line="240" w:lineRule="auto"/>
              <w:jc w:val="left"/>
            </w:pPr>
            <w:r>
              <w:rPr>
                <w:rFonts w:ascii="仿宋_GB2312" w:hAnsi="仿宋_GB2312" w:eastAsia="仿宋_GB2312"/>
                <w:b w:val="0"/>
                <w:color w:val="000000"/>
                <w:sz w:val="28"/>
              </w:rPr>
              <w:t>提供自动登录功能，住院部护士在护士工作站点击链接或按钮即可打开医技组合预约系统，无需二次输入账号密码，并与HIS用户身份联动。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4</w:t>
            </w:r>
          </w:p>
        </w:tc>
        <w:tc>
          <w:tcPr>
            <w:tcW w:w="851" w:type="dxa"/>
          </w:tcPr>
          <w:p>
            <w:pPr>
              <w:spacing w:after="0" w:line="240" w:lineRule="auto"/>
              <w:jc w:val="center"/>
            </w:pPr>
            <w:r>
              <w:rPr>
                <w:rFonts w:ascii="仿宋_GB2312" w:hAnsi="仿宋_GB2312" w:eastAsia="仿宋_GB2312"/>
                <w:b w:val="0"/>
                <w:color w:val="000000"/>
                <w:sz w:val="28"/>
              </w:rPr>
              <w:t>消息推送</w:t>
            </w:r>
          </w:p>
        </w:tc>
        <w:tc>
          <w:tcPr>
            <w:tcW w:w="2736" w:type="dxa"/>
          </w:tcPr>
          <w:p>
            <w:pPr>
              <w:spacing w:after="0" w:line="240" w:lineRule="auto"/>
              <w:jc w:val="center"/>
            </w:pPr>
            <w:r>
              <w:rPr>
                <w:rFonts w:ascii="仿宋_GB2312" w:hAnsi="仿宋_GB2312" w:eastAsia="仿宋_GB2312"/>
                <w:b w:val="0"/>
                <w:color w:val="000000"/>
                <w:sz w:val="28"/>
              </w:rPr>
              <w:t>短信及微信消息对接</w:t>
            </w:r>
          </w:p>
        </w:tc>
        <w:tc>
          <w:tcPr>
            <w:tcW w:w="5445" w:type="dxa"/>
          </w:tcPr>
          <w:p>
            <w:pPr>
              <w:spacing w:after="0" w:line="240" w:lineRule="auto"/>
              <w:jc w:val="left"/>
            </w:pPr>
            <w:r>
              <w:rPr>
                <w:rFonts w:ascii="仿宋_GB2312" w:hAnsi="仿宋_GB2312" w:eastAsia="仿宋_GB2312"/>
                <w:b w:val="0"/>
                <w:color w:val="000000"/>
                <w:sz w:val="28"/>
              </w:rPr>
              <w:t>预约、改约、取消操作成功后，支持通过短信接口、微信公众号向患者推送预约提醒消息。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5</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多渠道预约</w:t>
            </w:r>
          </w:p>
        </w:tc>
        <w:tc>
          <w:tcPr>
            <w:tcW w:w="2736" w:type="dxa"/>
          </w:tcPr>
          <w:p>
            <w:pPr>
              <w:spacing w:after="0" w:line="240" w:lineRule="auto"/>
              <w:jc w:val="center"/>
            </w:pPr>
            <w:r>
              <w:rPr>
                <w:rFonts w:ascii="仿宋_GB2312" w:hAnsi="仿宋_GB2312" w:eastAsia="仿宋_GB2312"/>
                <w:b w:val="0"/>
                <w:color w:val="000000"/>
                <w:sz w:val="28"/>
              </w:rPr>
              <w:t>微信小程序预约对接</w:t>
            </w:r>
          </w:p>
        </w:tc>
        <w:tc>
          <w:tcPr>
            <w:tcW w:w="5445" w:type="dxa"/>
          </w:tcPr>
          <w:p>
            <w:pPr>
              <w:spacing w:after="0" w:line="240" w:lineRule="auto"/>
              <w:jc w:val="left"/>
            </w:pPr>
            <w:r>
              <w:rPr>
                <w:rFonts w:ascii="仿宋_GB2312" w:hAnsi="仿宋_GB2312" w:eastAsia="仿宋_GB2312"/>
                <w:b w:val="0"/>
                <w:color w:val="000000"/>
                <w:sz w:val="28"/>
              </w:rPr>
              <w:t>实现患者在手机微信公众号端进行检查预约、查询功能，预约数据与院内号源池实时一致。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自助机预约对接</w:t>
            </w:r>
          </w:p>
        </w:tc>
        <w:tc>
          <w:tcPr>
            <w:tcW w:w="5445" w:type="dxa"/>
          </w:tcPr>
          <w:p>
            <w:pPr>
              <w:spacing w:after="0" w:line="240" w:lineRule="auto"/>
              <w:jc w:val="left"/>
            </w:pPr>
            <w:r>
              <w:rPr>
                <w:rFonts w:ascii="仿宋_GB2312" w:hAnsi="仿宋_GB2312" w:eastAsia="仿宋_GB2312"/>
                <w:b w:val="0"/>
                <w:color w:val="000000"/>
                <w:sz w:val="28"/>
              </w:rPr>
              <w:t>实现患者在院内自助机端进行检查预约功能，支持自助报到、预约查询。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6</w:t>
            </w:r>
          </w:p>
        </w:tc>
        <w:tc>
          <w:tcPr>
            <w:tcW w:w="851" w:type="dxa"/>
          </w:tcPr>
          <w:p>
            <w:pPr>
              <w:spacing w:after="0" w:line="240" w:lineRule="auto"/>
              <w:jc w:val="center"/>
            </w:pPr>
            <w:r>
              <w:rPr>
                <w:rFonts w:ascii="仿宋_GB2312" w:hAnsi="仿宋_GB2312" w:eastAsia="仿宋_GB2312"/>
                <w:b w:val="0"/>
                <w:color w:val="000000"/>
                <w:sz w:val="28"/>
              </w:rPr>
              <w:t>检查状态联动</w:t>
            </w:r>
          </w:p>
        </w:tc>
        <w:tc>
          <w:tcPr>
            <w:tcW w:w="2736" w:type="dxa"/>
          </w:tcPr>
          <w:p>
            <w:pPr>
              <w:spacing w:after="0" w:line="240" w:lineRule="auto"/>
              <w:jc w:val="center"/>
            </w:pPr>
            <w:r>
              <w:rPr>
                <w:rFonts w:ascii="仿宋_GB2312" w:hAnsi="仿宋_GB2312" w:eastAsia="仿宋_GB2312"/>
                <w:b w:val="0"/>
                <w:color w:val="000000"/>
                <w:sz w:val="28"/>
              </w:rPr>
              <w:t>检查状态接口对接</w:t>
            </w:r>
          </w:p>
        </w:tc>
        <w:tc>
          <w:tcPr>
            <w:tcW w:w="5445" w:type="dxa"/>
          </w:tcPr>
          <w:p>
            <w:pPr>
              <w:spacing w:after="0" w:line="240" w:lineRule="auto"/>
              <w:jc w:val="left"/>
            </w:pPr>
            <w:r>
              <w:rPr>
                <w:rFonts w:ascii="仿宋_GB2312" w:hAnsi="仿宋_GB2312" w:eastAsia="仿宋_GB2312"/>
                <w:b w:val="0"/>
                <w:color w:val="000000"/>
                <w:sz w:val="28"/>
              </w:rPr>
              <w:t>同步PACS系统已登记、已检查、已报告等状态更新，实现预约-登记-检查-报告全流程状态闭环。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7</w:t>
            </w:r>
          </w:p>
        </w:tc>
        <w:tc>
          <w:tcPr>
            <w:tcW w:w="851" w:type="dxa"/>
          </w:tcPr>
          <w:p>
            <w:pPr>
              <w:spacing w:after="0" w:line="240" w:lineRule="auto"/>
              <w:jc w:val="center"/>
            </w:pPr>
            <w:r>
              <w:rPr>
                <w:rFonts w:ascii="仿宋_GB2312" w:hAnsi="仿宋_GB2312" w:eastAsia="仿宋_GB2312"/>
                <w:b w:val="0"/>
                <w:color w:val="000000"/>
                <w:sz w:val="28"/>
              </w:rPr>
              <w:t>版本升级实施</w:t>
            </w:r>
          </w:p>
        </w:tc>
        <w:tc>
          <w:tcPr>
            <w:tcW w:w="2736" w:type="dxa"/>
          </w:tcPr>
          <w:p>
            <w:pPr>
              <w:spacing w:after="0" w:line="240" w:lineRule="auto"/>
              <w:jc w:val="center"/>
            </w:pPr>
            <w:r>
              <w:rPr>
                <w:rFonts w:ascii="仿宋_GB2312" w:hAnsi="仿宋_GB2312" w:eastAsia="仿宋_GB2312"/>
                <w:b w:val="0"/>
                <w:color w:val="000000"/>
                <w:sz w:val="28"/>
              </w:rPr>
              <w:t>基础数据导入与培训</w:t>
            </w:r>
          </w:p>
        </w:tc>
        <w:tc>
          <w:tcPr>
            <w:tcW w:w="5445" w:type="dxa"/>
          </w:tcPr>
          <w:p>
            <w:pPr>
              <w:spacing w:after="0" w:line="240" w:lineRule="auto"/>
              <w:jc w:val="left"/>
            </w:pPr>
            <w:r>
              <w:rPr>
                <w:rFonts w:ascii="仿宋_GB2312" w:hAnsi="仿宋_GB2312" w:eastAsia="仿宋_GB2312"/>
                <w:b w:val="0"/>
                <w:color w:val="000000"/>
                <w:sz w:val="28"/>
              </w:rPr>
              <w:t>完成科室、人员、项目、检查设备等基础数据字典导入，配合版本迭代功能测试，并提供用户操作培训。</w:t>
            </w:r>
          </w:p>
        </w:tc>
      </w:tr>
    </w:tbl>
    <w:p>
      <w:r>
        <w:rPr>
          <w:rFonts w:ascii="仿宋_GB2312" w:hAnsi="仿宋_GB2312" w:eastAsia="仿宋_GB2312"/>
          <w:b/>
          <w:color w:val="000000"/>
          <w:sz w:val="28"/>
        </w:rPr>
        <w:t>（四）电子票据管理系统接口适配</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6"/>
        <w:gridCol w:w="2436"/>
        <w:gridCol w:w="2436"/>
        <w:gridCol w:w="2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color w:val="000000"/>
                <w:sz w:val="28"/>
              </w:rPr>
              <w:t>序号</w:t>
            </w:r>
          </w:p>
        </w:tc>
        <w:tc>
          <w:tcPr>
            <w:tcW w:w="851" w:type="dxa"/>
          </w:tcPr>
          <w:p>
            <w:pPr>
              <w:spacing w:after="0" w:line="240" w:lineRule="auto"/>
              <w:jc w:val="center"/>
            </w:pPr>
            <w:r>
              <w:rPr>
                <w:rFonts w:ascii="仿宋_GB2312" w:hAnsi="仿宋_GB2312" w:eastAsia="仿宋_GB2312"/>
                <w:b/>
                <w:color w:val="000000"/>
                <w:sz w:val="28"/>
              </w:rPr>
              <w:t>名称</w:t>
            </w:r>
          </w:p>
        </w:tc>
        <w:tc>
          <w:tcPr>
            <w:tcW w:w="2736" w:type="dxa"/>
          </w:tcPr>
          <w:p>
            <w:pPr>
              <w:spacing w:after="0" w:line="240" w:lineRule="auto"/>
              <w:jc w:val="center"/>
            </w:pPr>
            <w:r>
              <w:rPr>
                <w:rFonts w:ascii="仿宋_GB2312" w:hAnsi="仿宋_GB2312" w:eastAsia="仿宋_GB2312"/>
                <w:b/>
                <w:color w:val="000000"/>
                <w:sz w:val="28"/>
              </w:rPr>
              <w:t>确认功能\需求内容</w:t>
            </w:r>
          </w:p>
        </w:tc>
        <w:tc>
          <w:tcPr>
            <w:tcW w:w="5445" w:type="dxa"/>
          </w:tcPr>
          <w:p>
            <w:pPr>
              <w:spacing w:after="0" w:line="240" w:lineRule="auto"/>
              <w:jc w:val="center"/>
            </w:pPr>
            <w:r>
              <w:rPr>
                <w:rFonts w:ascii="仿宋_GB2312" w:hAnsi="仿宋_GB2312" w:eastAsia="仿宋_GB2312"/>
                <w:b/>
                <w:color w:val="000000"/>
                <w:sz w:val="28"/>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1</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电子票据开具接口升级</w:t>
            </w:r>
          </w:p>
        </w:tc>
        <w:tc>
          <w:tcPr>
            <w:tcW w:w="2736" w:type="dxa"/>
          </w:tcPr>
          <w:p>
            <w:pPr>
              <w:spacing w:after="0" w:line="240" w:lineRule="auto"/>
              <w:jc w:val="center"/>
            </w:pPr>
            <w:r>
              <w:rPr>
                <w:rFonts w:ascii="仿宋_GB2312" w:hAnsi="仿宋_GB2312" w:eastAsia="仿宋_GB2312"/>
                <w:b w:val="0"/>
                <w:color w:val="000000"/>
                <w:sz w:val="28"/>
              </w:rPr>
              <w:t>医疗票据开具接口升级</w:t>
            </w:r>
          </w:p>
        </w:tc>
        <w:tc>
          <w:tcPr>
            <w:tcW w:w="5445" w:type="dxa"/>
          </w:tcPr>
          <w:p>
            <w:pPr>
              <w:spacing w:after="0" w:line="240" w:lineRule="auto"/>
              <w:jc w:val="left"/>
            </w:pPr>
            <w:r>
              <w:rPr>
                <w:rFonts w:ascii="仿宋_GB2312" w:hAnsi="仿宋_GB2312" w:eastAsia="仿宋_GB2312"/>
                <w:b w:val="0"/>
                <w:color w:val="000000"/>
                <w:sz w:val="28"/>
              </w:rPr>
              <w:t>按《财政电子票据数据规范》最新标准，完成医疗门诊、住院、挂号、体检电子票据开具接口（含批量开具接口）升级，增加“用血直免”“医保钱包共济流转”等特色应用票面字段及必填字段，完成电子票据签名原文封装、上报财政监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开具数据校验服务</w:t>
            </w:r>
          </w:p>
        </w:tc>
        <w:tc>
          <w:tcPr>
            <w:tcW w:w="5445" w:type="dxa"/>
          </w:tcPr>
          <w:p>
            <w:pPr>
              <w:spacing w:after="0" w:line="240" w:lineRule="auto"/>
              <w:jc w:val="left"/>
            </w:pPr>
            <w:r>
              <w:rPr>
                <w:rFonts w:ascii="仿宋_GB2312" w:hAnsi="仿宋_GB2312" w:eastAsia="仿宋_GB2312"/>
                <w:b w:val="0"/>
                <w:color w:val="000000"/>
                <w:sz w:val="28"/>
              </w:rPr>
              <w:t>增加门诊、住院、挂号、体检电子票据开具必填字段校验及财政稽核规则校验，开票前自动拦截不合规数据。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2</w:t>
            </w:r>
          </w:p>
        </w:tc>
        <w:tc>
          <w:tcPr>
            <w:tcW w:w="851" w:type="dxa"/>
          </w:tcPr>
          <w:p>
            <w:pPr>
              <w:spacing w:after="0" w:line="240" w:lineRule="auto"/>
              <w:jc w:val="center"/>
            </w:pPr>
            <w:r>
              <w:rPr>
                <w:rFonts w:ascii="仿宋_GB2312" w:hAnsi="仿宋_GB2312" w:eastAsia="仿宋_GB2312"/>
                <w:b w:val="0"/>
                <w:color w:val="000000"/>
                <w:sz w:val="28"/>
              </w:rPr>
              <w:t>电子票据查询接口</w:t>
            </w:r>
          </w:p>
        </w:tc>
        <w:tc>
          <w:tcPr>
            <w:tcW w:w="2736" w:type="dxa"/>
          </w:tcPr>
          <w:p>
            <w:pPr>
              <w:spacing w:after="0" w:line="240" w:lineRule="auto"/>
              <w:jc w:val="center"/>
            </w:pPr>
            <w:r>
              <w:rPr>
                <w:rFonts w:ascii="仿宋_GB2312" w:hAnsi="仿宋_GB2312" w:eastAsia="仿宋_GB2312"/>
                <w:b w:val="0"/>
                <w:color w:val="000000"/>
                <w:sz w:val="28"/>
              </w:rPr>
              <w:t>票据明细及报销状态查询</w:t>
            </w:r>
          </w:p>
        </w:tc>
        <w:tc>
          <w:tcPr>
            <w:tcW w:w="5445" w:type="dxa"/>
          </w:tcPr>
          <w:p>
            <w:pPr>
              <w:spacing w:after="0" w:line="240" w:lineRule="auto"/>
              <w:jc w:val="left"/>
            </w:pPr>
            <w:r>
              <w:rPr>
                <w:rFonts w:ascii="仿宋_GB2312" w:hAnsi="仿宋_GB2312" w:eastAsia="仿宋_GB2312"/>
                <w:b w:val="0"/>
                <w:color w:val="000000"/>
                <w:sz w:val="28"/>
              </w:rPr>
              <w:t>对接财政公共服务平台，实现根据电子票据信息获取票据明细；退费时查询票据报销锁定状态（是否锁定、是否已报销），为票据换开、冲红、退费提供业务支撑。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3</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数据质量提升</w:t>
            </w:r>
          </w:p>
        </w:tc>
        <w:tc>
          <w:tcPr>
            <w:tcW w:w="2736" w:type="dxa"/>
          </w:tcPr>
          <w:p>
            <w:pPr>
              <w:spacing w:after="0" w:line="240" w:lineRule="auto"/>
              <w:jc w:val="center"/>
            </w:pPr>
            <w:r>
              <w:rPr>
                <w:rFonts w:ascii="仿宋_GB2312" w:hAnsi="仿宋_GB2312" w:eastAsia="仿宋_GB2312"/>
                <w:b w:val="0"/>
                <w:color w:val="000000"/>
                <w:sz w:val="28"/>
              </w:rPr>
              <w:t>票面及清单专项检查</w:t>
            </w:r>
          </w:p>
        </w:tc>
        <w:tc>
          <w:tcPr>
            <w:tcW w:w="5445" w:type="dxa"/>
          </w:tcPr>
          <w:p>
            <w:pPr>
              <w:spacing w:after="0" w:line="240" w:lineRule="auto"/>
              <w:jc w:val="left"/>
            </w:pPr>
            <w:r>
              <w:rPr>
                <w:rFonts w:ascii="仿宋_GB2312" w:hAnsi="仿宋_GB2312" w:eastAsia="仿宋_GB2312"/>
                <w:b w:val="0"/>
                <w:color w:val="000000"/>
                <w:sz w:val="28"/>
              </w:rPr>
              <w:t>完成公共票面信息、医保实时结算、门诊票据、住院票据、清单明细信息、印章数字签名信息等专项检查，保障票据数据规范完整。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基础数据合规校验</w:t>
            </w:r>
          </w:p>
        </w:tc>
        <w:tc>
          <w:tcPr>
            <w:tcW w:w="5445" w:type="dxa"/>
          </w:tcPr>
          <w:p>
            <w:pPr>
              <w:spacing w:after="0" w:line="240" w:lineRule="auto"/>
              <w:jc w:val="left"/>
            </w:pPr>
            <w:r>
              <w:rPr>
                <w:rFonts w:ascii="仿宋_GB2312" w:hAnsi="仿宋_GB2312" w:eastAsia="仿宋_GB2312"/>
                <w:b w:val="0"/>
                <w:color w:val="000000"/>
                <w:sz w:val="28"/>
              </w:rPr>
              <w:t>完成收费项目范围、性别、医疗类别、医保类型、费用等级等枚举项校验及数据项格式检查、字段间勾稽关系校验（金额合计、票据总金额、个人支付逻辑等），全面提升票据数据质量。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4</w:t>
            </w:r>
          </w:p>
        </w:tc>
        <w:tc>
          <w:tcPr>
            <w:tcW w:w="851" w:type="dxa"/>
          </w:tcPr>
          <w:p>
            <w:pPr>
              <w:spacing w:after="0" w:line="240" w:lineRule="auto"/>
              <w:jc w:val="center"/>
            </w:pPr>
            <w:r>
              <w:rPr>
                <w:rFonts w:ascii="仿宋_GB2312" w:hAnsi="仿宋_GB2312" w:eastAsia="仿宋_GB2312"/>
                <w:b w:val="0"/>
                <w:color w:val="000000"/>
                <w:sz w:val="28"/>
              </w:rPr>
              <w:t>收费明细格式优化</w:t>
            </w:r>
          </w:p>
        </w:tc>
        <w:tc>
          <w:tcPr>
            <w:tcW w:w="2736" w:type="dxa"/>
          </w:tcPr>
          <w:p>
            <w:pPr>
              <w:spacing w:after="0" w:line="240" w:lineRule="auto"/>
              <w:jc w:val="center"/>
            </w:pPr>
            <w:r>
              <w:rPr>
                <w:rFonts w:ascii="仿宋_GB2312" w:hAnsi="仿宋_GB2312" w:eastAsia="仿宋_GB2312"/>
                <w:b w:val="0"/>
                <w:color w:val="000000"/>
                <w:sz w:val="28"/>
              </w:rPr>
              <w:t>医疗收费明细优化</w:t>
            </w:r>
          </w:p>
        </w:tc>
        <w:tc>
          <w:tcPr>
            <w:tcW w:w="5445" w:type="dxa"/>
          </w:tcPr>
          <w:p>
            <w:pPr>
              <w:spacing w:after="0" w:line="240" w:lineRule="auto"/>
              <w:jc w:val="left"/>
            </w:pPr>
            <w:r>
              <w:rPr>
                <w:rFonts w:ascii="仿宋_GB2312" w:hAnsi="仿宋_GB2312" w:eastAsia="仿宋_GB2312"/>
                <w:b w:val="0"/>
                <w:color w:val="000000"/>
                <w:sz w:val="28"/>
              </w:rPr>
              <w:t>在医疗收费明细（电子）中增加“输血费”内容，增加“分项小计”展示，按项目名称归类汇总，便于核查。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5</w:t>
            </w:r>
          </w:p>
        </w:tc>
        <w:tc>
          <w:tcPr>
            <w:tcW w:w="851" w:type="dxa"/>
          </w:tcPr>
          <w:p>
            <w:pPr>
              <w:spacing w:after="0" w:line="240" w:lineRule="auto"/>
              <w:jc w:val="center"/>
            </w:pPr>
            <w:r>
              <w:rPr>
                <w:rFonts w:ascii="仿宋_GB2312" w:hAnsi="仿宋_GB2312" w:eastAsia="仿宋_GB2312"/>
                <w:b w:val="0"/>
                <w:color w:val="000000"/>
                <w:sz w:val="28"/>
              </w:rPr>
              <w:t>跨省报销对接</w:t>
            </w:r>
          </w:p>
        </w:tc>
        <w:tc>
          <w:tcPr>
            <w:tcW w:w="2736" w:type="dxa"/>
          </w:tcPr>
          <w:p>
            <w:pPr>
              <w:spacing w:after="0" w:line="240" w:lineRule="auto"/>
              <w:jc w:val="center"/>
            </w:pPr>
            <w:r>
              <w:rPr>
                <w:rFonts w:ascii="仿宋_GB2312" w:hAnsi="仿宋_GB2312" w:eastAsia="仿宋_GB2312"/>
                <w:b w:val="0"/>
                <w:color w:val="000000"/>
                <w:sz w:val="28"/>
              </w:rPr>
              <w:t>跨省报销服务建设</w:t>
            </w:r>
          </w:p>
        </w:tc>
        <w:tc>
          <w:tcPr>
            <w:tcW w:w="5445" w:type="dxa"/>
          </w:tcPr>
          <w:p>
            <w:pPr>
              <w:spacing w:after="0" w:line="240" w:lineRule="auto"/>
              <w:jc w:val="left"/>
            </w:pPr>
            <w:r>
              <w:rPr>
                <w:rFonts w:ascii="仿宋_GB2312" w:hAnsi="仿宋_GB2312" w:eastAsia="仿宋_GB2312"/>
                <w:b w:val="0"/>
                <w:color w:val="000000"/>
                <w:sz w:val="28"/>
              </w:rPr>
              <w:t>按财政部跨省报销对接指引和技术要求，建设开票信息查询请求及结果反馈、电子票据报销状态查询请求及结果反馈、电子票据报销信息列表查询请求及结果反馈等服务，满足全国跨省报销业务信息流转。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6</w:t>
            </w:r>
          </w:p>
        </w:tc>
        <w:tc>
          <w:tcPr>
            <w:tcW w:w="851" w:type="dxa"/>
          </w:tcPr>
          <w:p>
            <w:pPr>
              <w:spacing w:after="0" w:line="240" w:lineRule="auto"/>
              <w:jc w:val="center"/>
            </w:pPr>
            <w:r>
              <w:rPr>
                <w:rFonts w:ascii="仿宋_GB2312" w:hAnsi="仿宋_GB2312" w:eastAsia="仿宋_GB2312"/>
                <w:b w:val="0"/>
                <w:color w:val="000000"/>
                <w:sz w:val="28"/>
              </w:rPr>
              <w:t>实施联调及上线保障</w:t>
            </w:r>
          </w:p>
        </w:tc>
        <w:tc>
          <w:tcPr>
            <w:tcW w:w="2736" w:type="dxa"/>
          </w:tcPr>
          <w:p>
            <w:pPr>
              <w:spacing w:after="0" w:line="240" w:lineRule="auto"/>
              <w:jc w:val="center"/>
            </w:pPr>
            <w:r>
              <w:rPr>
                <w:rFonts w:ascii="仿宋_GB2312" w:hAnsi="仿宋_GB2312" w:eastAsia="仿宋_GB2312"/>
                <w:b w:val="0"/>
                <w:color w:val="000000"/>
                <w:sz w:val="28"/>
              </w:rPr>
              <w:t>联调测试与上线保障</w:t>
            </w:r>
          </w:p>
        </w:tc>
        <w:tc>
          <w:tcPr>
            <w:tcW w:w="5445" w:type="dxa"/>
          </w:tcPr>
          <w:p>
            <w:pPr>
              <w:spacing w:after="0" w:line="240" w:lineRule="auto"/>
              <w:jc w:val="left"/>
            </w:pPr>
            <w:r>
              <w:rPr>
                <w:rFonts w:ascii="仿宋_GB2312" w:hAnsi="仿宋_GB2312" w:eastAsia="仿宋_GB2312"/>
                <w:b w:val="0"/>
                <w:color w:val="000000"/>
                <w:sz w:val="28"/>
              </w:rPr>
              <w:t>完成电子票据系统测试环境升级，与HIS系统开展新数据规范接口联调（门诊、住院、挂号、体检票据开具、冲红等），完成业务流程测试、用户培训及生产环境上线保障。</w:t>
            </w:r>
          </w:p>
        </w:tc>
      </w:tr>
    </w:tbl>
    <w:p>
      <w:r>
        <w:rPr>
          <w:rFonts w:ascii="仿宋_GB2312" w:hAnsi="仿宋_GB2312" w:eastAsia="仿宋_GB2312"/>
          <w:b/>
          <w:color w:val="000000"/>
          <w:sz w:val="28"/>
        </w:rPr>
        <w:t>（五）临床决策支持系统（CDSS）接口适配</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6"/>
        <w:gridCol w:w="2436"/>
        <w:gridCol w:w="2436"/>
        <w:gridCol w:w="2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color w:val="000000"/>
                <w:sz w:val="28"/>
              </w:rPr>
              <w:t>序号</w:t>
            </w:r>
          </w:p>
        </w:tc>
        <w:tc>
          <w:tcPr>
            <w:tcW w:w="851" w:type="dxa"/>
          </w:tcPr>
          <w:p>
            <w:pPr>
              <w:spacing w:after="0" w:line="240" w:lineRule="auto"/>
              <w:jc w:val="center"/>
            </w:pPr>
            <w:r>
              <w:rPr>
                <w:rFonts w:ascii="仿宋_GB2312" w:hAnsi="仿宋_GB2312" w:eastAsia="仿宋_GB2312"/>
                <w:b/>
                <w:color w:val="000000"/>
                <w:sz w:val="28"/>
              </w:rPr>
              <w:t>名称</w:t>
            </w:r>
          </w:p>
        </w:tc>
        <w:tc>
          <w:tcPr>
            <w:tcW w:w="2736" w:type="dxa"/>
          </w:tcPr>
          <w:p>
            <w:pPr>
              <w:spacing w:after="0" w:line="240" w:lineRule="auto"/>
              <w:jc w:val="center"/>
            </w:pPr>
            <w:r>
              <w:rPr>
                <w:rFonts w:ascii="仿宋_GB2312" w:hAnsi="仿宋_GB2312" w:eastAsia="仿宋_GB2312"/>
                <w:b/>
                <w:color w:val="000000"/>
                <w:sz w:val="28"/>
              </w:rPr>
              <w:t>确认功能\需求内容</w:t>
            </w:r>
          </w:p>
        </w:tc>
        <w:tc>
          <w:tcPr>
            <w:tcW w:w="5445" w:type="dxa"/>
          </w:tcPr>
          <w:p>
            <w:pPr>
              <w:spacing w:after="0" w:line="240" w:lineRule="auto"/>
              <w:jc w:val="center"/>
            </w:pPr>
            <w:r>
              <w:rPr>
                <w:rFonts w:ascii="仿宋_GB2312" w:hAnsi="仿宋_GB2312" w:eastAsia="仿宋_GB2312"/>
                <w:b/>
                <w:color w:val="000000"/>
                <w:sz w:val="28"/>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1</w:t>
            </w:r>
          </w:p>
        </w:tc>
        <w:tc>
          <w:tcPr>
            <w:tcW w:w="851" w:type="dxa"/>
          </w:tcPr>
          <w:p>
            <w:pPr>
              <w:spacing w:after="0" w:line="240" w:lineRule="auto"/>
              <w:jc w:val="center"/>
            </w:pPr>
            <w:r>
              <w:rPr>
                <w:rFonts w:ascii="仿宋_GB2312" w:hAnsi="仿宋_GB2312" w:eastAsia="仿宋_GB2312"/>
                <w:b w:val="0"/>
                <w:color w:val="000000"/>
                <w:sz w:val="28"/>
              </w:rPr>
              <w:t>门诊场景前端对接</w:t>
            </w:r>
          </w:p>
        </w:tc>
        <w:tc>
          <w:tcPr>
            <w:tcW w:w="2736" w:type="dxa"/>
          </w:tcPr>
          <w:p>
            <w:pPr>
              <w:spacing w:after="0" w:line="240" w:lineRule="auto"/>
              <w:jc w:val="center"/>
            </w:pPr>
            <w:r>
              <w:rPr>
                <w:rFonts w:ascii="仿宋_GB2312" w:hAnsi="仿宋_GB2312" w:eastAsia="仿宋_GB2312"/>
                <w:b w:val="0"/>
                <w:color w:val="000000"/>
                <w:sz w:val="28"/>
              </w:rPr>
              <w:t>门诊业务场景接入</w:t>
            </w:r>
          </w:p>
        </w:tc>
        <w:tc>
          <w:tcPr>
            <w:tcW w:w="5445" w:type="dxa"/>
          </w:tcPr>
          <w:p>
            <w:pPr>
              <w:spacing w:after="0" w:line="240" w:lineRule="auto"/>
              <w:jc w:val="left"/>
            </w:pPr>
            <w:r>
              <w:rPr>
                <w:rFonts w:ascii="仿宋_GB2312" w:hAnsi="仿宋_GB2312" w:eastAsia="仿宋_GB2312"/>
                <w:b w:val="0"/>
                <w:color w:val="000000"/>
                <w:sz w:val="28"/>
              </w:rPr>
              <w:t>完成门诊初始化认证、门诊公共参数、门诊诊断、门诊检验检查申请开单、门诊药品处方开立、门诊检验结果查看、门诊检查结果查看、门诊病历书写、门诊病历删除、门诊详情知识库等对接点接入，医生在相应诊疗场景实时获取CDSS辅助决策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2</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住院场景前端对接</w:t>
            </w:r>
          </w:p>
        </w:tc>
        <w:tc>
          <w:tcPr>
            <w:tcW w:w="2736" w:type="dxa"/>
          </w:tcPr>
          <w:p>
            <w:pPr>
              <w:spacing w:after="0" w:line="240" w:lineRule="auto"/>
              <w:jc w:val="center"/>
            </w:pPr>
            <w:r>
              <w:rPr>
                <w:rFonts w:ascii="仿宋_GB2312" w:hAnsi="仿宋_GB2312" w:eastAsia="仿宋_GB2312"/>
                <w:b w:val="0"/>
                <w:color w:val="000000"/>
                <w:sz w:val="28"/>
              </w:rPr>
              <w:t>住院业务场景接入</w:t>
            </w:r>
          </w:p>
        </w:tc>
        <w:tc>
          <w:tcPr>
            <w:tcW w:w="5445" w:type="dxa"/>
          </w:tcPr>
          <w:p>
            <w:pPr>
              <w:spacing w:after="0" w:line="240" w:lineRule="auto"/>
              <w:jc w:val="left"/>
            </w:pPr>
            <w:r>
              <w:rPr>
                <w:rFonts w:ascii="仿宋_GB2312" w:hAnsi="仿宋_GB2312" w:eastAsia="仿宋_GB2312"/>
                <w:b w:val="0"/>
                <w:color w:val="000000"/>
                <w:sz w:val="28"/>
              </w:rPr>
              <w:t>完成住院初始化认证、住院公共参数、住院病历书写与删除、住院医嘱开立、住院检验报告结果查看、住院检查报告结果查看、住院护理记录书写与删除、住院诊断保存与删除、住院病案首页（医生端、病案端）、住院详情知识库等对接点接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数据回写对接</w:t>
            </w:r>
          </w:p>
        </w:tc>
        <w:tc>
          <w:tcPr>
            <w:tcW w:w="5445" w:type="dxa"/>
          </w:tcPr>
          <w:p>
            <w:pPr>
              <w:spacing w:after="0" w:line="240" w:lineRule="auto"/>
              <w:jc w:val="left"/>
            </w:pPr>
            <w:r>
              <w:rPr>
                <w:rFonts w:ascii="仿宋_GB2312" w:hAnsi="仿宋_GB2312" w:eastAsia="仿宋_GB2312"/>
                <w:b w:val="0"/>
                <w:color w:val="000000"/>
                <w:sz w:val="28"/>
              </w:rPr>
              <w:t>按门诊、住院两大场景完成CDSS推荐内容回写对接，将辅助决策结果返回业务系统，符合功能应用要求，方便医生日常诊疗行为。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3</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数据采集对接</w:t>
            </w:r>
          </w:p>
        </w:tc>
        <w:tc>
          <w:tcPr>
            <w:tcW w:w="2736" w:type="dxa"/>
          </w:tcPr>
          <w:p>
            <w:pPr>
              <w:spacing w:after="0" w:line="240" w:lineRule="auto"/>
              <w:jc w:val="center"/>
            </w:pPr>
            <w:r>
              <w:rPr>
                <w:rFonts w:ascii="仿宋_GB2312" w:hAnsi="仿宋_GB2312" w:eastAsia="仿宋_GB2312"/>
                <w:b w:val="0"/>
                <w:color w:val="000000"/>
                <w:sz w:val="28"/>
              </w:rPr>
              <w:t>HIS数据采集</w:t>
            </w:r>
          </w:p>
        </w:tc>
        <w:tc>
          <w:tcPr>
            <w:tcW w:w="5445" w:type="dxa"/>
          </w:tcPr>
          <w:p>
            <w:pPr>
              <w:spacing w:after="0" w:line="240" w:lineRule="auto"/>
              <w:jc w:val="left"/>
            </w:pPr>
            <w:r>
              <w:rPr>
                <w:rFonts w:ascii="仿宋_GB2312" w:hAnsi="仿宋_GB2312" w:eastAsia="仿宋_GB2312"/>
                <w:b w:val="0"/>
                <w:color w:val="000000"/>
                <w:sz w:val="28"/>
              </w:rPr>
              <w:t>完成住院患者基本信息、入出院记录、医嘱记录、诊断记录、手术申请、检查检验申请、会诊记录、输血申请、转科记录、过敏信息、费用明细、新生儿信息、临床路径、药物不良反应、随访记录及门急诊挂号、处方、检查检验申请、诊断、费用明细等全量数据采集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医技及病历数据采集</w:t>
            </w:r>
          </w:p>
        </w:tc>
        <w:tc>
          <w:tcPr>
            <w:tcW w:w="5445" w:type="dxa"/>
          </w:tcPr>
          <w:p>
            <w:pPr>
              <w:spacing w:after="0" w:line="240" w:lineRule="auto"/>
              <w:jc w:val="left"/>
            </w:pPr>
            <w:r>
              <w:rPr>
                <w:rFonts w:ascii="仿宋_GB2312" w:hAnsi="仿宋_GB2312" w:eastAsia="仿宋_GB2312"/>
                <w:b w:val="0"/>
                <w:color w:val="000000"/>
                <w:sz w:val="28"/>
              </w:rPr>
              <w:t>完成电子病历系统病历文书、病案首页（医生端、病案端）、病历CA签章表，检验系统检验记录及结果明细、微生物结果、危急值，检查系统检查记录及结果明细、病理结果、放疗记录，护理系统生命体征、护理记录、评估表，手麻系统手术、麻醉记录，以及医保结算信息、病案首页附页、各类字典等数据采集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4</w:t>
            </w:r>
          </w:p>
        </w:tc>
        <w:tc>
          <w:tcPr>
            <w:tcW w:w="851" w:type="dxa"/>
          </w:tcPr>
          <w:p>
            <w:pPr>
              <w:spacing w:after="0" w:line="240" w:lineRule="auto"/>
              <w:jc w:val="center"/>
            </w:pPr>
            <w:r>
              <w:rPr>
                <w:rFonts w:ascii="仿宋_GB2312" w:hAnsi="仿宋_GB2312" w:eastAsia="仿宋_GB2312"/>
                <w:b w:val="0"/>
                <w:color w:val="000000"/>
                <w:sz w:val="28"/>
              </w:rPr>
              <w:t>对接技术要求</w:t>
            </w:r>
          </w:p>
        </w:tc>
        <w:tc>
          <w:tcPr>
            <w:tcW w:w="2736" w:type="dxa"/>
          </w:tcPr>
          <w:p>
            <w:pPr>
              <w:spacing w:after="0" w:line="240" w:lineRule="auto"/>
              <w:jc w:val="center"/>
            </w:pPr>
            <w:r>
              <w:rPr>
                <w:rFonts w:ascii="仿宋_GB2312" w:hAnsi="仿宋_GB2312" w:eastAsia="仿宋_GB2312"/>
                <w:b w:val="0"/>
                <w:color w:val="000000"/>
                <w:sz w:val="28"/>
              </w:rPr>
              <w:t>容错与异步处理</w:t>
            </w:r>
          </w:p>
        </w:tc>
        <w:tc>
          <w:tcPr>
            <w:tcW w:w="5445" w:type="dxa"/>
          </w:tcPr>
          <w:p>
            <w:pPr>
              <w:spacing w:after="0" w:line="240" w:lineRule="auto"/>
              <w:jc w:val="left"/>
            </w:pPr>
            <w:r>
              <w:rPr>
                <w:rFonts w:ascii="仿宋_GB2312" w:hAnsi="仿宋_GB2312" w:eastAsia="仿宋_GB2312"/>
                <w:b w:val="0"/>
                <w:color w:val="000000"/>
                <w:sz w:val="28"/>
              </w:rPr>
              <w:t>所有对接点须进行容错处理（try-catch异常捕获、全局调用开关、超时判定），标准接口交互均须处理为异步交互，保障CDSS或网络异常时业务系统正常运行。</w:t>
            </w:r>
          </w:p>
        </w:tc>
      </w:tr>
    </w:tbl>
    <w:p>
      <w:r>
        <w:rPr>
          <w:rFonts w:ascii="仿宋_GB2312" w:hAnsi="仿宋_GB2312" w:eastAsia="仿宋_GB2312"/>
          <w:b/>
          <w:color w:val="000000"/>
          <w:sz w:val="28"/>
        </w:rPr>
        <w:t>（六）医院感染实时监控系统接口适配</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6"/>
        <w:gridCol w:w="2436"/>
        <w:gridCol w:w="2436"/>
        <w:gridCol w:w="2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color w:val="000000"/>
                <w:sz w:val="28"/>
              </w:rPr>
              <w:t>序号</w:t>
            </w:r>
          </w:p>
        </w:tc>
        <w:tc>
          <w:tcPr>
            <w:tcW w:w="851" w:type="dxa"/>
          </w:tcPr>
          <w:p>
            <w:pPr>
              <w:spacing w:after="0" w:line="240" w:lineRule="auto"/>
              <w:jc w:val="center"/>
            </w:pPr>
            <w:r>
              <w:rPr>
                <w:rFonts w:ascii="仿宋_GB2312" w:hAnsi="仿宋_GB2312" w:eastAsia="仿宋_GB2312"/>
                <w:b/>
                <w:color w:val="000000"/>
                <w:sz w:val="28"/>
              </w:rPr>
              <w:t>名称</w:t>
            </w:r>
          </w:p>
        </w:tc>
        <w:tc>
          <w:tcPr>
            <w:tcW w:w="2736" w:type="dxa"/>
          </w:tcPr>
          <w:p>
            <w:pPr>
              <w:spacing w:after="0" w:line="240" w:lineRule="auto"/>
              <w:jc w:val="center"/>
            </w:pPr>
            <w:r>
              <w:rPr>
                <w:rFonts w:ascii="仿宋_GB2312" w:hAnsi="仿宋_GB2312" w:eastAsia="仿宋_GB2312"/>
                <w:b/>
                <w:color w:val="000000"/>
                <w:sz w:val="28"/>
              </w:rPr>
              <w:t>确认功能\需求内容</w:t>
            </w:r>
          </w:p>
        </w:tc>
        <w:tc>
          <w:tcPr>
            <w:tcW w:w="5445" w:type="dxa"/>
          </w:tcPr>
          <w:p>
            <w:pPr>
              <w:spacing w:after="0" w:line="240" w:lineRule="auto"/>
              <w:jc w:val="center"/>
            </w:pPr>
            <w:r>
              <w:rPr>
                <w:rFonts w:ascii="仿宋_GB2312" w:hAnsi="仿宋_GB2312" w:eastAsia="仿宋_GB2312"/>
                <w:b/>
                <w:color w:val="000000"/>
                <w:sz w:val="28"/>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1</w:t>
            </w:r>
          </w:p>
        </w:tc>
        <w:tc>
          <w:tcPr>
            <w:tcW w:w="851" w:type="dxa"/>
          </w:tcPr>
          <w:p>
            <w:pPr>
              <w:spacing w:after="0" w:line="240" w:lineRule="auto"/>
              <w:jc w:val="center"/>
            </w:pPr>
            <w:r>
              <w:rPr>
                <w:rFonts w:ascii="仿宋_GB2312" w:hAnsi="仿宋_GB2312" w:eastAsia="仿宋_GB2312"/>
                <w:b w:val="0"/>
                <w:color w:val="000000"/>
                <w:sz w:val="28"/>
              </w:rPr>
              <w:t>基础字典同步</w:t>
            </w:r>
          </w:p>
        </w:tc>
        <w:tc>
          <w:tcPr>
            <w:tcW w:w="2736" w:type="dxa"/>
          </w:tcPr>
          <w:p>
            <w:pPr>
              <w:spacing w:after="0" w:line="240" w:lineRule="auto"/>
              <w:jc w:val="center"/>
            </w:pPr>
            <w:r>
              <w:rPr>
                <w:rFonts w:ascii="仿宋_GB2312" w:hAnsi="仿宋_GB2312" w:eastAsia="仿宋_GB2312"/>
                <w:b w:val="0"/>
                <w:color w:val="000000"/>
                <w:sz w:val="28"/>
              </w:rPr>
              <w:t>字典数据获取</w:t>
            </w:r>
          </w:p>
        </w:tc>
        <w:tc>
          <w:tcPr>
            <w:tcW w:w="5445" w:type="dxa"/>
          </w:tcPr>
          <w:p>
            <w:pPr>
              <w:spacing w:after="0" w:line="240" w:lineRule="auto"/>
              <w:jc w:val="left"/>
            </w:pPr>
            <w:r>
              <w:rPr>
                <w:rFonts w:ascii="仿宋_GB2312" w:hAnsi="仿宋_GB2312" w:eastAsia="仿宋_GB2312"/>
                <w:b w:val="0"/>
                <w:color w:val="000000"/>
                <w:sz w:val="28"/>
              </w:rPr>
              <w:t>适配获取科室字典、员工字典、病区字典、用药途径字典、药品字典（XML）接口，同步院内基础字典及编码规则，支撑院感监测业务开展。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2</w:t>
            </w:r>
          </w:p>
        </w:tc>
        <w:tc>
          <w:tcPr>
            <w:tcW w:w="851" w:type="dxa"/>
          </w:tcPr>
          <w:p>
            <w:pPr>
              <w:spacing w:after="0" w:line="240" w:lineRule="auto"/>
              <w:jc w:val="center"/>
            </w:pPr>
            <w:r>
              <w:rPr>
                <w:rFonts w:ascii="仿宋_GB2312" w:hAnsi="仿宋_GB2312" w:eastAsia="仿宋_GB2312"/>
                <w:b w:val="0"/>
                <w:color w:val="000000"/>
                <w:sz w:val="28"/>
              </w:rPr>
              <w:t>患者信息对接</w:t>
            </w:r>
          </w:p>
        </w:tc>
        <w:tc>
          <w:tcPr>
            <w:tcW w:w="2736" w:type="dxa"/>
          </w:tcPr>
          <w:p>
            <w:pPr>
              <w:spacing w:after="0" w:line="240" w:lineRule="auto"/>
              <w:jc w:val="center"/>
            </w:pPr>
            <w:r>
              <w:rPr>
                <w:rFonts w:ascii="仿宋_GB2312" w:hAnsi="仿宋_GB2312" w:eastAsia="仿宋_GB2312"/>
                <w:b w:val="0"/>
                <w:color w:val="000000"/>
                <w:sz w:val="28"/>
              </w:rPr>
              <w:t>患者及住院信息获取</w:t>
            </w:r>
          </w:p>
        </w:tc>
        <w:tc>
          <w:tcPr>
            <w:tcW w:w="5445" w:type="dxa"/>
          </w:tcPr>
          <w:p>
            <w:pPr>
              <w:spacing w:after="0" w:line="240" w:lineRule="auto"/>
              <w:jc w:val="left"/>
            </w:pPr>
            <w:r>
              <w:rPr>
                <w:rFonts w:ascii="仿宋_GB2312" w:hAnsi="仿宋_GB2312" w:eastAsia="仿宋_GB2312"/>
                <w:b w:val="0"/>
                <w:color w:val="000000"/>
                <w:sz w:val="28"/>
              </w:rPr>
              <w:t>适配获取出院病人信息（XML）、获取在院病人住院信息、住院转科信息查询服务（HL7V3），实时同步住院患者ID列表、基本信息、转科信息，保障院感病例监测全覆盖。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3</w:t>
            </w:r>
          </w:p>
        </w:tc>
        <w:tc>
          <w:tcPr>
            <w:tcW w:w="851" w:type="dxa"/>
          </w:tcPr>
          <w:p>
            <w:pPr>
              <w:spacing w:after="0" w:line="240" w:lineRule="auto"/>
              <w:jc w:val="center"/>
            </w:pPr>
            <w:r>
              <w:rPr>
                <w:rFonts w:ascii="仿宋_GB2312" w:hAnsi="仿宋_GB2312" w:eastAsia="仿宋_GB2312"/>
                <w:b w:val="0"/>
                <w:color w:val="000000"/>
                <w:sz w:val="28"/>
              </w:rPr>
              <w:t>医嘱及用药对接</w:t>
            </w:r>
          </w:p>
        </w:tc>
        <w:tc>
          <w:tcPr>
            <w:tcW w:w="2736" w:type="dxa"/>
          </w:tcPr>
          <w:p>
            <w:pPr>
              <w:spacing w:after="0" w:line="240" w:lineRule="auto"/>
              <w:jc w:val="center"/>
            </w:pPr>
            <w:r>
              <w:rPr>
                <w:rFonts w:ascii="仿宋_GB2312" w:hAnsi="仿宋_GB2312" w:eastAsia="仿宋_GB2312"/>
                <w:b w:val="0"/>
                <w:color w:val="000000"/>
                <w:sz w:val="28"/>
              </w:rPr>
              <w:t>医嘱与抗菌药物数据</w:t>
            </w:r>
          </w:p>
        </w:tc>
        <w:tc>
          <w:tcPr>
            <w:tcW w:w="5445" w:type="dxa"/>
          </w:tcPr>
          <w:p>
            <w:pPr>
              <w:spacing w:after="0" w:line="240" w:lineRule="auto"/>
              <w:jc w:val="left"/>
            </w:pPr>
            <w:r>
              <w:rPr>
                <w:rFonts w:ascii="仿宋_GB2312" w:hAnsi="仿宋_GB2312" w:eastAsia="仿宋_GB2312"/>
                <w:b w:val="0"/>
                <w:color w:val="000000"/>
                <w:sz w:val="28"/>
              </w:rPr>
              <w:t>适配获取患者医嘱信息（XML）、获取抗生素用药信息（XML）、获取抗菌药物报告信息（XML）接口，同步住院患者抗菌医嘱数据，支撑抗菌药物使用监测。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4</w:t>
            </w:r>
          </w:p>
        </w:tc>
        <w:tc>
          <w:tcPr>
            <w:tcW w:w="851" w:type="dxa"/>
          </w:tcPr>
          <w:p>
            <w:pPr>
              <w:spacing w:after="0" w:line="240" w:lineRule="auto"/>
              <w:jc w:val="center"/>
            </w:pPr>
            <w:r>
              <w:rPr>
                <w:rFonts w:ascii="仿宋_GB2312" w:hAnsi="仿宋_GB2312" w:eastAsia="仿宋_GB2312"/>
                <w:b w:val="0"/>
                <w:color w:val="000000"/>
                <w:sz w:val="28"/>
              </w:rPr>
              <w:t>检验数据对接</w:t>
            </w:r>
          </w:p>
        </w:tc>
        <w:tc>
          <w:tcPr>
            <w:tcW w:w="2736" w:type="dxa"/>
          </w:tcPr>
          <w:p>
            <w:pPr>
              <w:spacing w:after="0" w:line="240" w:lineRule="auto"/>
              <w:jc w:val="center"/>
            </w:pPr>
            <w:r>
              <w:rPr>
                <w:rFonts w:ascii="仿宋_GB2312" w:hAnsi="仿宋_GB2312" w:eastAsia="仿宋_GB2312"/>
                <w:b w:val="0"/>
                <w:color w:val="000000"/>
                <w:sz w:val="28"/>
              </w:rPr>
              <w:t>检验及微生物数据获取</w:t>
            </w:r>
          </w:p>
        </w:tc>
        <w:tc>
          <w:tcPr>
            <w:tcW w:w="5445" w:type="dxa"/>
          </w:tcPr>
          <w:p>
            <w:pPr>
              <w:spacing w:after="0" w:line="240" w:lineRule="auto"/>
              <w:jc w:val="left"/>
            </w:pPr>
            <w:r>
              <w:rPr>
                <w:rFonts w:ascii="仿宋_GB2312" w:hAnsi="仿宋_GB2312" w:eastAsia="仿宋_GB2312"/>
                <w:b w:val="0"/>
                <w:color w:val="000000"/>
                <w:sz w:val="28"/>
              </w:rPr>
              <w:t>适配获取检验报告列表信息、检验报告XML格式、细菌培养数据、药敏培养数据（XML）接口，同步患者检验常规、菌培养、药敏数据，支撑院感预警研判。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5</w:t>
            </w:r>
          </w:p>
        </w:tc>
        <w:tc>
          <w:tcPr>
            <w:tcW w:w="851" w:type="dxa"/>
          </w:tcPr>
          <w:p>
            <w:pPr>
              <w:spacing w:after="0" w:line="240" w:lineRule="auto"/>
              <w:jc w:val="center"/>
            </w:pPr>
            <w:r>
              <w:rPr>
                <w:rFonts w:ascii="仿宋_GB2312" w:hAnsi="仿宋_GB2312" w:eastAsia="仿宋_GB2312"/>
                <w:b w:val="0"/>
                <w:color w:val="000000"/>
                <w:sz w:val="28"/>
              </w:rPr>
              <w:t>检查数据对接</w:t>
            </w:r>
          </w:p>
        </w:tc>
        <w:tc>
          <w:tcPr>
            <w:tcW w:w="2736" w:type="dxa"/>
          </w:tcPr>
          <w:p>
            <w:pPr>
              <w:spacing w:after="0" w:line="240" w:lineRule="auto"/>
              <w:jc w:val="center"/>
            </w:pPr>
            <w:r>
              <w:rPr>
                <w:rFonts w:ascii="仿宋_GB2312" w:hAnsi="仿宋_GB2312" w:eastAsia="仿宋_GB2312"/>
                <w:b w:val="0"/>
                <w:color w:val="000000"/>
                <w:sz w:val="28"/>
              </w:rPr>
              <w:t>影像检查数据获取</w:t>
            </w:r>
          </w:p>
        </w:tc>
        <w:tc>
          <w:tcPr>
            <w:tcW w:w="5445" w:type="dxa"/>
          </w:tcPr>
          <w:p>
            <w:pPr>
              <w:spacing w:after="0" w:line="240" w:lineRule="auto"/>
              <w:jc w:val="left"/>
            </w:pPr>
            <w:r>
              <w:rPr>
                <w:rFonts w:ascii="仿宋_GB2312" w:hAnsi="仿宋_GB2312" w:eastAsia="仿宋_GB2312"/>
                <w:b w:val="0"/>
                <w:color w:val="000000"/>
                <w:sz w:val="28"/>
              </w:rPr>
              <w:t>适配获取检查报告列表信息、检查报告XML格式（XML）接口，同步住院患者影像检查数据，辅助感染诊断。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6</w:t>
            </w:r>
          </w:p>
        </w:tc>
        <w:tc>
          <w:tcPr>
            <w:tcW w:w="851" w:type="dxa"/>
          </w:tcPr>
          <w:p>
            <w:pPr>
              <w:spacing w:after="0" w:line="240" w:lineRule="auto"/>
              <w:jc w:val="center"/>
            </w:pPr>
            <w:r>
              <w:rPr>
                <w:rFonts w:ascii="仿宋_GB2312" w:hAnsi="仿宋_GB2312" w:eastAsia="仿宋_GB2312"/>
                <w:b w:val="0"/>
                <w:color w:val="000000"/>
                <w:sz w:val="28"/>
              </w:rPr>
              <w:t>手术数据对接</w:t>
            </w:r>
          </w:p>
        </w:tc>
        <w:tc>
          <w:tcPr>
            <w:tcW w:w="2736" w:type="dxa"/>
          </w:tcPr>
          <w:p>
            <w:pPr>
              <w:spacing w:after="0" w:line="240" w:lineRule="auto"/>
              <w:jc w:val="center"/>
            </w:pPr>
            <w:r>
              <w:rPr>
                <w:rFonts w:ascii="仿宋_GB2312" w:hAnsi="仿宋_GB2312" w:eastAsia="仿宋_GB2312"/>
                <w:b w:val="0"/>
                <w:color w:val="000000"/>
                <w:sz w:val="28"/>
              </w:rPr>
              <w:t>手术相关数据获取</w:t>
            </w:r>
          </w:p>
        </w:tc>
        <w:tc>
          <w:tcPr>
            <w:tcW w:w="5445" w:type="dxa"/>
          </w:tcPr>
          <w:p>
            <w:pPr>
              <w:spacing w:after="0" w:line="240" w:lineRule="auto"/>
              <w:jc w:val="left"/>
            </w:pPr>
            <w:r>
              <w:rPr>
                <w:rFonts w:ascii="仿宋_GB2312" w:hAnsi="仿宋_GB2312" w:eastAsia="仿宋_GB2312"/>
                <w:b w:val="0"/>
                <w:color w:val="000000"/>
                <w:sz w:val="28"/>
              </w:rPr>
              <w:t>适配获取病人手术信息、手术事件信息、病案首页手术信息（XML）接口，同步手术麻醉事件数据，支撑手术部位感染监测。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7</w:t>
            </w:r>
          </w:p>
        </w:tc>
        <w:tc>
          <w:tcPr>
            <w:tcW w:w="851" w:type="dxa"/>
          </w:tcPr>
          <w:p>
            <w:pPr>
              <w:spacing w:after="0" w:line="240" w:lineRule="auto"/>
              <w:jc w:val="center"/>
            </w:pPr>
            <w:r>
              <w:rPr>
                <w:rFonts w:ascii="仿宋_GB2312" w:hAnsi="仿宋_GB2312" w:eastAsia="仿宋_GB2312"/>
                <w:b w:val="0"/>
                <w:color w:val="000000"/>
                <w:sz w:val="28"/>
              </w:rPr>
              <w:t>病历数据对接</w:t>
            </w:r>
          </w:p>
        </w:tc>
        <w:tc>
          <w:tcPr>
            <w:tcW w:w="2736" w:type="dxa"/>
          </w:tcPr>
          <w:p>
            <w:pPr>
              <w:spacing w:after="0" w:line="240" w:lineRule="auto"/>
              <w:jc w:val="center"/>
            </w:pPr>
            <w:r>
              <w:rPr>
                <w:rFonts w:ascii="仿宋_GB2312" w:hAnsi="仿宋_GB2312" w:eastAsia="仿宋_GB2312"/>
                <w:b w:val="0"/>
                <w:color w:val="000000"/>
                <w:sz w:val="28"/>
              </w:rPr>
              <w:t>病历文书数据获取</w:t>
            </w:r>
          </w:p>
        </w:tc>
        <w:tc>
          <w:tcPr>
            <w:tcW w:w="5445" w:type="dxa"/>
          </w:tcPr>
          <w:p>
            <w:pPr>
              <w:spacing w:after="0" w:line="240" w:lineRule="auto"/>
              <w:jc w:val="left"/>
            </w:pPr>
            <w:r>
              <w:rPr>
                <w:rFonts w:ascii="仿宋_GB2312" w:hAnsi="仿宋_GB2312" w:eastAsia="仿宋_GB2312"/>
                <w:b w:val="0"/>
                <w:color w:val="000000"/>
                <w:sz w:val="28"/>
              </w:rPr>
              <w:t>适配获取发热体温信息、病程记录信息（XML）接口，同步患者体温、病程记录、诊断数据，支撑院感疑似病例筛查。</w:t>
            </w:r>
          </w:p>
        </w:tc>
      </w:tr>
    </w:tbl>
    <w:p>
      <w:r>
        <w:rPr>
          <w:rFonts w:ascii="仿宋_GB2312" w:hAnsi="仿宋_GB2312" w:eastAsia="仿宋_GB2312"/>
          <w:b/>
          <w:color w:val="000000"/>
          <w:sz w:val="28"/>
        </w:rPr>
        <w:t>（七）生命体征采集系统接口适配</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6"/>
        <w:gridCol w:w="2436"/>
        <w:gridCol w:w="2436"/>
        <w:gridCol w:w="2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color w:val="000000"/>
                <w:sz w:val="28"/>
              </w:rPr>
              <w:t>序号</w:t>
            </w:r>
          </w:p>
        </w:tc>
        <w:tc>
          <w:tcPr>
            <w:tcW w:w="851" w:type="dxa"/>
          </w:tcPr>
          <w:p>
            <w:pPr>
              <w:spacing w:after="0" w:line="240" w:lineRule="auto"/>
              <w:jc w:val="center"/>
            </w:pPr>
            <w:r>
              <w:rPr>
                <w:rFonts w:ascii="仿宋_GB2312" w:hAnsi="仿宋_GB2312" w:eastAsia="仿宋_GB2312"/>
                <w:b/>
                <w:color w:val="000000"/>
                <w:sz w:val="28"/>
              </w:rPr>
              <w:t>名称</w:t>
            </w:r>
          </w:p>
        </w:tc>
        <w:tc>
          <w:tcPr>
            <w:tcW w:w="2736" w:type="dxa"/>
          </w:tcPr>
          <w:p>
            <w:pPr>
              <w:spacing w:after="0" w:line="240" w:lineRule="auto"/>
              <w:jc w:val="center"/>
            </w:pPr>
            <w:r>
              <w:rPr>
                <w:rFonts w:ascii="仿宋_GB2312" w:hAnsi="仿宋_GB2312" w:eastAsia="仿宋_GB2312"/>
                <w:b/>
                <w:color w:val="000000"/>
                <w:sz w:val="28"/>
              </w:rPr>
              <w:t>确认功能\需求内容</w:t>
            </w:r>
          </w:p>
        </w:tc>
        <w:tc>
          <w:tcPr>
            <w:tcW w:w="5445" w:type="dxa"/>
          </w:tcPr>
          <w:p>
            <w:pPr>
              <w:spacing w:after="0" w:line="240" w:lineRule="auto"/>
              <w:jc w:val="center"/>
            </w:pPr>
            <w:r>
              <w:rPr>
                <w:rFonts w:ascii="仿宋_GB2312" w:hAnsi="仿宋_GB2312" w:eastAsia="仿宋_GB2312"/>
                <w:b/>
                <w:color w:val="000000"/>
                <w:sz w:val="28"/>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1</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体温单数据交互</w:t>
            </w:r>
          </w:p>
        </w:tc>
        <w:tc>
          <w:tcPr>
            <w:tcW w:w="2736" w:type="dxa"/>
          </w:tcPr>
          <w:p>
            <w:pPr>
              <w:spacing w:after="0" w:line="240" w:lineRule="auto"/>
              <w:jc w:val="center"/>
            </w:pPr>
            <w:r>
              <w:rPr>
                <w:rFonts w:ascii="仿宋_GB2312" w:hAnsi="仿宋_GB2312" w:eastAsia="仿宋_GB2312"/>
                <w:b w:val="0"/>
                <w:color w:val="000000"/>
                <w:sz w:val="28"/>
              </w:rPr>
              <w:t>获取体温单周次列表</w:t>
            </w:r>
          </w:p>
        </w:tc>
        <w:tc>
          <w:tcPr>
            <w:tcW w:w="5445" w:type="dxa"/>
          </w:tcPr>
          <w:p>
            <w:pPr>
              <w:spacing w:after="0" w:line="240" w:lineRule="auto"/>
              <w:jc w:val="left"/>
            </w:pPr>
            <w:r>
              <w:rPr>
                <w:rFonts w:ascii="仿宋_GB2312" w:hAnsi="仿宋_GB2312" w:eastAsia="仿宋_GB2312"/>
                <w:b w:val="0"/>
                <w:color w:val="000000"/>
                <w:sz w:val="28"/>
              </w:rPr>
              <w:t>适配EMR获取体温单周次列表接口（listWeekTempData），支持按病人ID、住院号查询体温单录入的周次信息，用作列表展示查看。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获取体温单数据</w:t>
            </w:r>
          </w:p>
        </w:tc>
        <w:tc>
          <w:tcPr>
            <w:tcW w:w="5445" w:type="dxa"/>
          </w:tcPr>
          <w:p>
            <w:pPr>
              <w:spacing w:after="0" w:line="240" w:lineRule="auto"/>
              <w:jc w:val="left"/>
            </w:pPr>
            <w:r>
              <w:rPr>
                <w:rFonts w:ascii="仿宋_GB2312" w:hAnsi="仿宋_GB2312" w:eastAsia="仿宋_GB2312"/>
                <w:b w:val="0"/>
                <w:color w:val="000000"/>
                <w:sz w:val="28"/>
              </w:rPr>
              <w:t>适配EMR获取体温单数据接口（getPatTemperatureByPoint），按病人ID、住院号、成人/婴儿标识、体征时间点获取病人体温单数据，包含体温、脉搏、呼吸、血压、心率、体重、身高、入量、出量、尿量、大便次数等点数据、天数据和扩展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保存单人体温单</w:t>
            </w:r>
          </w:p>
        </w:tc>
        <w:tc>
          <w:tcPr>
            <w:tcW w:w="5445" w:type="dxa"/>
          </w:tcPr>
          <w:p>
            <w:pPr>
              <w:spacing w:after="0" w:line="240" w:lineRule="auto"/>
              <w:jc w:val="left"/>
            </w:pPr>
            <w:r>
              <w:rPr>
                <w:rFonts w:ascii="仿宋_GB2312" w:hAnsi="仿宋_GB2312" w:eastAsia="仿宋_GB2312"/>
                <w:b w:val="0"/>
                <w:color w:val="000000"/>
                <w:sz w:val="28"/>
              </w:rPr>
              <w:t>适配EMR保存单人体温单接口（savePatTemperature），按体温数据集合（日期时间戳、体征采集时间等）保存体征数据，返回XML格式处理结果（处理结果代码AA成功、AE失败）。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2</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护理模板交互</w:t>
            </w:r>
          </w:p>
        </w:tc>
        <w:tc>
          <w:tcPr>
            <w:tcW w:w="2736" w:type="dxa"/>
          </w:tcPr>
          <w:p>
            <w:pPr>
              <w:spacing w:after="0" w:line="240" w:lineRule="auto"/>
              <w:jc w:val="center"/>
            </w:pPr>
            <w:r>
              <w:rPr>
                <w:rFonts w:ascii="仿宋_GB2312" w:hAnsi="仿宋_GB2312" w:eastAsia="仿宋_GB2312"/>
                <w:b w:val="0"/>
                <w:color w:val="000000"/>
                <w:sz w:val="28"/>
              </w:rPr>
              <w:t>获取科室分发的护理模板</w:t>
            </w:r>
          </w:p>
        </w:tc>
        <w:tc>
          <w:tcPr>
            <w:tcW w:w="5445" w:type="dxa"/>
          </w:tcPr>
          <w:p>
            <w:pPr>
              <w:spacing w:after="0" w:line="240" w:lineRule="auto"/>
              <w:jc w:val="left"/>
            </w:pPr>
            <w:r>
              <w:rPr>
                <w:rFonts w:ascii="仿宋_GB2312" w:hAnsi="仿宋_GB2312" w:eastAsia="仿宋_GB2312"/>
                <w:b w:val="0"/>
                <w:color w:val="000000"/>
                <w:sz w:val="28"/>
              </w:rPr>
              <w:t>适配EMR获取指定科室分发的护理模板接口（getDistributedTemplateList），按病历类别代码、科室代码、操作者ID查询科室分发的体温单模板。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获取模板所有列信息</w:t>
            </w:r>
          </w:p>
        </w:tc>
        <w:tc>
          <w:tcPr>
            <w:tcW w:w="5445" w:type="dxa"/>
          </w:tcPr>
          <w:p>
            <w:pPr>
              <w:spacing w:after="0" w:line="240" w:lineRule="auto"/>
              <w:jc w:val="left"/>
            </w:pPr>
            <w:r>
              <w:rPr>
                <w:rFonts w:ascii="仿宋_GB2312" w:hAnsi="仿宋_GB2312" w:eastAsia="仿宋_GB2312"/>
                <w:b w:val="0"/>
                <w:color w:val="000000"/>
                <w:sz w:val="28"/>
              </w:rPr>
              <w:t>适配EMR获取模板所有列信息接口（getTemplateCellList），按病人ID、住院号、模板ID等参数获取模板列信息。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3</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护理记录交互</w:t>
            </w:r>
          </w:p>
        </w:tc>
        <w:tc>
          <w:tcPr>
            <w:tcW w:w="2736" w:type="dxa"/>
          </w:tcPr>
          <w:p>
            <w:pPr>
              <w:spacing w:after="0" w:line="240" w:lineRule="auto"/>
              <w:jc w:val="center"/>
            </w:pPr>
            <w:r>
              <w:rPr>
                <w:rFonts w:ascii="仿宋_GB2312" w:hAnsi="仿宋_GB2312" w:eastAsia="仿宋_GB2312"/>
                <w:b w:val="0"/>
                <w:color w:val="000000"/>
                <w:sz w:val="28"/>
              </w:rPr>
              <w:t>获取单条护理记录信息</w:t>
            </w:r>
          </w:p>
        </w:tc>
        <w:tc>
          <w:tcPr>
            <w:tcW w:w="5445" w:type="dxa"/>
          </w:tcPr>
          <w:p>
            <w:pPr>
              <w:spacing w:after="0" w:line="240" w:lineRule="auto"/>
              <w:jc w:val="left"/>
            </w:pPr>
            <w:r>
              <w:rPr>
                <w:rFonts w:ascii="仿宋_GB2312" w:hAnsi="仿宋_GB2312" w:eastAsia="仿宋_GB2312"/>
                <w:b w:val="0"/>
                <w:color w:val="000000"/>
                <w:sz w:val="28"/>
              </w:rPr>
              <w:t>适配EMR获取单条护理记录信息接口（getNurseRecordById），根据护理记录唯一标识获取单条护理记录信息。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保存护理记录</w:t>
            </w:r>
          </w:p>
        </w:tc>
        <w:tc>
          <w:tcPr>
            <w:tcW w:w="5445" w:type="dxa"/>
          </w:tcPr>
          <w:p>
            <w:pPr>
              <w:spacing w:after="0" w:line="240" w:lineRule="auto"/>
              <w:jc w:val="left"/>
            </w:pPr>
            <w:r>
              <w:rPr>
                <w:rFonts w:ascii="仿宋_GB2312" w:hAnsi="仿宋_GB2312" w:eastAsia="仿宋_GB2312"/>
                <w:b w:val="0"/>
                <w:color w:val="000000"/>
                <w:sz w:val="28"/>
              </w:rPr>
              <w:t>适配EMR保存护理记录接口，按住院号、病人ID、成人/婴儿标识等保存护理记录数据。（注：原文档中该方法名称栏显示为savePatTemperature，疑为文档笔误，具体方法名称待与厂商确认）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4</w:t>
            </w:r>
          </w:p>
        </w:tc>
        <w:tc>
          <w:tcPr>
            <w:tcW w:w="851" w:type="dxa"/>
          </w:tcPr>
          <w:p>
            <w:pPr>
              <w:spacing w:after="0" w:line="240" w:lineRule="auto"/>
              <w:jc w:val="center"/>
            </w:pPr>
            <w:r>
              <w:rPr>
                <w:rFonts w:ascii="仿宋_GB2312" w:hAnsi="仿宋_GB2312" w:eastAsia="仿宋_GB2312"/>
                <w:b w:val="0"/>
                <w:color w:val="000000"/>
                <w:sz w:val="28"/>
              </w:rPr>
              <w:t>接口调用方式</w:t>
            </w:r>
          </w:p>
        </w:tc>
        <w:tc>
          <w:tcPr>
            <w:tcW w:w="2736" w:type="dxa"/>
          </w:tcPr>
          <w:p>
            <w:pPr>
              <w:spacing w:after="0" w:line="240" w:lineRule="auto"/>
              <w:jc w:val="center"/>
            </w:pPr>
            <w:r>
              <w:rPr>
                <w:rFonts w:ascii="仿宋_GB2312" w:hAnsi="仿宋_GB2312" w:eastAsia="仿宋_GB2312"/>
                <w:b w:val="0"/>
                <w:color w:val="000000"/>
                <w:sz w:val="28"/>
              </w:rPr>
              <w:t>服务地址及调用参数</w:t>
            </w:r>
          </w:p>
        </w:tc>
        <w:tc>
          <w:tcPr>
            <w:tcW w:w="5445" w:type="dxa"/>
          </w:tcPr>
          <w:p>
            <w:pPr>
              <w:spacing w:after="0" w:line="240" w:lineRule="auto"/>
              <w:jc w:val="left"/>
            </w:pPr>
            <w:r>
              <w:rPr>
                <w:rFonts w:ascii="仿宋_GB2312" w:hAnsi="仿宋_GB2312" w:eastAsia="仿宋_GB2312"/>
                <w:b w:val="0"/>
                <w:color w:val="000000"/>
                <w:sz w:val="28"/>
              </w:rPr>
              <w:t>接口入参采用JSON数据格式，通过第三方适配服务统一调用EMR接口；生产环境服务地址原文档未提供，待现场实施时提供（待补充）。</w:t>
            </w:r>
          </w:p>
        </w:tc>
      </w:tr>
    </w:tbl>
    <w:p>
      <w:r>
        <w:rPr>
          <w:rFonts w:ascii="仿宋_GB2312" w:hAnsi="仿宋_GB2312" w:eastAsia="仿宋_GB2312"/>
          <w:b/>
          <w:color w:val="000000"/>
          <w:sz w:val="28"/>
        </w:rPr>
        <w:t>（八）体检软件系统接口适配</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6"/>
        <w:gridCol w:w="2436"/>
        <w:gridCol w:w="2436"/>
        <w:gridCol w:w="2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tcPr>
          <w:p>
            <w:pPr>
              <w:spacing w:after="0" w:line="240" w:lineRule="auto"/>
              <w:jc w:val="center"/>
            </w:pPr>
            <w:r>
              <w:rPr>
                <w:rFonts w:ascii="仿宋_GB2312" w:hAnsi="仿宋_GB2312" w:eastAsia="仿宋_GB2312"/>
                <w:b/>
                <w:color w:val="000000"/>
                <w:sz w:val="28"/>
              </w:rPr>
              <w:t>序号</w:t>
            </w:r>
          </w:p>
        </w:tc>
        <w:tc>
          <w:tcPr>
            <w:tcW w:w="2436" w:type="dxa"/>
          </w:tcPr>
          <w:p>
            <w:pPr>
              <w:spacing w:after="0" w:line="240" w:lineRule="auto"/>
              <w:jc w:val="center"/>
            </w:pPr>
            <w:r>
              <w:rPr>
                <w:rFonts w:ascii="仿宋_GB2312" w:hAnsi="仿宋_GB2312" w:eastAsia="仿宋_GB2312"/>
                <w:b/>
                <w:color w:val="000000"/>
                <w:sz w:val="28"/>
              </w:rPr>
              <w:t>名称</w:t>
            </w:r>
          </w:p>
        </w:tc>
        <w:tc>
          <w:tcPr>
            <w:tcW w:w="2436" w:type="dxa"/>
          </w:tcPr>
          <w:p>
            <w:pPr>
              <w:spacing w:after="0" w:line="240" w:lineRule="auto"/>
              <w:jc w:val="center"/>
            </w:pPr>
            <w:r>
              <w:rPr>
                <w:rFonts w:ascii="仿宋_GB2312" w:hAnsi="仿宋_GB2312" w:eastAsia="仿宋_GB2312"/>
                <w:b/>
                <w:color w:val="000000"/>
                <w:sz w:val="28"/>
              </w:rPr>
              <w:t>确认功能\需求内容</w:t>
            </w:r>
          </w:p>
        </w:tc>
        <w:tc>
          <w:tcPr>
            <w:tcW w:w="2436" w:type="dxa"/>
          </w:tcPr>
          <w:p>
            <w:pPr>
              <w:spacing w:after="0" w:line="240" w:lineRule="auto"/>
              <w:jc w:val="center"/>
            </w:pPr>
            <w:r>
              <w:rPr>
                <w:rFonts w:ascii="仿宋_GB2312" w:hAnsi="仿宋_GB2312" w:eastAsia="仿宋_GB2312"/>
                <w:b/>
                <w:color w:val="000000"/>
                <w:sz w:val="28"/>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Merge w:val="restart"/>
            <w:vAlign w:val="center"/>
          </w:tcPr>
          <w:p>
            <w:pPr>
              <w:spacing w:after="0" w:line="240" w:lineRule="auto"/>
              <w:jc w:val="center"/>
            </w:pPr>
            <w:r>
              <w:rPr>
                <w:rFonts w:ascii="仿宋_GB2312" w:hAnsi="仿宋_GB2312" w:eastAsia="仿宋_GB2312"/>
                <w:b w:val="0"/>
                <w:color w:val="000000"/>
                <w:sz w:val="28"/>
              </w:rPr>
              <w:t>1</w:t>
            </w:r>
          </w:p>
        </w:tc>
        <w:tc>
          <w:tcPr>
            <w:tcW w:w="2436" w:type="dxa"/>
            <w:vMerge w:val="restart"/>
            <w:vAlign w:val="center"/>
          </w:tcPr>
          <w:p>
            <w:pPr>
              <w:spacing w:after="0" w:line="240" w:lineRule="auto"/>
              <w:jc w:val="center"/>
            </w:pPr>
            <w:r>
              <w:rPr>
                <w:rFonts w:ascii="仿宋_GB2312" w:hAnsi="仿宋_GB2312" w:eastAsia="仿宋_GB2312"/>
                <w:b w:val="0"/>
                <w:color w:val="000000"/>
                <w:sz w:val="28"/>
              </w:rPr>
              <w:t>申请信息交互（HL7V3）</w:t>
            </w:r>
          </w:p>
        </w:tc>
        <w:tc>
          <w:tcPr>
            <w:tcW w:w="2436" w:type="dxa"/>
          </w:tcPr>
          <w:p>
            <w:pPr>
              <w:spacing w:after="0" w:line="240" w:lineRule="auto"/>
              <w:jc w:val="center"/>
            </w:pPr>
            <w:r>
              <w:rPr>
                <w:rFonts w:ascii="仿宋_GB2312" w:hAnsi="仿宋_GB2312" w:eastAsia="仿宋_GB2312"/>
                <w:b w:val="0"/>
                <w:color w:val="000000"/>
                <w:sz w:val="28"/>
              </w:rPr>
              <w:t>检查申请信息交互</w:t>
            </w:r>
          </w:p>
        </w:tc>
        <w:tc>
          <w:tcPr>
            <w:tcW w:w="2436" w:type="dxa"/>
          </w:tcPr>
          <w:p>
            <w:pPr>
              <w:spacing w:after="0" w:line="240" w:lineRule="auto"/>
              <w:jc w:val="left"/>
            </w:pPr>
            <w:r>
              <w:rPr>
                <w:rFonts w:ascii="仿宋_GB2312" w:hAnsi="仿宋_GB2312" w:eastAsia="仿宋_GB2312"/>
                <w:b w:val="0"/>
                <w:color w:val="000000"/>
                <w:sz w:val="28"/>
              </w:rPr>
              <w:t>适配集成平台检查申请信息新增、更新、查询服务（HL7V3），实时接收体检相关检查申请单开立、变更信息并支持查询，实现检查申请闭环管理。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Merge w:val="continue"/>
          </w:tcPr>
          <w:p>
            <w:pPr>
              <w:spacing w:after="0" w:line="240" w:lineRule="auto"/>
              <w:jc w:val="center"/>
            </w:pPr>
          </w:p>
        </w:tc>
        <w:tc>
          <w:tcPr>
            <w:tcW w:w="2436" w:type="dxa"/>
            <w:vMerge w:val="continue"/>
          </w:tcPr>
          <w:p>
            <w:pPr>
              <w:spacing w:after="0" w:line="240" w:lineRule="auto"/>
              <w:jc w:val="center"/>
            </w:pPr>
          </w:p>
        </w:tc>
        <w:tc>
          <w:tcPr>
            <w:tcW w:w="2436" w:type="dxa"/>
          </w:tcPr>
          <w:p>
            <w:pPr>
              <w:spacing w:after="0" w:line="240" w:lineRule="auto"/>
              <w:jc w:val="center"/>
            </w:pPr>
            <w:r>
              <w:rPr>
                <w:rFonts w:ascii="仿宋_GB2312" w:hAnsi="仿宋_GB2312" w:eastAsia="仿宋_GB2312"/>
                <w:b w:val="0"/>
                <w:color w:val="000000"/>
                <w:sz w:val="28"/>
              </w:rPr>
              <w:t>检验申请信息交互</w:t>
            </w:r>
          </w:p>
        </w:tc>
        <w:tc>
          <w:tcPr>
            <w:tcW w:w="2436" w:type="dxa"/>
          </w:tcPr>
          <w:p>
            <w:pPr>
              <w:spacing w:after="0" w:line="240" w:lineRule="auto"/>
              <w:jc w:val="left"/>
            </w:pPr>
            <w:r>
              <w:rPr>
                <w:rFonts w:ascii="仿宋_GB2312" w:hAnsi="仿宋_GB2312" w:eastAsia="仿宋_GB2312"/>
                <w:b w:val="0"/>
                <w:color w:val="000000"/>
                <w:sz w:val="28"/>
              </w:rPr>
              <w:t>适配集成平台检验申请信息新增、更新、查询服务（HL7V3），实时接收体检相关检验申请单开立、变更信息并支持查询，实现检验申请闭环管理。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Merge w:val="continue"/>
          </w:tcPr>
          <w:p>
            <w:pPr>
              <w:spacing w:after="0" w:line="240" w:lineRule="auto"/>
              <w:jc w:val="center"/>
            </w:pPr>
          </w:p>
        </w:tc>
        <w:tc>
          <w:tcPr>
            <w:tcW w:w="2436" w:type="dxa"/>
            <w:vMerge w:val="continue"/>
          </w:tcPr>
          <w:p>
            <w:pPr>
              <w:spacing w:after="0" w:line="240" w:lineRule="auto"/>
              <w:jc w:val="center"/>
            </w:pPr>
          </w:p>
        </w:tc>
        <w:tc>
          <w:tcPr>
            <w:tcW w:w="2436" w:type="dxa"/>
          </w:tcPr>
          <w:p>
            <w:pPr>
              <w:spacing w:after="0" w:line="240" w:lineRule="auto"/>
              <w:jc w:val="center"/>
            </w:pPr>
            <w:r>
              <w:rPr>
                <w:rFonts w:ascii="仿宋_GB2312" w:hAnsi="仿宋_GB2312" w:eastAsia="仿宋_GB2312"/>
                <w:b w:val="0"/>
                <w:color w:val="000000"/>
                <w:sz w:val="28"/>
              </w:rPr>
              <w:t>病理申请信息交互</w:t>
            </w:r>
          </w:p>
        </w:tc>
        <w:tc>
          <w:tcPr>
            <w:tcW w:w="2436" w:type="dxa"/>
          </w:tcPr>
          <w:p>
            <w:pPr>
              <w:spacing w:after="0" w:line="240" w:lineRule="auto"/>
              <w:jc w:val="left"/>
            </w:pPr>
            <w:r>
              <w:rPr>
                <w:rFonts w:ascii="仿宋_GB2312" w:hAnsi="仿宋_GB2312" w:eastAsia="仿宋_GB2312"/>
                <w:b w:val="0"/>
                <w:color w:val="000000"/>
                <w:sz w:val="28"/>
              </w:rPr>
              <w:t>适配集成平台病理申请信息新增、更新、查询服务（HL7V3），实时接收体检相关病理申请信息并支持查询，实现病理申请闭环管理。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Merge w:val="continue"/>
          </w:tcPr>
          <w:p>
            <w:pPr>
              <w:spacing w:after="0" w:line="240" w:lineRule="auto"/>
              <w:jc w:val="center"/>
            </w:pPr>
          </w:p>
        </w:tc>
        <w:tc>
          <w:tcPr>
            <w:tcW w:w="2436" w:type="dxa"/>
            <w:vMerge w:val="continue"/>
          </w:tcPr>
          <w:p>
            <w:pPr>
              <w:spacing w:after="0" w:line="240" w:lineRule="auto"/>
              <w:jc w:val="center"/>
            </w:pPr>
          </w:p>
        </w:tc>
        <w:tc>
          <w:tcPr>
            <w:tcW w:w="2436" w:type="dxa"/>
          </w:tcPr>
          <w:p>
            <w:pPr>
              <w:spacing w:after="0" w:line="240" w:lineRule="auto"/>
              <w:jc w:val="center"/>
            </w:pPr>
            <w:r>
              <w:rPr>
                <w:rFonts w:ascii="仿宋_GB2312" w:hAnsi="仿宋_GB2312" w:eastAsia="仿宋_GB2312"/>
                <w:b w:val="0"/>
                <w:color w:val="000000"/>
                <w:sz w:val="28"/>
              </w:rPr>
              <w:t>检查检验状态更新</w:t>
            </w:r>
          </w:p>
        </w:tc>
        <w:tc>
          <w:tcPr>
            <w:tcW w:w="2436" w:type="dxa"/>
          </w:tcPr>
          <w:p>
            <w:pPr>
              <w:spacing w:after="0" w:line="240" w:lineRule="auto"/>
              <w:jc w:val="left"/>
            </w:pPr>
            <w:r>
              <w:rPr>
                <w:rFonts w:ascii="仿宋_GB2312" w:hAnsi="仿宋_GB2312" w:eastAsia="仿宋_GB2312"/>
                <w:b w:val="0"/>
                <w:color w:val="000000"/>
                <w:sz w:val="28"/>
              </w:rPr>
              <w:t>适配检查状态信息更新、检验状态信息更新服务（HL7V3），申请执行状态变化时实时更新，实现申请-执行-报告全流程状态可跟踪。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tcPr>
          <w:p>
            <w:pPr>
              <w:spacing w:after="0" w:line="240" w:lineRule="auto"/>
              <w:jc w:val="center"/>
            </w:pPr>
            <w:r>
              <w:rPr>
                <w:rFonts w:ascii="仿宋_GB2312" w:hAnsi="仿宋_GB2312" w:eastAsia="仿宋_GB2312"/>
                <w:b w:val="0"/>
                <w:color w:val="000000"/>
                <w:sz w:val="28"/>
              </w:rPr>
              <w:t>2</w:t>
            </w:r>
          </w:p>
        </w:tc>
        <w:tc>
          <w:tcPr>
            <w:tcW w:w="2436" w:type="dxa"/>
          </w:tcPr>
          <w:p>
            <w:pPr>
              <w:spacing w:after="0" w:line="240" w:lineRule="auto"/>
              <w:jc w:val="center"/>
            </w:pPr>
            <w:r>
              <w:rPr>
                <w:rFonts w:ascii="仿宋_GB2312" w:hAnsi="仿宋_GB2312" w:eastAsia="仿宋_GB2312"/>
                <w:b w:val="0"/>
                <w:color w:val="000000"/>
                <w:sz w:val="28"/>
              </w:rPr>
              <w:t>就诊卡信息管理（HL7V3）</w:t>
            </w:r>
          </w:p>
        </w:tc>
        <w:tc>
          <w:tcPr>
            <w:tcW w:w="2436" w:type="dxa"/>
          </w:tcPr>
          <w:p>
            <w:pPr>
              <w:spacing w:after="0" w:line="240" w:lineRule="auto"/>
              <w:jc w:val="center"/>
            </w:pPr>
            <w:r>
              <w:rPr>
                <w:rFonts w:ascii="仿宋_GB2312" w:hAnsi="仿宋_GB2312" w:eastAsia="仿宋_GB2312"/>
                <w:b w:val="0"/>
                <w:color w:val="000000"/>
                <w:sz w:val="28"/>
              </w:rPr>
              <w:t>就诊卡信息交互</w:t>
            </w:r>
          </w:p>
        </w:tc>
        <w:tc>
          <w:tcPr>
            <w:tcW w:w="2436" w:type="dxa"/>
          </w:tcPr>
          <w:p>
            <w:pPr>
              <w:spacing w:after="0" w:line="240" w:lineRule="auto"/>
              <w:jc w:val="left"/>
            </w:pPr>
            <w:r>
              <w:rPr>
                <w:rFonts w:ascii="仿宋_GB2312" w:hAnsi="仿宋_GB2312" w:eastAsia="仿宋_GB2312"/>
                <w:b w:val="0"/>
                <w:color w:val="000000"/>
                <w:sz w:val="28"/>
              </w:rPr>
              <w:t>适配集成平台就诊卡信息新增、更新、查询服务（HL7V3），体检系统新增就诊卡时经集成平台推送HIS统一进行主索引注册，就诊卡信息更新联动同步，并支持按条件查询，保障体检人员身份信息全院统一。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tcPr>
          <w:p>
            <w:pPr>
              <w:spacing w:after="0" w:line="240" w:lineRule="auto"/>
              <w:jc w:val="center"/>
            </w:pPr>
            <w:r>
              <w:rPr>
                <w:rFonts w:ascii="仿宋_GB2312" w:hAnsi="仿宋_GB2312" w:eastAsia="仿宋_GB2312"/>
                <w:b w:val="0"/>
                <w:color w:val="000000"/>
                <w:sz w:val="28"/>
              </w:rPr>
              <w:t>3</w:t>
            </w:r>
          </w:p>
        </w:tc>
        <w:tc>
          <w:tcPr>
            <w:tcW w:w="2436" w:type="dxa"/>
          </w:tcPr>
          <w:p>
            <w:pPr>
              <w:spacing w:after="0" w:line="240" w:lineRule="auto"/>
              <w:jc w:val="center"/>
            </w:pPr>
            <w:r>
              <w:rPr>
                <w:rFonts w:ascii="仿宋_GB2312" w:hAnsi="仿宋_GB2312" w:eastAsia="仿宋_GB2312"/>
                <w:b w:val="0"/>
                <w:color w:val="000000"/>
                <w:sz w:val="28"/>
              </w:rPr>
              <w:t>基础字典同步</w:t>
            </w:r>
          </w:p>
        </w:tc>
        <w:tc>
          <w:tcPr>
            <w:tcW w:w="2436" w:type="dxa"/>
          </w:tcPr>
          <w:p>
            <w:pPr>
              <w:spacing w:after="0" w:line="240" w:lineRule="auto"/>
              <w:jc w:val="center"/>
            </w:pPr>
            <w:r>
              <w:rPr>
                <w:rFonts w:ascii="仿宋_GB2312" w:hAnsi="仿宋_GB2312" w:eastAsia="仿宋_GB2312"/>
                <w:b w:val="0"/>
                <w:color w:val="000000"/>
                <w:sz w:val="28"/>
              </w:rPr>
              <w:t>基础字典获取</w:t>
            </w:r>
          </w:p>
        </w:tc>
        <w:tc>
          <w:tcPr>
            <w:tcW w:w="2436" w:type="dxa"/>
          </w:tcPr>
          <w:p>
            <w:pPr>
              <w:spacing w:after="0" w:line="240" w:lineRule="auto"/>
              <w:jc w:val="left"/>
            </w:pPr>
            <w:r>
              <w:rPr>
                <w:rFonts w:ascii="仿宋_GB2312" w:hAnsi="仿宋_GB2312" w:eastAsia="仿宋_GB2312"/>
                <w:b w:val="0"/>
                <w:color w:val="000000"/>
                <w:sz w:val="28"/>
              </w:rPr>
              <w:t>适配获取科室字典、员工字典、病区字典、标本字典、诊疗项目字典、价表字典（XML）接口，支持按查询条件检索及全量分页获取，完全匹配院内统一数据字典与编码规则。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Merge w:val="restart"/>
            <w:vAlign w:val="center"/>
          </w:tcPr>
          <w:p>
            <w:pPr>
              <w:spacing w:after="0" w:line="240" w:lineRule="auto"/>
              <w:jc w:val="center"/>
            </w:pPr>
            <w:r>
              <w:rPr>
                <w:rFonts w:ascii="仿宋_GB2312" w:hAnsi="仿宋_GB2312" w:eastAsia="仿宋_GB2312"/>
                <w:b w:val="0"/>
                <w:color w:val="000000"/>
                <w:sz w:val="28"/>
              </w:rPr>
              <w:t>4</w:t>
            </w:r>
          </w:p>
        </w:tc>
        <w:tc>
          <w:tcPr>
            <w:tcW w:w="2436" w:type="dxa"/>
            <w:vMerge w:val="restart"/>
            <w:vAlign w:val="center"/>
          </w:tcPr>
          <w:p>
            <w:pPr>
              <w:spacing w:after="0" w:line="240" w:lineRule="auto"/>
              <w:jc w:val="center"/>
            </w:pPr>
            <w:r>
              <w:rPr>
                <w:rFonts w:ascii="仿宋_GB2312" w:hAnsi="仿宋_GB2312" w:eastAsia="仿宋_GB2312"/>
                <w:b w:val="0"/>
                <w:color w:val="000000"/>
                <w:sz w:val="28"/>
              </w:rPr>
              <w:t>检验标本及报告交互</w:t>
            </w:r>
          </w:p>
        </w:tc>
        <w:tc>
          <w:tcPr>
            <w:tcW w:w="2436" w:type="dxa"/>
          </w:tcPr>
          <w:p>
            <w:pPr>
              <w:spacing w:after="0" w:line="240" w:lineRule="auto"/>
              <w:jc w:val="center"/>
            </w:pPr>
            <w:r>
              <w:rPr>
                <w:rFonts w:ascii="仿宋_GB2312" w:hAnsi="仿宋_GB2312" w:eastAsia="仿宋_GB2312"/>
                <w:b w:val="0"/>
                <w:color w:val="000000"/>
                <w:sz w:val="28"/>
              </w:rPr>
              <w:t>检验标本信息发送</w:t>
            </w:r>
          </w:p>
        </w:tc>
        <w:tc>
          <w:tcPr>
            <w:tcW w:w="2436" w:type="dxa"/>
          </w:tcPr>
          <w:p>
            <w:pPr>
              <w:spacing w:after="0" w:line="240" w:lineRule="auto"/>
              <w:jc w:val="left"/>
            </w:pPr>
            <w:r>
              <w:rPr>
                <w:rFonts w:ascii="仿宋_GB2312" w:hAnsi="仿宋_GB2312" w:eastAsia="仿宋_GB2312"/>
                <w:b w:val="0"/>
                <w:color w:val="000000"/>
                <w:sz w:val="28"/>
              </w:rPr>
              <w:t>适配发送检验标本信息（XML）接口，体检检验标本采集、送检信息实时推送集成平台，保障标本流转全程可追溯。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Merge w:val="continue"/>
          </w:tcPr>
          <w:p>
            <w:pPr>
              <w:spacing w:after="0" w:line="240" w:lineRule="auto"/>
              <w:jc w:val="center"/>
            </w:pPr>
          </w:p>
        </w:tc>
        <w:tc>
          <w:tcPr>
            <w:tcW w:w="2436" w:type="dxa"/>
            <w:vMerge w:val="continue"/>
          </w:tcPr>
          <w:p>
            <w:pPr>
              <w:spacing w:after="0" w:line="240" w:lineRule="auto"/>
              <w:jc w:val="center"/>
            </w:pPr>
          </w:p>
        </w:tc>
        <w:tc>
          <w:tcPr>
            <w:tcW w:w="2436" w:type="dxa"/>
          </w:tcPr>
          <w:p>
            <w:pPr>
              <w:spacing w:after="0" w:line="240" w:lineRule="auto"/>
              <w:jc w:val="center"/>
            </w:pPr>
            <w:r>
              <w:rPr>
                <w:rFonts w:ascii="仿宋_GB2312" w:hAnsi="仿宋_GB2312" w:eastAsia="仿宋_GB2312"/>
                <w:b w:val="0"/>
                <w:color w:val="000000"/>
                <w:sz w:val="28"/>
              </w:rPr>
              <w:t>体检检验报告发送</w:t>
            </w:r>
          </w:p>
        </w:tc>
        <w:tc>
          <w:tcPr>
            <w:tcW w:w="2436" w:type="dxa"/>
          </w:tcPr>
          <w:p>
            <w:pPr>
              <w:spacing w:after="0" w:line="240" w:lineRule="auto"/>
              <w:jc w:val="left"/>
            </w:pPr>
            <w:r>
              <w:rPr>
                <w:rFonts w:ascii="仿宋_GB2312" w:hAnsi="仿宋_GB2312" w:eastAsia="仿宋_GB2312"/>
                <w:b w:val="0"/>
                <w:color w:val="000000"/>
                <w:sz w:val="28"/>
              </w:rPr>
              <w:t>适配发送体检检验报告（XML）接口，检验报告完成后实时回传集成平台，供临床调阅及报告汇总。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tcPr>
          <w:p>
            <w:pPr>
              <w:spacing w:after="0" w:line="240" w:lineRule="auto"/>
              <w:jc w:val="center"/>
            </w:pPr>
            <w:r>
              <w:rPr>
                <w:rFonts w:ascii="仿宋_GB2312" w:hAnsi="仿宋_GB2312" w:eastAsia="仿宋_GB2312"/>
                <w:b w:val="0"/>
                <w:color w:val="000000"/>
                <w:sz w:val="28"/>
              </w:rPr>
              <w:t>5</w:t>
            </w:r>
          </w:p>
        </w:tc>
        <w:tc>
          <w:tcPr>
            <w:tcW w:w="2436" w:type="dxa"/>
          </w:tcPr>
          <w:p>
            <w:pPr>
              <w:spacing w:after="0" w:line="240" w:lineRule="auto"/>
              <w:jc w:val="center"/>
            </w:pPr>
            <w:r>
              <w:rPr>
                <w:rFonts w:ascii="仿宋_GB2312" w:hAnsi="仿宋_GB2312" w:eastAsia="仿宋_GB2312"/>
                <w:b w:val="0"/>
                <w:color w:val="000000"/>
                <w:sz w:val="28"/>
              </w:rPr>
              <w:t>体检报告回传</w:t>
            </w:r>
          </w:p>
        </w:tc>
        <w:tc>
          <w:tcPr>
            <w:tcW w:w="2436" w:type="dxa"/>
          </w:tcPr>
          <w:p>
            <w:pPr>
              <w:spacing w:after="0" w:line="240" w:lineRule="auto"/>
              <w:jc w:val="center"/>
            </w:pPr>
            <w:r>
              <w:rPr>
                <w:rFonts w:hint="eastAsia"/>
              </w:rPr>
              <w:t>发送PDF信息</w:t>
            </w:r>
          </w:p>
        </w:tc>
        <w:tc>
          <w:tcPr>
            <w:tcW w:w="2436" w:type="dxa"/>
          </w:tcPr>
          <w:p>
            <w:pPr>
              <w:pStyle w:val="5"/>
              <w:tabs>
                <w:tab w:val="left" w:pos="432"/>
                <w:tab w:val="left" w:pos="720"/>
                <w:tab w:val="left" w:pos="1003"/>
              </w:tabs>
            </w:pPr>
            <w:r>
              <w:rPr>
                <w:rFonts w:ascii="仿宋_GB2312" w:hAnsi="仿宋_GB2312" w:eastAsia="仿宋_GB2312"/>
                <w:b w:val="0"/>
                <w:color w:val="000000"/>
                <w:sz w:val="28"/>
              </w:rPr>
              <w:t>适配发送</w:t>
            </w:r>
            <w:bookmarkStart w:id="0" w:name="_Toc121824349_9"/>
            <w:bookmarkStart w:id="1" w:name="_Toc256000030"/>
            <w:r>
              <w:rPr>
                <w:rFonts w:hint="eastAsia" w:ascii="仿宋_GB2312" w:hAnsi="仿宋_GB2312" w:eastAsia="仿宋_GB2312"/>
                <w:b w:val="0"/>
                <w:color w:val="000000"/>
                <w:sz w:val="28"/>
              </w:rPr>
              <w:t>发送PDF信息</w:t>
            </w:r>
            <w:bookmarkEnd w:id="0"/>
            <w:r>
              <w:rPr>
                <w:rFonts w:hint="eastAsia" w:ascii="仿宋_GB2312" w:hAnsi="仿宋_GB2312" w:eastAsia="仿宋_GB2312"/>
                <w:b w:val="0"/>
                <w:color w:val="000000"/>
                <w:sz w:val="28"/>
              </w:rPr>
              <w:t>(</w:t>
            </w:r>
            <w:r>
              <w:rPr>
                <w:rFonts w:ascii="仿宋_GB2312" w:hAnsi="仿宋_GB2312" w:eastAsia="仿宋_GB2312"/>
                <w:b w:val="0"/>
                <w:color w:val="000000"/>
                <w:sz w:val="28"/>
              </w:rPr>
              <w:t>XML</w:t>
            </w:r>
            <w:r>
              <w:rPr>
                <w:rFonts w:hint="eastAsia" w:ascii="仿宋_GB2312" w:hAnsi="仿宋_GB2312" w:eastAsia="仿宋_GB2312"/>
                <w:b w:val="0"/>
                <w:color w:val="000000"/>
                <w:sz w:val="28"/>
              </w:rPr>
              <w:t>)</w:t>
            </w:r>
            <w:bookmarkEnd w:id="1"/>
            <w:r>
              <w:rPr>
                <w:rFonts w:ascii="仿宋_GB2312" w:hAnsi="仿宋_GB2312" w:eastAsia="仿宋_GB2312"/>
                <w:b w:val="0"/>
                <w:color w:val="000000"/>
                <w:sz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Merge w:val="restart"/>
            <w:vAlign w:val="center"/>
          </w:tcPr>
          <w:p>
            <w:pPr>
              <w:spacing w:after="0" w:line="240" w:lineRule="auto"/>
              <w:jc w:val="center"/>
            </w:pPr>
            <w:r>
              <w:rPr>
                <w:rFonts w:ascii="仿宋_GB2312" w:hAnsi="仿宋_GB2312" w:eastAsia="仿宋_GB2312"/>
                <w:b w:val="0"/>
                <w:color w:val="000000"/>
                <w:sz w:val="28"/>
              </w:rPr>
              <w:t>6</w:t>
            </w:r>
          </w:p>
        </w:tc>
        <w:tc>
          <w:tcPr>
            <w:tcW w:w="2436" w:type="dxa"/>
            <w:vMerge w:val="restart"/>
            <w:vAlign w:val="center"/>
          </w:tcPr>
          <w:p>
            <w:pPr>
              <w:spacing w:after="0" w:line="240" w:lineRule="auto"/>
              <w:jc w:val="center"/>
            </w:pPr>
            <w:r>
              <w:rPr>
                <w:rFonts w:ascii="仿宋_GB2312" w:hAnsi="仿宋_GB2312" w:eastAsia="仿宋_GB2312"/>
                <w:b w:val="0"/>
                <w:color w:val="000000"/>
                <w:sz w:val="28"/>
              </w:rPr>
              <w:t>体检危急值管理</w:t>
            </w:r>
          </w:p>
        </w:tc>
        <w:tc>
          <w:tcPr>
            <w:tcW w:w="2436" w:type="dxa"/>
          </w:tcPr>
          <w:p>
            <w:pPr>
              <w:spacing w:after="0" w:line="240" w:lineRule="auto"/>
              <w:jc w:val="center"/>
            </w:pPr>
            <w:r>
              <w:rPr>
                <w:rFonts w:ascii="仿宋_GB2312" w:hAnsi="仿宋_GB2312" w:eastAsia="仿宋_GB2312"/>
                <w:b w:val="0"/>
                <w:color w:val="000000"/>
                <w:sz w:val="28"/>
              </w:rPr>
              <w:t>体检危急值上报</w:t>
            </w:r>
          </w:p>
        </w:tc>
        <w:tc>
          <w:tcPr>
            <w:tcW w:w="2436" w:type="dxa"/>
          </w:tcPr>
          <w:p>
            <w:pPr>
              <w:spacing w:after="0" w:line="240" w:lineRule="auto"/>
              <w:jc w:val="left"/>
            </w:pPr>
            <w:r>
              <w:rPr>
                <w:rFonts w:ascii="仿宋_GB2312" w:hAnsi="仿宋_GB2312" w:eastAsia="仿宋_GB2312"/>
                <w:b w:val="0"/>
                <w:color w:val="000000"/>
                <w:sz w:val="28"/>
              </w:rPr>
              <w:t>适配发送体检超声危急值信息、发送体检放射危急值信息、发送体检内镜危急值信息、发送体检心电危急值信息、发送体检病理危急值信息、发送体检检验危急值（XML）接口，体检检查检验发现危急值时实时上报集成平台，及时通知相关人员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Merge w:val="continue"/>
          </w:tcPr>
          <w:p>
            <w:pPr>
              <w:spacing w:after="0" w:line="240" w:lineRule="auto"/>
              <w:jc w:val="center"/>
            </w:pPr>
          </w:p>
        </w:tc>
        <w:tc>
          <w:tcPr>
            <w:tcW w:w="2436" w:type="dxa"/>
            <w:vMerge w:val="continue"/>
          </w:tcPr>
          <w:p>
            <w:pPr>
              <w:spacing w:after="0" w:line="240" w:lineRule="auto"/>
              <w:jc w:val="center"/>
            </w:pPr>
          </w:p>
        </w:tc>
        <w:tc>
          <w:tcPr>
            <w:tcW w:w="2436" w:type="dxa"/>
          </w:tcPr>
          <w:p>
            <w:pPr>
              <w:spacing w:after="0" w:line="240" w:lineRule="auto"/>
              <w:jc w:val="center"/>
            </w:pPr>
            <w:r>
              <w:rPr>
                <w:rFonts w:ascii="仿宋_GB2312" w:hAnsi="仿宋_GB2312" w:eastAsia="仿宋_GB2312"/>
                <w:b w:val="0"/>
                <w:color w:val="000000"/>
                <w:sz w:val="28"/>
              </w:rPr>
              <w:t>体检危急值反馈</w:t>
            </w:r>
          </w:p>
        </w:tc>
        <w:tc>
          <w:tcPr>
            <w:tcW w:w="2436" w:type="dxa"/>
          </w:tcPr>
          <w:p>
            <w:pPr>
              <w:spacing w:after="0" w:line="240" w:lineRule="auto"/>
              <w:jc w:val="left"/>
            </w:pPr>
            <w:r>
              <w:rPr>
                <w:rFonts w:ascii="仿宋_GB2312" w:hAnsi="仿宋_GB2312" w:eastAsia="仿宋_GB2312"/>
                <w:b w:val="0"/>
                <w:color w:val="000000"/>
                <w:sz w:val="28"/>
              </w:rPr>
              <w:t>适配反馈体检超声危急值、反馈体检放射危急值、反馈体检内镜危急值、反馈体检心电危急值、反馈体检病理危急值、反馈体检检验危急值消息（XML）接口，接收危急值接收、处置结果反馈，实现危急值上报、接收、处置、反馈全流程闭环管理，反馈记录全程留痕、可追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Align w:val="center"/>
          </w:tcPr>
          <w:p>
            <w:pPr>
              <w:spacing w:after="0" w:line="240" w:lineRule="auto"/>
              <w:jc w:val="center"/>
            </w:pPr>
            <w:r>
              <w:rPr>
                <w:rFonts w:ascii="仿宋_GB2312" w:hAnsi="仿宋_GB2312" w:eastAsia="仿宋_GB2312"/>
                <w:b w:val="0"/>
                <w:color w:val="000000"/>
                <w:sz w:val="28"/>
              </w:rPr>
              <w:t>7</w:t>
            </w:r>
          </w:p>
        </w:tc>
        <w:tc>
          <w:tcPr>
            <w:tcW w:w="2436" w:type="dxa"/>
            <w:vAlign w:val="center"/>
          </w:tcPr>
          <w:p>
            <w:pPr>
              <w:spacing w:after="0" w:line="240" w:lineRule="auto"/>
              <w:jc w:val="center"/>
            </w:pPr>
            <w:r>
              <w:rPr>
                <w:rFonts w:ascii="仿宋_GB2312" w:hAnsi="仿宋_GB2312" w:eastAsia="仿宋_GB2312"/>
                <w:b w:val="0"/>
                <w:color w:val="000000"/>
                <w:sz w:val="28"/>
              </w:rPr>
              <w:t>挂号及单据交互</w:t>
            </w:r>
          </w:p>
        </w:tc>
        <w:tc>
          <w:tcPr>
            <w:tcW w:w="2436" w:type="dxa"/>
          </w:tcPr>
          <w:p>
            <w:pPr>
              <w:spacing w:after="0" w:line="240" w:lineRule="auto"/>
              <w:jc w:val="center"/>
            </w:pPr>
            <w:r>
              <w:rPr>
                <w:rFonts w:ascii="仿宋_GB2312" w:hAnsi="仿宋_GB2312" w:eastAsia="仿宋_GB2312"/>
                <w:b w:val="0"/>
                <w:color w:val="000000"/>
                <w:sz w:val="28"/>
              </w:rPr>
              <w:t>体检挂号信息查询</w:t>
            </w:r>
          </w:p>
        </w:tc>
        <w:tc>
          <w:tcPr>
            <w:tcW w:w="2436" w:type="dxa"/>
          </w:tcPr>
          <w:p>
            <w:pPr>
              <w:spacing w:after="0" w:line="240" w:lineRule="auto"/>
              <w:jc w:val="left"/>
            </w:pPr>
            <w:r>
              <w:rPr>
                <w:rFonts w:ascii="仿宋_GB2312" w:hAnsi="仿宋_GB2312" w:eastAsia="仿宋_GB2312"/>
                <w:b w:val="0"/>
                <w:color w:val="000000"/>
                <w:sz w:val="28"/>
              </w:rPr>
              <w:t>适配体检挂号信息查询接口，支持查询体检人员挂号登记信息，实现体检登记业务联动。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Merge w:val="restart"/>
            <w:vAlign w:val="center"/>
          </w:tcPr>
          <w:p>
            <w:pPr>
              <w:spacing w:after="0" w:line="240" w:lineRule="auto"/>
              <w:jc w:val="center"/>
            </w:pPr>
            <w:r>
              <w:rPr>
                <w:rFonts w:ascii="仿宋_GB2312" w:hAnsi="仿宋_GB2312" w:eastAsia="仿宋_GB2312"/>
                <w:b w:val="0"/>
                <w:color w:val="000000"/>
                <w:sz w:val="28"/>
              </w:rPr>
              <w:t>8</w:t>
            </w:r>
          </w:p>
        </w:tc>
        <w:tc>
          <w:tcPr>
            <w:tcW w:w="2436" w:type="dxa"/>
            <w:vMerge w:val="restart"/>
            <w:vAlign w:val="center"/>
          </w:tcPr>
          <w:p>
            <w:pPr>
              <w:spacing w:after="0" w:line="240" w:lineRule="auto"/>
              <w:jc w:val="center"/>
            </w:pPr>
            <w:r>
              <w:rPr>
                <w:rFonts w:ascii="仿宋_GB2312" w:hAnsi="仿宋_GB2312" w:eastAsia="仿宋_GB2312"/>
                <w:b w:val="0"/>
                <w:color w:val="000000"/>
                <w:sz w:val="28"/>
              </w:rPr>
              <w:t>费用结算对接</w:t>
            </w:r>
          </w:p>
        </w:tc>
        <w:tc>
          <w:tcPr>
            <w:tcW w:w="2436" w:type="dxa"/>
          </w:tcPr>
          <w:p>
            <w:pPr>
              <w:spacing w:after="0" w:line="240" w:lineRule="auto"/>
              <w:jc w:val="center"/>
            </w:pPr>
            <w:r>
              <w:rPr>
                <w:rFonts w:ascii="仿宋_GB2312" w:hAnsi="仿宋_GB2312" w:eastAsia="仿宋_GB2312"/>
                <w:b w:val="0"/>
                <w:color w:val="000000"/>
                <w:sz w:val="28"/>
              </w:rPr>
              <w:t>费用单据推送</w:t>
            </w:r>
          </w:p>
        </w:tc>
        <w:tc>
          <w:tcPr>
            <w:tcW w:w="2436" w:type="dxa"/>
          </w:tcPr>
          <w:p>
            <w:pPr>
              <w:spacing w:after="0" w:line="240" w:lineRule="auto"/>
              <w:jc w:val="left"/>
            </w:pPr>
            <w:r>
              <w:rPr>
                <w:rFonts w:ascii="仿宋_GB2312" w:hAnsi="仿宋_GB2312" w:eastAsia="仿宋_GB2312"/>
                <w:b w:val="0"/>
                <w:color w:val="000000"/>
                <w:sz w:val="28"/>
              </w:rPr>
              <w:t>适配推送单据信息、推送体检结算信息、推送单据退费申请单（XML）接口，体检费用单据、结算信息实时同步，退费申请联动处理，保障体检收费业务闭环。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Merge w:val="continue"/>
          </w:tcPr>
          <w:p>
            <w:pPr>
              <w:spacing w:after="0" w:line="240" w:lineRule="auto"/>
              <w:jc w:val="center"/>
            </w:pPr>
          </w:p>
        </w:tc>
        <w:tc>
          <w:tcPr>
            <w:tcW w:w="2436" w:type="dxa"/>
            <w:vMerge w:val="continue"/>
          </w:tcPr>
          <w:p>
            <w:pPr>
              <w:spacing w:after="0" w:line="240" w:lineRule="auto"/>
              <w:jc w:val="center"/>
            </w:pPr>
          </w:p>
        </w:tc>
        <w:tc>
          <w:tcPr>
            <w:tcW w:w="2436" w:type="dxa"/>
          </w:tcPr>
          <w:p>
            <w:pPr>
              <w:spacing w:after="0" w:line="240" w:lineRule="auto"/>
              <w:jc w:val="center"/>
            </w:pPr>
            <w:r>
              <w:rPr>
                <w:rFonts w:ascii="仿宋_GB2312" w:hAnsi="仿宋_GB2312" w:eastAsia="仿宋_GB2312"/>
                <w:b w:val="0"/>
                <w:color w:val="000000"/>
                <w:sz w:val="28"/>
              </w:rPr>
              <w:t>缴费订单对接</w:t>
            </w:r>
          </w:p>
        </w:tc>
        <w:tc>
          <w:tcPr>
            <w:tcW w:w="2436" w:type="dxa"/>
          </w:tcPr>
          <w:p>
            <w:pPr>
              <w:spacing w:after="0" w:line="240" w:lineRule="auto"/>
              <w:jc w:val="left"/>
            </w:pPr>
            <w:r>
              <w:rPr>
                <w:rFonts w:ascii="仿宋_GB2312" w:hAnsi="仿宋_GB2312" w:eastAsia="仿宋_GB2312"/>
                <w:b w:val="0"/>
                <w:color w:val="000000"/>
                <w:sz w:val="28"/>
              </w:rPr>
              <w:t>适配生成待支付订单、获取待结算订单列表、支付订单结算、取消支付订单（XML）接口，支持体检缴费订单全流程交互，实现体检费用统一结算对账。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6" w:type="dxa"/>
            <w:vMerge w:val="continue"/>
          </w:tcPr>
          <w:p>
            <w:pPr>
              <w:spacing w:after="0" w:line="240" w:lineRule="auto"/>
              <w:jc w:val="center"/>
            </w:pPr>
          </w:p>
        </w:tc>
        <w:tc>
          <w:tcPr>
            <w:tcW w:w="2436" w:type="dxa"/>
            <w:vMerge w:val="continue"/>
          </w:tcPr>
          <w:p>
            <w:pPr>
              <w:spacing w:after="0" w:line="240" w:lineRule="auto"/>
              <w:jc w:val="center"/>
            </w:pPr>
          </w:p>
        </w:tc>
        <w:tc>
          <w:tcPr>
            <w:tcW w:w="2436" w:type="dxa"/>
          </w:tcPr>
          <w:p>
            <w:pPr>
              <w:spacing w:after="0" w:line="240" w:lineRule="auto"/>
              <w:jc w:val="center"/>
            </w:pPr>
            <w:r>
              <w:rPr>
                <w:rFonts w:ascii="仿宋_GB2312" w:hAnsi="仿宋_GB2312" w:eastAsia="仿宋_GB2312"/>
                <w:b w:val="0"/>
                <w:color w:val="000000"/>
                <w:sz w:val="28"/>
              </w:rPr>
              <w:t>自助开票对接</w:t>
            </w:r>
          </w:p>
        </w:tc>
        <w:tc>
          <w:tcPr>
            <w:tcW w:w="2436" w:type="dxa"/>
          </w:tcPr>
          <w:p>
            <w:pPr>
              <w:spacing w:after="0" w:line="240" w:lineRule="auto"/>
              <w:jc w:val="left"/>
            </w:pPr>
            <w:r>
              <w:rPr>
                <w:rFonts w:ascii="仿宋_GB2312" w:hAnsi="仿宋_GB2312" w:eastAsia="仿宋_GB2312"/>
                <w:b w:val="0"/>
                <w:color w:val="000000"/>
                <w:sz w:val="28"/>
              </w:rPr>
              <w:t>适配自助开票（XML）接口，支持体检人员缴费后自助开具票据，与医院收费票据管理衔接。</w:t>
            </w:r>
          </w:p>
        </w:tc>
      </w:tr>
    </w:tbl>
    <w:p>
      <w:r>
        <w:rPr>
          <w:rFonts w:ascii="仿宋_GB2312" w:hAnsi="仿宋_GB2312" w:eastAsia="仿宋_GB2312"/>
          <w:b/>
          <w:color w:val="000000"/>
          <w:sz w:val="28"/>
        </w:rPr>
        <w:t>（九）柳州市基层云PACS与柳州市工人医院PACS接口适配</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6"/>
        <w:gridCol w:w="2436"/>
        <w:gridCol w:w="2436"/>
        <w:gridCol w:w="2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hint="eastAsia" w:ascii="仿宋_GB2312" w:hAnsi="仿宋_GB2312" w:eastAsia="仿宋_GB2312"/>
                <w:b w:val="0"/>
                <w:color w:val="000000"/>
                <w:sz w:val="28"/>
                <w:lang w:val="en-US" w:eastAsia="zh-CN"/>
              </w:rPr>
              <w:t xml:space="preserve"> </w:t>
            </w:r>
            <w:r>
              <w:rPr>
                <w:rFonts w:ascii="仿宋_GB2312" w:hAnsi="仿宋_GB2312" w:eastAsia="仿宋_GB2312"/>
                <w:b/>
                <w:color w:val="000000"/>
                <w:sz w:val="28"/>
              </w:rPr>
              <w:t>序号</w:t>
            </w:r>
          </w:p>
        </w:tc>
        <w:tc>
          <w:tcPr>
            <w:tcW w:w="2893" w:type="dxa"/>
          </w:tcPr>
          <w:p>
            <w:pPr>
              <w:spacing w:after="0" w:line="240" w:lineRule="auto"/>
              <w:jc w:val="center"/>
            </w:pPr>
            <w:r>
              <w:rPr>
                <w:rFonts w:ascii="仿宋_GB2312" w:hAnsi="仿宋_GB2312" w:eastAsia="仿宋_GB2312"/>
                <w:b/>
                <w:color w:val="000000"/>
                <w:sz w:val="28"/>
              </w:rPr>
              <w:t>名称</w:t>
            </w:r>
          </w:p>
        </w:tc>
        <w:tc>
          <w:tcPr>
            <w:tcW w:w="1890" w:type="dxa"/>
          </w:tcPr>
          <w:p>
            <w:pPr>
              <w:spacing w:after="0" w:line="240" w:lineRule="auto"/>
              <w:jc w:val="center"/>
            </w:pPr>
            <w:r>
              <w:rPr>
                <w:rFonts w:ascii="仿宋_GB2312" w:hAnsi="仿宋_GB2312" w:eastAsia="仿宋_GB2312"/>
                <w:b/>
                <w:color w:val="000000"/>
                <w:sz w:val="28"/>
              </w:rPr>
              <w:t>确认功能\需求内容</w:t>
            </w:r>
          </w:p>
        </w:tc>
        <w:tc>
          <w:tcPr>
            <w:tcW w:w="4249" w:type="dxa"/>
          </w:tcPr>
          <w:p>
            <w:pPr>
              <w:spacing w:after="0" w:line="240" w:lineRule="auto"/>
              <w:jc w:val="center"/>
            </w:pPr>
            <w:r>
              <w:rPr>
                <w:rFonts w:ascii="仿宋_GB2312" w:hAnsi="仿宋_GB2312" w:eastAsia="仿宋_GB2312"/>
                <w:b/>
                <w:color w:val="000000"/>
                <w:sz w:val="28"/>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1</w:t>
            </w:r>
          </w:p>
        </w:tc>
        <w:tc>
          <w:tcPr>
            <w:tcW w:w="2893" w:type="dxa"/>
            <w:vMerge w:val="restart"/>
            <w:vAlign w:val="center"/>
          </w:tcPr>
          <w:p>
            <w:pPr>
              <w:spacing w:after="0" w:line="240" w:lineRule="auto"/>
              <w:jc w:val="center"/>
            </w:pPr>
            <w:r>
              <w:rPr>
                <w:rFonts w:ascii="仿宋_GB2312" w:hAnsi="仿宋_GB2312" w:eastAsia="仿宋_GB2312"/>
                <w:b w:val="0"/>
                <w:color w:val="000000"/>
                <w:sz w:val="28"/>
              </w:rPr>
              <w:t>柳州市基层云PACS与柳州市工人医院PACS接口</w:t>
            </w:r>
          </w:p>
        </w:tc>
        <w:tc>
          <w:tcPr>
            <w:tcW w:w="1890" w:type="dxa"/>
          </w:tcPr>
          <w:p>
            <w:pPr>
              <w:spacing w:after="0" w:line="240" w:lineRule="auto"/>
              <w:jc w:val="center"/>
            </w:pPr>
            <w:r>
              <w:rPr>
                <w:rFonts w:ascii="仿宋_GB2312" w:hAnsi="仿宋_GB2312" w:eastAsia="仿宋_GB2312"/>
                <w:b w:val="0"/>
                <w:color w:val="000000"/>
                <w:sz w:val="28"/>
              </w:rPr>
              <w:t>DR/CT检查信息推送接口</w:t>
            </w:r>
          </w:p>
        </w:tc>
        <w:tc>
          <w:tcPr>
            <w:tcW w:w="4249" w:type="dxa"/>
          </w:tcPr>
          <w:p>
            <w:pPr>
              <w:spacing w:after="0" w:line="240" w:lineRule="auto"/>
              <w:jc w:val="left"/>
            </w:pPr>
            <w:r>
              <w:rPr>
                <w:rFonts w:ascii="仿宋_GB2312" w:hAnsi="仿宋_GB2312" w:eastAsia="仿宋_GB2312"/>
                <w:b w:val="0"/>
                <w:color w:val="000000"/>
                <w:sz w:val="28"/>
              </w:rPr>
              <w:t>要求基层云PACS将天马、箭盘山、鹅山、五里亭、花岭、阳和共6家乡镇卫生院已完成DR检查患者主动推送给柳州市工人医院RIS系统；支持API接口、数据库视图接口等接口方式；支持推送DR检查患者ID、姓名、性别、年龄等基本信息；支持推送DR检查患者检查号、检查部位、检查时间等检查信息；支持异常中断的自动重试与断点续传功能，并提供详细的接口交互日志；提供接口部署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2</w:t>
            </w:r>
          </w:p>
        </w:tc>
        <w:tc>
          <w:tcPr>
            <w:tcW w:w="2893" w:type="dxa"/>
            <w:vMerge w:val="continue"/>
          </w:tcPr>
          <w:p>
            <w:pPr>
              <w:spacing w:after="0" w:line="240" w:lineRule="auto"/>
              <w:jc w:val="center"/>
            </w:pPr>
          </w:p>
        </w:tc>
        <w:tc>
          <w:tcPr>
            <w:tcW w:w="1890" w:type="dxa"/>
          </w:tcPr>
          <w:p>
            <w:pPr>
              <w:spacing w:after="0" w:line="240" w:lineRule="auto"/>
              <w:jc w:val="center"/>
            </w:pPr>
            <w:r>
              <w:rPr>
                <w:rFonts w:ascii="仿宋_GB2312" w:hAnsi="仿宋_GB2312" w:eastAsia="仿宋_GB2312"/>
                <w:b w:val="0"/>
                <w:color w:val="000000"/>
                <w:sz w:val="28"/>
              </w:rPr>
              <w:t>DR/CT DICOM影像文件推送接口</w:t>
            </w:r>
          </w:p>
        </w:tc>
        <w:tc>
          <w:tcPr>
            <w:tcW w:w="4249" w:type="dxa"/>
          </w:tcPr>
          <w:p>
            <w:pPr>
              <w:spacing w:after="0" w:line="240" w:lineRule="auto"/>
              <w:jc w:val="left"/>
            </w:pPr>
            <w:r>
              <w:rPr>
                <w:rFonts w:ascii="仿宋_GB2312" w:hAnsi="仿宋_GB2312" w:eastAsia="仿宋_GB2312"/>
                <w:b w:val="0"/>
                <w:color w:val="000000"/>
                <w:sz w:val="28"/>
              </w:rPr>
              <w:t>要求基层云PACS将6家乡镇卫生院已完成DR检查的DICOM影像文件推送给柳州市工人医院PACS系统；支持DICOM Storage SCP服务；支持设置传输计划任务；支持传输日志记录；提供接口部署调试。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3</w:t>
            </w:r>
          </w:p>
        </w:tc>
        <w:tc>
          <w:tcPr>
            <w:tcW w:w="2893" w:type="dxa"/>
            <w:vMerge w:val="continue"/>
          </w:tcPr>
          <w:p>
            <w:pPr>
              <w:spacing w:after="0" w:line="240" w:lineRule="auto"/>
              <w:jc w:val="center"/>
            </w:pPr>
          </w:p>
        </w:tc>
        <w:tc>
          <w:tcPr>
            <w:tcW w:w="1890" w:type="dxa"/>
          </w:tcPr>
          <w:p>
            <w:pPr>
              <w:spacing w:after="0" w:line="240" w:lineRule="auto"/>
              <w:jc w:val="center"/>
            </w:pPr>
            <w:r>
              <w:rPr>
                <w:rFonts w:ascii="仿宋_GB2312" w:hAnsi="仿宋_GB2312" w:eastAsia="仿宋_GB2312"/>
                <w:b w:val="0"/>
                <w:color w:val="000000"/>
                <w:sz w:val="28"/>
              </w:rPr>
              <w:t>DR/CT专家报告回传接收接口</w:t>
            </w:r>
          </w:p>
        </w:tc>
        <w:tc>
          <w:tcPr>
            <w:tcW w:w="4249" w:type="dxa"/>
          </w:tcPr>
          <w:p>
            <w:pPr>
              <w:spacing w:after="0" w:line="240" w:lineRule="auto"/>
              <w:jc w:val="left"/>
            </w:pPr>
            <w:r>
              <w:rPr>
                <w:rFonts w:ascii="仿宋_GB2312" w:hAnsi="仿宋_GB2312" w:eastAsia="仿宋_GB2312"/>
                <w:b w:val="0"/>
                <w:color w:val="000000"/>
                <w:sz w:val="28"/>
              </w:rPr>
              <w:t>要求基层云PACS接收柳州市工人医院RIS系统6家卫生院DR检查患者专家报告（文本）；支持API接口、数据库视图接口等接口方式；支持接收专家报告信息，并写入云PACS系统数据库；支持异常中断的自动重试与断点续传功能，并提供详细的接口交互日志；提供接口部署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val="0"/>
                <w:color w:val="000000"/>
                <w:sz w:val="28"/>
              </w:rPr>
              <w:t>4</w:t>
            </w:r>
          </w:p>
        </w:tc>
        <w:tc>
          <w:tcPr>
            <w:tcW w:w="2893" w:type="dxa"/>
            <w:vMerge w:val="continue"/>
          </w:tcPr>
          <w:p>
            <w:pPr>
              <w:spacing w:after="0" w:line="240" w:lineRule="auto"/>
              <w:jc w:val="center"/>
            </w:pPr>
          </w:p>
        </w:tc>
        <w:tc>
          <w:tcPr>
            <w:tcW w:w="1890" w:type="dxa"/>
          </w:tcPr>
          <w:p>
            <w:pPr>
              <w:spacing w:after="0" w:line="240" w:lineRule="auto"/>
              <w:jc w:val="center"/>
            </w:pPr>
            <w:r>
              <w:rPr>
                <w:rFonts w:ascii="仿宋_GB2312" w:hAnsi="仿宋_GB2312" w:eastAsia="仿宋_GB2312"/>
                <w:b w:val="0"/>
                <w:color w:val="000000"/>
                <w:sz w:val="28"/>
              </w:rPr>
              <w:t>DR/CT影像回传</w:t>
            </w:r>
          </w:p>
        </w:tc>
        <w:tc>
          <w:tcPr>
            <w:tcW w:w="4249" w:type="dxa"/>
          </w:tcPr>
          <w:p>
            <w:pPr>
              <w:spacing w:after="0" w:line="240" w:lineRule="auto"/>
              <w:jc w:val="left"/>
            </w:pPr>
            <w:r>
              <w:rPr>
                <w:rFonts w:ascii="仿宋_GB2312" w:hAnsi="仿宋_GB2312" w:eastAsia="仿宋_GB2312"/>
                <w:b w:val="0"/>
                <w:color w:val="000000"/>
                <w:sz w:val="28"/>
              </w:rPr>
              <w:t>实现柳州市工人医院PACS系统在完成CT/DR后处理、三维重建后，将处理后的影像数据自动/手动回传至柳州市基层云PACS系统，并与柳州市基层云PACS系统中对应检查、患者、序列建立正确关联；提供接口部署调试。</w:t>
            </w:r>
          </w:p>
        </w:tc>
      </w:tr>
    </w:tbl>
    <w:p>
      <w:r>
        <w:rPr>
          <w:rFonts w:ascii="仿宋_GB2312" w:hAnsi="仿宋_GB2312" w:eastAsia="仿宋_GB2312"/>
          <w:b/>
          <w:color w:val="000000"/>
          <w:sz w:val="28"/>
        </w:rPr>
        <w:t>四、各系统通用接口适配要求</w:t>
      </w:r>
    </w:p>
    <w:p>
      <w:pPr>
        <w:ind w:firstLine="560"/>
      </w:pPr>
      <w:r>
        <w:rPr>
          <w:rFonts w:ascii="仿宋_GB2312" w:hAnsi="仿宋_GB2312" w:eastAsia="仿宋_GB2312"/>
          <w:b w:val="0"/>
          <w:color w:val="000000"/>
          <w:sz w:val="28"/>
        </w:rPr>
        <w:t>以下360患者集成视图挂载、跨系统单点登录（SSO）、新版CA数字证书对接三项要求为各系统通用要求，适用于心电信息管理系统、血液透析信息管理系统、统一预约管理系统、电子票据管理系统、临床决策支持系统、医院感染实时监控系统、生命体征采集系统、体检软件系统共8个系统；柳州市基层云PACS与柳州市工人医院PACS接口适配不适用本章节要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6"/>
        <w:gridCol w:w="2436"/>
        <w:gridCol w:w="2436"/>
        <w:gridCol w:w="2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spacing w:after="0" w:line="240" w:lineRule="auto"/>
              <w:jc w:val="center"/>
            </w:pPr>
            <w:r>
              <w:rPr>
                <w:rFonts w:ascii="仿宋_GB2312" w:hAnsi="仿宋_GB2312" w:eastAsia="仿宋_GB2312"/>
                <w:b/>
                <w:color w:val="000000"/>
                <w:sz w:val="28"/>
              </w:rPr>
              <w:t>序号</w:t>
            </w:r>
          </w:p>
        </w:tc>
        <w:tc>
          <w:tcPr>
            <w:tcW w:w="851" w:type="dxa"/>
          </w:tcPr>
          <w:p>
            <w:pPr>
              <w:spacing w:after="0" w:line="240" w:lineRule="auto"/>
              <w:jc w:val="center"/>
            </w:pPr>
            <w:r>
              <w:rPr>
                <w:rFonts w:ascii="仿宋_GB2312" w:hAnsi="仿宋_GB2312" w:eastAsia="仿宋_GB2312"/>
                <w:b/>
                <w:color w:val="000000"/>
                <w:sz w:val="28"/>
              </w:rPr>
              <w:t>名称</w:t>
            </w:r>
          </w:p>
        </w:tc>
        <w:tc>
          <w:tcPr>
            <w:tcW w:w="2736" w:type="dxa"/>
          </w:tcPr>
          <w:p>
            <w:pPr>
              <w:spacing w:after="0" w:line="240" w:lineRule="auto"/>
              <w:jc w:val="center"/>
            </w:pPr>
            <w:r>
              <w:rPr>
                <w:rFonts w:ascii="仿宋_GB2312" w:hAnsi="仿宋_GB2312" w:eastAsia="仿宋_GB2312"/>
                <w:b/>
                <w:color w:val="000000"/>
                <w:sz w:val="28"/>
              </w:rPr>
              <w:t>确认功能\需求内容</w:t>
            </w:r>
          </w:p>
        </w:tc>
        <w:tc>
          <w:tcPr>
            <w:tcW w:w="5445" w:type="dxa"/>
          </w:tcPr>
          <w:p>
            <w:pPr>
              <w:spacing w:after="0" w:line="240" w:lineRule="auto"/>
              <w:jc w:val="center"/>
            </w:pPr>
            <w:r>
              <w:rPr>
                <w:rFonts w:ascii="仿宋_GB2312" w:hAnsi="仿宋_GB2312" w:eastAsia="仿宋_GB2312"/>
                <w:b/>
                <w:color w:val="000000"/>
                <w:sz w:val="28"/>
              </w:rPr>
              <w:t>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1</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360患者集成视图挂载</w:t>
            </w:r>
          </w:p>
        </w:tc>
        <w:tc>
          <w:tcPr>
            <w:tcW w:w="2736" w:type="dxa"/>
          </w:tcPr>
          <w:p>
            <w:pPr>
              <w:spacing w:after="0" w:line="240" w:lineRule="auto"/>
              <w:jc w:val="center"/>
            </w:pPr>
            <w:r>
              <w:rPr>
                <w:rFonts w:ascii="仿宋_GB2312" w:hAnsi="仿宋_GB2312" w:eastAsia="仿宋_GB2312"/>
                <w:b w:val="0"/>
                <w:color w:val="000000"/>
                <w:sz w:val="28"/>
              </w:rPr>
              <w:t>专属视图模块挂载</w:t>
            </w:r>
          </w:p>
        </w:tc>
        <w:tc>
          <w:tcPr>
            <w:tcW w:w="5445" w:type="dxa"/>
          </w:tcPr>
          <w:p>
            <w:pPr>
              <w:spacing w:after="0" w:line="240" w:lineRule="auto"/>
              <w:jc w:val="left"/>
            </w:pPr>
            <w:r>
              <w:rPr>
                <w:rFonts w:ascii="仿宋_GB2312" w:hAnsi="仿宋_GB2312" w:eastAsia="仿宋_GB2312"/>
                <w:b w:val="0"/>
                <w:color w:val="000000"/>
                <w:sz w:val="28"/>
              </w:rPr>
              <w:t>适配全院360患者全景视图统一架构与展示规范，在视图内嵌入独立专科专属展示专栏，界面风格、布局与全院视图保持统一，实现系统无缝集成。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全量诊疗数据展示</w:t>
            </w:r>
          </w:p>
        </w:tc>
        <w:tc>
          <w:tcPr>
            <w:tcW w:w="5445" w:type="dxa"/>
          </w:tcPr>
          <w:p>
            <w:pPr>
              <w:spacing w:after="0" w:line="240" w:lineRule="auto"/>
              <w:jc w:val="left"/>
            </w:pPr>
            <w:r>
              <w:rPr>
                <w:rFonts w:ascii="仿宋_GB2312" w:hAnsi="仿宋_GB2312" w:eastAsia="仿宋_GB2312"/>
                <w:b w:val="0"/>
                <w:color w:val="000000"/>
                <w:sz w:val="28"/>
              </w:rPr>
              <w:t>视图挂载展示患者专科诊疗记录、检查检验报告、医嘱、费用明细等全量业务数据，支持多条件精准筛选、历史数据回溯检索。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数据实时刷新</w:t>
            </w:r>
          </w:p>
        </w:tc>
        <w:tc>
          <w:tcPr>
            <w:tcW w:w="5445" w:type="dxa"/>
          </w:tcPr>
          <w:p>
            <w:pPr>
              <w:spacing w:after="0" w:line="240" w:lineRule="auto"/>
              <w:jc w:val="left"/>
            </w:pPr>
            <w:r>
              <w:rPr>
                <w:rFonts w:ascii="仿宋_GB2312" w:hAnsi="仿宋_GB2312" w:eastAsia="仿宋_GB2312"/>
                <w:b w:val="0"/>
                <w:color w:val="000000"/>
                <w:sz w:val="28"/>
              </w:rPr>
              <w:t>视图数据实时同步更新，数据更新延迟≤1秒，全量视图加载响应时长≤3秒，保障临床医护人员实时获取患者最新诊疗信息。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权限分级与数据导出</w:t>
            </w:r>
          </w:p>
        </w:tc>
        <w:tc>
          <w:tcPr>
            <w:tcW w:w="5445" w:type="dxa"/>
          </w:tcPr>
          <w:p>
            <w:pPr>
              <w:spacing w:after="0" w:line="240" w:lineRule="auto"/>
              <w:jc w:val="left"/>
            </w:pPr>
            <w:r>
              <w:rPr>
                <w:rFonts w:ascii="仿宋_GB2312" w:hAnsi="仿宋_GB2312" w:eastAsia="仿宋_GB2312"/>
                <w:b w:val="0"/>
                <w:color w:val="000000"/>
                <w:sz w:val="28"/>
              </w:rPr>
              <w:t>基于岗位权限实现患者隐私数据分级展示，严格符合医疗隐私保护规范，支持视图数据一键跳转对应业务系统、数据导出、打印功能，满足临床及管理使用需求。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2</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跨系统单点登录（SSO）</w:t>
            </w:r>
          </w:p>
        </w:tc>
        <w:tc>
          <w:tcPr>
            <w:tcW w:w="2736" w:type="dxa"/>
          </w:tcPr>
          <w:p>
            <w:pPr>
              <w:spacing w:after="0" w:line="240" w:lineRule="auto"/>
              <w:jc w:val="center"/>
            </w:pPr>
            <w:r>
              <w:rPr>
                <w:rFonts w:ascii="仿宋_GB2312" w:hAnsi="仿宋_GB2312" w:eastAsia="仿宋_GB2312"/>
                <w:b w:val="0"/>
                <w:color w:val="000000"/>
                <w:sz w:val="28"/>
              </w:rPr>
              <w:t>双向一键登录功能</w:t>
            </w:r>
          </w:p>
        </w:tc>
        <w:tc>
          <w:tcPr>
            <w:tcW w:w="5445" w:type="dxa"/>
          </w:tcPr>
          <w:p>
            <w:pPr>
              <w:spacing w:after="0" w:line="240" w:lineRule="auto"/>
              <w:jc w:val="left"/>
            </w:pPr>
            <w:r>
              <w:rPr>
                <w:rFonts w:ascii="仿宋_GB2312" w:hAnsi="仿宋_GB2312" w:eastAsia="仿宋_GB2312"/>
                <w:b w:val="0"/>
                <w:color w:val="000000"/>
                <w:sz w:val="28"/>
              </w:rPr>
              <w:t>适配院内OAuth2.0、JWT协议，实现新HIS系统与各业务系统双向一键跳转登录，无需二次输入密码核验，跳转响应时长≤2秒，操作便捷高效。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双模式登录适配</w:t>
            </w:r>
          </w:p>
        </w:tc>
        <w:tc>
          <w:tcPr>
            <w:tcW w:w="5445" w:type="dxa"/>
          </w:tcPr>
          <w:p>
            <w:pPr>
              <w:spacing w:after="0" w:line="240" w:lineRule="auto"/>
              <w:jc w:val="left"/>
            </w:pPr>
            <w:r>
              <w:rPr>
                <w:rFonts w:ascii="仿宋_GB2312" w:hAnsi="仿宋_GB2312" w:eastAsia="仿宋_GB2312"/>
                <w:b w:val="0"/>
                <w:color w:val="000000"/>
                <w:sz w:val="28"/>
              </w:rPr>
              <w:t>兼容院内扫码登录、工号推送登录两种模式，适配对应登录预备、登录发起接口，基于UUID+Token加密完成身份校验，有效杜绝账号伪造、劫持风险。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账号权限统一管控</w:t>
            </w:r>
          </w:p>
        </w:tc>
        <w:tc>
          <w:tcPr>
            <w:tcW w:w="5445" w:type="dxa"/>
          </w:tcPr>
          <w:p>
            <w:pPr>
              <w:spacing w:after="0" w:line="240" w:lineRule="auto"/>
              <w:jc w:val="left"/>
            </w:pPr>
            <w:r>
              <w:rPr>
                <w:rFonts w:ascii="仿宋_GB2312" w:hAnsi="仿宋_GB2312" w:eastAsia="仿宋_GB2312"/>
                <w:b w:val="0"/>
                <w:color w:val="000000"/>
                <w:sz w:val="28"/>
              </w:rPr>
              <w:t>同步新HIS系统医护人员账号、岗位权限信息，实现账号新增、禁用、注销、权限变更的统一联动管控，精准匹配不同岗位差异化操作权限。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登录安全风控</w:t>
            </w:r>
          </w:p>
        </w:tc>
        <w:tc>
          <w:tcPr>
            <w:tcW w:w="5445" w:type="dxa"/>
          </w:tcPr>
          <w:p>
            <w:pPr>
              <w:spacing w:after="0" w:line="240" w:lineRule="auto"/>
              <w:jc w:val="left"/>
            </w:pPr>
            <w:r>
              <w:rPr>
                <w:rFonts w:ascii="仿宋_GB2312" w:hAnsi="仿宋_GB2312" w:eastAsia="仿宋_GB2312"/>
                <w:b w:val="0"/>
                <w:color w:val="000000"/>
                <w:sz w:val="28"/>
              </w:rPr>
              <w:t>具备异常登录拦截、登录超时自动退出功能，全程记录登录操作日志，包含操作人、终端、时间、操作结果等信息，日志可溯源、可审计，适配院内网络异常容错处理机制。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pPr>
              <w:spacing w:after="0" w:line="240" w:lineRule="auto"/>
              <w:jc w:val="center"/>
            </w:pPr>
            <w:r>
              <w:rPr>
                <w:rFonts w:ascii="仿宋_GB2312" w:hAnsi="仿宋_GB2312" w:eastAsia="仿宋_GB2312"/>
                <w:b w:val="0"/>
                <w:color w:val="000000"/>
                <w:sz w:val="28"/>
              </w:rPr>
              <w:t>3</w:t>
            </w:r>
          </w:p>
        </w:tc>
        <w:tc>
          <w:tcPr>
            <w:tcW w:w="851" w:type="dxa"/>
            <w:vMerge w:val="restart"/>
            <w:vAlign w:val="center"/>
          </w:tcPr>
          <w:p>
            <w:pPr>
              <w:spacing w:after="0" w:line="240" w:lineRule="auto"/>
              <w:jc w:val="center"/>
            </w:pPr>
            <w:r>
              <w:rPr>
                <w:rFonts w:ascii="仿宋_GB2312" w:hAnsi="仿宋_GB2312" w:eastAsia="仿宋_GB2312"/>
                <w:b w:val="0"/>
                <w:color w:val="000000"/>
                <w:sz w:val="28"/>
              </w:rPr>
              <w:t>新版CA数字证书对接</w:t>
            </w:r>
          </w:p>
        </w:tc>
        <w:tc>
          <w:tcPr>
            <w:tcW w:w="2736" w:type="dxa"/>
          </w:tcPr>
          <w:p>
            <w:pPr>
              <w:spacing w:after="0" w:line="240" w:lineRule="auto"/>
              <w:jc w:val="center"/>
            </w:pPr>
            <w:r>
              <w:rPr>
                <w:rFonts w:ascii="仿宋_GB2312" w:hAnsi="仿宋_GB2312" w:eastAsia="仿宋_GB2312"/>
                <w:b w:val="0"/>
                <w:color w:val="000000"/>
                <w:sz w:val="28"/>
              </w:rPr>
              <w:t>全场景签章验签适配</w:t>
            </w:r>
          </w:p>
        </w:tc>
        <w:tc>
          <w:tcPr>
            <w:tcW w:w="5445" w:type="dxa"/>
          </w:tcPr>
          <w:p>
            <w:pPr>
              <w:spacing w:after="0" w:line="240" w:lineRule="auto"/>
              <w:jc w:val="left"/>
            </w:pPr>
            <w:r>
              <w:rPr>
                <w:rFonts w:ascii="仿宋_GB2312" w:hAnsi="仿宋_GB2312" w:eastAsia="仿宋_GB2312"/>
                <w:b w:val="0"/>
                <w:color w:val="000000"/>
                <w:sz w:val="28"/>
              </w:rPr>
              <w:t>适配广东CA云签署全套接口，支持PDF、OFD双格式文件签署，兼容signBytes、signDoc、signOfd、verify等核心签章、验签接口，全程采用SM2国密算法加密，符合电子病历合规标准。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多样化签署模式</w:t>
            </w:r>
          </w:p>
        </w:tc>
        <w:tc>
          <w:tcPr>
            <w:tcW w:w="5445" w:type="dxa"/>
          </w:tcPr>
          <w:p>
            <w:pPr>
              <w:spacing w:after="0" w:line="240" w:lineRule="auto"/>
              <w:jc w:val="left"/>
            </w:pPr>
            <w:r>
              <w:rPr>
                <w:rFonts w:ascii="仿宋_GB2312" w:hAnsi="仿宋_GB2312" w:eastAsia="仿宋_GB2312"/>
                <w:b w:val="0"/>
                <w:color w:val="000000"/>
                <w:sz w:val="28"/>
              </w:rPr>
              <w:t>支持坐标签署、自定义坐标签署、关键字签署多种模式，可自定义签章样式、大小、位置，适配系统各类报告、诊疗文书等不同场景签署需求。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流程化批量签署</w:t>
            </w:r>
          </w:p>
        </w:tc>
        <w:tc>
          <w:tcPr>
            <w:tcW w:w="5445" w:type="dxa"/>
          </w:tcPr>
          <w:p>
            <w:pPr>
              <w:spacing w:after="0" w:line="240" w:lineRule="auto"/>
              <w:jc w:val="left"/>
            </w:pPr>
            <w:r>
              <w:rPr>
                <w:rFonts w:ascii="仿宋_GB2312" w:hAnsi="仿宋_GB2312" w:eastAsia="仿宋_GB2312"/>
                <w:b w:val="0"/>
                <w:color w:val="000000"/>
                <w:sz w:val="28"/>
              </w:rPr>
              <w:t>支持顺序签署、无序签署两种流程签署模式，可发起批量签署任务，支持未完成签署任务撤回操作，适配多人协作审批签署业务场景。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证书全生命周期管理</w:t>
            </w:r>
          </w:p>
        </w:tc>
        <w:tc>
          <w:tcPr>
            <w:tcW w:w="5445" w:type="dxa"/>
          </w:tcPr>
          <w:p>
            <w:pPr>
              <w:spacing w:after="0" w:line="240" w:lineRule="auto"/>
              <w:jc w:val="left"/>
            </w:pPr>
            <w:r>
              <w:rPr>
                <w:rFonts w:ascii="仿宋_GB2312" w:hAnsi="仿宋_GB2312" w:eastAsia="仿宋_GB2312"/>
                <w:b w:val="0"/>
                <w:color w:val="000000"/>
                <w:sz w:val="28"/>
              </w:rPr>
              <w:t>自动完成证书有效性校验，精准识别并拦截证书过期、未授权、PIN码错误等异常场景，实现证书合规管控，保障签署行为合法有效。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spacing w:after="0" w:line="240" w:lineRule="auto"/>
              <w:jc w:val="center"/>
            </w:pPr>
          </w:p>
        </w:tc>
        <w:tc>
          <w:tcPr>
            <w:tcW w:w="851" w:type="dxa"/>
            <w:vMerge w:val="continue"/>
          </w:tcPr>
          <w:p>
            <w:pPr>
              <w:spacing w:after="0" w:line="240" w:lineRule="auto"/>
              <w:jc w:val="center"/>
            </w:pPr>
          </w:p>
        </w:tc>
        <w:tc>
          <w:tcPr>
            <w:tcW w:w="2736" w:type="dxa"/>
          </w:tcPr>
          <w:p>
            <w:pPr>
              <w:spacing w:after="0" w:line="240" w:lineRule="auto"/>
              <w:jc w:val="center"/>
            </w:pPr>
            <w:r>
              <w:rPr>
                <w:rFonts w:ascii="仿宋_GB2312" w:hAnsi="仿宋_GB2312" w:eastAsia="仿宋_GB2312"/>
                <w:b w:val="0"/>
                <w:color w:val="000000"/>
                <w:sz w:val="28"/>
              </w:rPr>
              <w:t>标准化回调与日志审计</w:t>
            </w:r>
          </w:p>
        </w:tc>
        <w:tc>
          <w:tcPr>
            <w:tcW w:w="5445" w:type="dxa"/>
          </w:tcPr>
          <w:p>
            <w:pPr>
              <w:spacing w:after="0" w:line="240" w:lineRule="auto"/>
              <w:jc w:val="left"/>
            </w:pPr>
            <w:r>
              <w:rPr>
                <w:rFonts w:ascii="仿宋_GB2312" w:hAnsi="仿宋_GB2312" w:eastAsia="仿宋_GB2312"/>
                <w:b w:val="0"/>
                <w:color w:val="000000"/>
                <w:sz w:val="28"/>
              </w:rPr>
              <w:t>适配院内CA系统标准化回调机制，实时同步签署状态、验签结果，签章、验签全程日志留存，记录操作信息、时间、结果等数据，日志永久留存可溯源、可审计，数据防篡改。</w:t>
            </w:r>
          </w:p>
        </w:tc>
      </w:tr>
    </w:tbl>
    <w:p/>
    <w:p>
      <w:r>
        <w:rPr>
          <w:rFonts w:ascii="仿宋_GB2312" w:hAnsi="仿宋_GB2312" w:eastAsia="仿宋_GB2312"/>
          <w:b/>
          <w:color w:val="000000"/>
          <w:sz w:val="28"/>
        </w:rPr>
        <w:t>五、售后服务及其他要求</w:t>
      </w:r>
    </w:p>
    <w:p>
      <w:pPr>
        <w:ind w:firstLine="560"/>
      </w:pPr>
      <w:r>
        <w:rPr>
          <w:rFonts w:ascii="仿宋_GB2312" w:hAnsi="仿宋_GB2312" w:eastAsia="仿宋_GB2312"/>
          <w:b w:val="0"/>
          <w:color w:val="000000"/>
          <w:sz w:val="28"/>
        </w:rPr>
        <w:t>5.1自本项目整体最终验收之日起，所有产品要求提供三年的质保服务，含软硬件维护和系统软件升级、系统BUG及漏洞修复、技术支持服务、系统管理及操作培训服务，提供系统个性化修改需求。请详细说明售后服务的内容。</w:t>
      </w:r>
    </w:p>
    <w:p>
      <w:pPr>
        <w:ind w:firstLine="560"/>
      </w:pPr>
      <w:r>
        <w:rPr>
          <w:rFonts w:ascii="仿宋_GB2312" w:hAnsi="仿宋_GB2312" w:eastAsia="仿宋_GB2312"/>
          <w:b w:val="0"/>
          <w:color w:val="000000"/>
          <w:sz w:val="28"/>
        </w:rPr>
        <w:t>5.</w:t>
      </w:r>
      <w:r>
        <w:rPr>
          <w:rFonts w:hint="eastAsia" w:ascii="仿宋_GB2312" w:hAnsi="仿宋_GB2312" w:eastAsia="仿宋_GB2312"/>
          <w:b w:val="0"/>
          <w:color w:val="000000"/>
          <w:sz w:val="28"/>
          <w:lang w:val="en-US" w:eastAsia="zh-CN"/>
        </w:rPr>
        <w:t>2</w:t>
      </w:r>
      <w:r>
        <w:rPr>
          <w:rFonts w:ascii="仿宋_GB2312" w:hAnsi="仿宋_GB2312" w:eastAsia="仿宋_GB2312"/>
          <w:b w:val="0"/>
          <w:color w:val="000000"/>
          <w:sz w:val="28"/>
        </w:rPr>
        <w:t>原厂技术人员提供售后服务，含电话支持、现场响应、远程操作、网上客服中心等多种方式服务，应做到7×24小时全天候电话或微信等常用联系方式响应。当出现故障时，接到故障通知后，原厂技术人员应在30分钟内响应，远程技术支持无法解决的，6小时内需到达现场处理修复，并调查分析事故原因。</w:t>
      </w:r>
    </w:p>
    <w:p>
      <w:r>
        <w:rPr>
          <w:rFonts w:ascii="仿宋_GB2312" w:hAnsi="仿宋_GB2312" w:eastAsia="仿宋_GB2312"/>
          <w:b/>
          <w:color w:val="000000"/>
          <w:sz w:val="28"/>
        </w:rPr>
        <w:t>六、违约责任</w:t>
      </w:r>
    </w:p>
    <w:p>
      <w:pPr>
        <w:ind w:firstLine="560"/>
      </w:pPr>
      <w:r>
        <w:rPr>
          <w:rFonts w:ascii="仿宋_GB2312" w:hAnsi="仿宋_GB2312" w:eastAsia="仿宋_GB2312"/>
          <w:b w:val="0"/>
          <w:color w:val="000000"/>
          <w:sz w:val="28"/>
        </w:rPr>
        <w:t>6.1投标方所提供的技术</w:t>
      </w:r>
      <w:r>
        <w:rPr>
          <w:rFonts w:hint="eastAsia" w:ascii="仿宋_GB2312" w:hAnsi="仿宋_GB2312" w:eastAsia="仿宋_GB2312"/>
          <w:b w:val="0"/>
          <w:color w:val="000000"/>
          <w:sz w:val="28"/>
          <w:lang w:val="en-US" w:eastAsia="zh-CN"/>
        </w:rPr>
        <w:t>服务</w:t>
      </w:r>
      <w:r>
        <w:rPr>
          <w:rFonts w:ascii="仿宋_GB2312" w:hAnsi="仿宋_GB2312" w:eastAsia="仿宋_GB2312"/>
          <w:b w:val="0"/>
          <w:color w:val="000000"/>
          <w:sz w:val="28"/>
        </w:rPr>
        <w:t>标准质量有缺陷的，应及时更换，更换不及时的按逾期交付扣罚；因质量问题采购方不同意接收的，投标方应向采购方支付违约货款额5%违约金并赔偿采购方经济损失。</w:t>
      </w:r>
    </w:p>
    <w:p>
      <w:pPr>
        <w:ind w:firstLine="560"/>
      </w:pPr>
      <w:r>
        <w:rPr>
          <w:rFonts w:ascii="仿宋_GB2312" w:hAnsi="仿宋_GB2312" w:eastAsia="仿宋_GB2312"/>
          <w:b w:val="0"/>
          <w:color w:val="000000"/>
          <w:sz w:val="28"/>
        </w:rPr>
        <w:t>6.2若投标方提供的产品或软件侵犯了第三方合法权益而引发的任何纠纷或诉讼，均由投标方负责交涉并承担全部责任。</w:t>
      </w:r>
    </w:p>
    <w:p>
      <w:pPr>
        <w:ind w:firstLine="560"/>
      </w:pPr>
      <w:r>
        <w:rPr>
          <w:rFonts w:ascii="仿宋_GB2312" w:hAnsi="仿宋_GB2312" w:eastAsia="仿宋_GB2312"/>
          <w:b w:val="0"/>
          <w:color w:val="000000"/>
          <w:sz w:val="28"/>
        </w:rPr>
        <w:t>6.</w:t>
      </w:r>
      <w:r>
        <w:rPr>
          <w:rFonts w:hint="eastAsia" w:ascii="仿宋_GB2312" w:hAnsi="仿宋_GB2312" w:eastAsia="仿宋_GB2312"/>
          <w:b w:val="0"/>
          <w:color w:val="000000"/>
          <w:sz w:val="28"/>
          <w:lang w:val="en-US" w:eastAsia="zh-CN"/>
        </w:rPr>
        <w:t>3</w:t>
      </w:r>
      <w:r>
        <w:rPr>
          <w:rFonts w:ascii="仿宋_GB2312" w:hAnsi="仿宋_GB2312" w:eastAsia="仿宋_GB2312"/>
          <w:b w:val="0"/>
          <w:color w:val="000000"/>
          <w:sz w:val="28"/>
        </w:rPr>
        <w:t xml:space="preserve"> 投标方逾期交付的，每天向采购方偿付违约货款额3‰违约金，但违约金累计不得超过违约货款额 5% ，超过30天对方有权解除合同，违约方承担因此给对方造成的经济损失；</w:t>
      </w:r>
    </w:p>
    <w:p>
      <w:pPr>
        <w:ind w:firstLine="560"/>
      </w:pPr>
      <w:r>
        <w:rPr>
          <w:rFonts w:ascii="仿宋_GB2312" w:hAnsi="仿宋_GB2312" w:eastAsia="仿宋_GB2312"/>
          <w:b w:val="0"/>
          <w:color w:val="000000"/>
          <w:sz w:val="28"/>
        </w:rPr>
        <w:t>6.</w:t>
      </w:r>
      <w:r>
        <w:rPr>
          <w:rFonts w:hint="eastAsia" w:ascii="仿宋_GB2312" w:hAnsi="仿宋_GB2312" w:eastAsia="仿宋_GB2312"/>
          <w:b w:val="0"/>
          <w:color w:val="000000"/>
          <w:sz w:val="28"/>
          <w:lang w:val="en-US" w:eastAsia="zh-CN"/>
        </w:rPr>
        <w:t>4</w:t>
      </w:r>
      <w:r>
        <w:rPr>
          <w:rFonts w:ascii="仿宋_GB2312" w:hAnsi="仿宋_GB2312" w:eastAsia="仿宋_GB2312"/>
          <w:b w:val="0"/>
          <w:color w:val="000000"/>
          <w:sz w:val="28"/>
        </w:rPr>
        <w:t>售后服务违约：</w:t>
      </w:r>
    </w:p>
    <w:p>
      <w:pPr>
        <w:ind w:firstLine="560"/>
      </w:pPr>
      <w:r>
        <w:rPr>
          <w:rFonts w:ascii="仿宋_GB2312" w:hAnsi="仿宋_GB2312" w:eastAsia="仿宋_GB2312"/>
          <w:b w:val="0"/>
          <w:color w:val="000000"/>
          <w:sz w:val="28"/>
        </w:rPr>
        <w:t>6.</w:t>
      </w:r>
      <w:r>
        <w:rPr>
          <w:rFonts w:hint="eastAsia" w:ascii="仿宋_GB2312" w:hAnsi="仿宋_GB2312" w:eastAsia="仿宋_GB2312"/>
          <w:b w:val="0"/>
          <w:color w:val="000000"/>
          <w:sz w:val="28"/>
          <w:lang w:val="en-US" w:eastAsia="zh-CN"/>
        </w:rPr>
        <w:t>4</w:t>
      </w:r>
      <w:r>
        <w:rPr>
          <w:rFonts w:ascii="仿宋_GB2312" w:hAnsi="仿宋_GB2312" w:eastAsia="仿宋_GB2312"/>
          <w:b w:val="0"/>
          <w:color w:val="000000"/>
          <w:sz w:val="28"/>
        </w:rPr>
        <w:t>.</w:t>
      </w:r>
      <w:r>
        <w:rPr>
          <w:rFonts w:hint="eastAsia" w:ascii="仿宋_GB2312" w:hAnsi="仿宋_GB2312" w:eastAsia="仿宋_GB2312"/>
          <w:b w:val="0"/>
          <w:color w:val="000000"/>
          <w:sz w:val="28"/>
          <w:lang w:val="en-US" w:eastAsia="zh-CN"/>
        </w:rPr>
        <w:t>1</w:t>
      </w:r>
      <w:r>
        <w:rPr>
          <w:rFonts w:ascii="仿宋_GB2312" w:hAnsi="仿宋_GB2312" w:eastAsia="仿宋_GB2312"/>
          <w:b w:val="0"/>
          <w:color w:val="000000"/>
          <w:sz w:val="28"/>
        </w:rPr>
        <w:t>投标方未按本技术要求和响应文件中规定的其他服务承诺提供售后服务的，每次投标方应按合同合计金额的5% 向采购方支付违约金。</w:t>
      </w:r>
    </w:p>
    <w:p>
      <w:pPr>
        <w:ind w:firstLine="560"/>
      </w:pPr>
      <w:r>
        <w:rPr>
          <w:rFonts w:ascii="仿宋_GB2312" w:hAnsi="仿宋_GB2312" w:eastAsia="仿宋_GB2312"/>
          <w:b w:val="0"/>
          <w:color w:val="000000"/>
          <w:sz w:val="28"/>
        </w:rPr>
        <w:t>6.</w:t>
      </w:r>
      <w:r>
        <w:rPr>
          <w:rFonts w:hint="eastAsia" w:ascii="仿宋_GB2312" w:hAnsi="仿宋_GB2312" w:eastAsia="仿宋_GB2312"/>
          <w:b w:val="0"/>
          <w:color w:val="000000"/>
          <w:sz w:val="28"/>
          <w:lang w:val="en-US" w:eastAsia="zh-CN"/>
        </w:rPr>
        <w:t>5</w:t>
      </w:r>
      <w:r>
        <w:rPr>
          <w:rFonts w:ascii="仿宋_GB2312" w:hAnsi="仿宋_GB2312" w:eastAsia="仿宋_GB2312"/>
          <w:b w:val="0"/>
          <w:color w:val="000000"/>
          <w:sz w:val="28"/>
        </w:rPr>
        <w:t>任何一方违反本技术要求中“保密、廉洁条款”要求的，应承担相应的违约责任并赔偿由此造成的损失，损失累计金额超过合同款项的5%的，损失方同时有权终止合同并收回已付款项。</w:t>
      </w:r>
    </w:p>
    <w:p>
      <w:pPr>
        <w:ind w:firstLine="560"/>
      </w:pPr>
      <w:r>
        <w:rPr>
          <w:rFonts w:ascii="仿宋_GB2312" w:hAnsi="仿宋_GB2312" w:eastAsia="仿宋_GB2312"/>
          <w:b w:val="0"/>
          <w:color w:val="000000"/>
          <w:sz w:val="28"/>
        </w:rPr>
        <w:t>6.</w:t>
      </w:r>
      <w:r>
        <w:rPr>
          <w:rFonts w:hint="eastAsia" w:ascii="仿宋_GB2312" w:hAnsi="仿宋_GB2312" w:eastAsia="仿宋_GB2312"/>
          <w:b w:val="0"/>
          <w:color w:val="000000"/>
          <w:sz w:val="28"/>
          <w:lang w:val="en-US" w:eastAsia="zh-CN"/>
        </w:rPr>
        <w:t>6</w:t>
      </w:r>
      <w:r>
        <w:rPr>
          <w:rFonts w:ascii="仿宋_GB2312" w:hAnsi="仿宋_GB2312" w:eastAsia="仿宋_GB2312"/>
          <w:b w:val="0"/>
          <w:color w:val="000000"/>
          <w:sz w:val="28"/>
        </w:rPr>
        <w:t>投标方未按本技术要求和响应文件中规定的其他服务承诺提供售后服务的，按损失情况，每次应按合同合计金额的0.1‰-0.1%由投标方向采购方支付违约金，损失累计金额超过合同款项的5%的，损失方同时有权终止合同并收回已付款项。</w:t>
      </w:r>
    </w:p>
    <w:p>
      <w:r>
        <w:rPr>
          <w:rFonts w:ascii="仿宋_GB2312" w:hAnsi="仿宋_GB2312" w:eastAsia="仿宋_GB2312"/>
          <w:b/>
          <w:color w:val="000000"/>
          <w:sz w:val="28"/>
        </w:rPr>
        <w:t>七、保密、廉洁协议</w:t>
      </w:r>
    </w:p>
    <w:p>
      <w:pPr>
        <w:ind w:firstLine="560"/>
      </w:pPr>
      <w:r>
        <w:rPr>
          <w:rFonts w:ascii="仿宋_GB2312" w:hAnsi="仿宋_GB2312" w:eastAsia="仿宋_GB2312"/>
          <w:b w:val="0"/>
          <w:color w:val="000000"/>
          <w:sz w:val="28"/>
        </w:rPr>
        <w:t>7.1 双方保证对从另一方取得且无法自公开渠道获得的商业秘密(技术信息、经营信息及其他商业秘密)予以保密。未经该商业秘密的提供方同意，一方不得向任何第三方泄露该商业秘密的全部或部分内容，但法律、法规另有规定或双方另有约定的除外。任何一方违反保密义务的，应承担相应的违约责任并赔偿由此造成的损失。</w:t>
      </w:r>
    </w:p>
    <w:p>
      <w:pPr>
        <w:ind w:firstLine="560"/>
      </w:pPr>
      <w:r>
        <w:rPr>
          <w:rFonts w:ascii="仿宋_GB2312" w:hAnsi="仿宋_GB2312" w:eastAsia="仿宋_GB2312"/>
          <w:b w:val="0"/>
          <w:color w:val="000000"/>
          <w:sz w:val="28"/>
        </w:rPr>
        <w:t>7.2 双方不得以任何方式向第三方泄露本项目的软件技术、设计方案以及功能配置等内容。</w:t>
      </w:r>
    </w:p>
    <w:p>
      <w:pPr>
        <w:ind w:firstLine="560"/>
      </w:pPr>
      <w:r>
        <w:rPr>
          <w:rFonts w:ascii="仿宋_GB2312" w:hAnsi="仿宋_GB2312" w:eastAsia="仿宋_GB2312"/>
          <w:b w:val="0"/>
          <w:color w:val="000000"/>
          <w:sz w:val="28"/>
        </w:rPr>
        <w:t>7.3不以任何方式向第三方泄露在本协议开发实施过程中获取的经济、技术、数据以及双方其他非公开的信息。</w:t>
      </w:r>
    </w:p>
    <w:p>
      <w:pPr>
        <w:ind w:firstLine="560"/>
      </w:pPr>
      <w:r>
        <w:rPr>
          <w:rFonts w:ascii="仿宋_GB2312" w:hAnsi="仿宋_GB2312" w:eastAsia="仿宋_GB2312"/>
          <w:b w:val="0"/>
          <w:color w:val="000000"/>
          <w:sz w:val="28"/>
        </w:rPr>
        <w:t>7.4 不从事商业贿赂行为，遵守廉洁协议或相关规定。采购方发现投标方有违反廉洁协议或相关规定采用不正当手段进行不正当竞争行为的，或被有关部门生效文书认定有行贿或者受贿行为的，采购方有权解除该业务合同，由此给采购方造成的损失以及发生的一切费用均由投标方承担，采购方有权对投标方实施商业贿赂不良记录，列入“黑名单”，并三年内取消其业务往来资格。</w:t>
      </w:r>
    </w:p>
    <w:p>
      <w:pPr>
        <w:ind w:firstLine="560"/>
      </w:pPr>
      <w:r>
        <w:rPr>
          <w:rFonts w:ascii="仿宋_GB2312" w:hAnsi="仿宋_GB2312" w:eastAsia="仿宋_GB2312"/>
          <w:b w:val="0"/>
          <w:color w:val="000000"/>
          <w:sz w:val="28"/>
        </w:rPr>
        <w:t>7.5保密期限自本合同生效之日起永久有效，如投标方需解除保密协议需向采购方提出书面申请，双方协商同意签字确认后方可解除。</w:t>
      </w:r>
    </w:p>
    <w:p>
      <w:r>
        <w:rPr>
          <w:rFonts w:ascii="仿宋_GB2312" w:hAnsi="仿宋_GB2312" w:eastAsia="仿宋_GB2312"/>
          <w:b/>
          <w:color w:val="000000"/>
          <w:sz w:val="28"/>
        </w:rPr>
        <w:t>八、报价</w:t>
      </w:r>
    </w:p>
    <w:p>
      <w:pPr>
        <w:ind w:firstLine="560"/>
      </w:pPr>
      <w:r>
        <w:rPr>
          <w:rFonts w:ascii="仿宋_GB2312" w:hAnsi="仿宋_GB2312" w:eastAsia="仿宋_GB2312"/>
          <w:b w:val="0"/>
          <w:color w:val="000000"/>
          <w:sz w:val="28"/>
        </w:rPr>
        <w:t>8.1竞标文件提供技术偏离表、服务偏离表，并标明详细的技术和服务内容。竞标文件按系统模块报价，报价表价格包含系统软硬件费用、产品安装、调试实施、培训费用、产品升级费用、接口费（包括第三方厂家的接口费）等费用，以及明示所有责任、义务和一切风险。</w:t>
      </w:r>
    </w:p>
    <w:p>
      <w:r>
        <w:rPr>
          <w:rFonts w:ascii="仿宋_GB2312" w:hAnsi="仿宋_GB2312" w:eastAsia="仿宋_GB2312"/>
          <w:b/>
          <w:color w:val="000000"/>
          <w:sz w:val="28"/>
        </w:rPr>
        <w:t>九、付款方式</w:t>
      </w:r>
    </w:p>
    <w:p>
      <w:pPr>
        <w:ind w:firstLine="560"/>
        <w:rPr>
          <w:color w:val="FF0000"/>
        </w:rPr>
      </w:pPr>
      <w:r>
        <w:rPr>
          <w:rFonts w:ascii="仿宋_GB2312" w:hAnsi="仿宋_GB2312" w:eastAsia="仿宋_GB2312"/>
          <w:b w:val="0"/>
          <w:color w:val="FF0000"/>
          <w:sz w:val="28"/>
        </w:rPr>
        <w:t>项目双方签订合同，采购方支付合同款项的</w:t>
      </w:r>
      <w:r>
        <w:rPr>
          <w:rFonts w:hint="eastAsia" w:ascii="仿宋_GB2312" w:hAnsi="仿宋_GB2312" w:eastAsia="仿宋_GB2312"/>
          <w:b w:val="0"/>
          <w:color w:val="FF0000"/>
          <w:sz w:val="28"/>
          <w:lang w:val="en-US" w:eastAsia="zh-CN"/>
        </w:rPr>
        <w:t>5</w:t>
      </w:r>
      <w:r>
        <w:rPr>
          <w:rFonts w:ascii="仿宋_GB2312" w:hAnsi="仿宋_GB2312" w:eastAsia="仿宋_GB2312"/>
          <w:b w:val="0"/>
          <w:color w:val="FF0000"/>
          <w:sz w:val="28"/>
        </w:rPr>
        <w:t>0%；合同中所有功能及模块实施完毕，系统上线稳定运行，启动项目验收，验收合格后采购方支付合同款项的</w:t>
      </w:r>
      <w:r>
        <w:rPr>
          <w:rFonts w:hint="eastAsia" w:ascii="仿宋_GB2312" w:hAnsi="仿宋_GB2312" w:eastAsia="仿宋_GB2312"/>
          <w:b w:val="0"/>
          <w:color w:val="FF0000"/>
          <w:sz w:val="28"/>
          <w:lang w:val="en-US" w:eastAsia="zh-CN"/>
        </w:rPr>
        <w:t>50</w:t>
      </w:r>
      <w:r>
        <w:rPr>
          <w:rFonts w:ascii="仿宋_GB2312" w:hAnsi="仿宋_GB2312" w:eastAsia="仿宋_GB2312"/>
          <w:b w:val="0"/>
          <w:color w:val="FF0000"/>
          <w:sz w:val="28"/>
        </w:rPr>
        <w:t>%。</w:t>
      </w:r>
    </w:p>
    <w:p>
      <w:pPr>
        <w:ind w:firstLine="560"/>
      </w:pPr>
    </w:p>
    <w:sectPr>
      <w:pgSz w:w="11906" w:h="16838"/>
      <w:pgMar w:top="1440" w:right="1080" w:bottom="1440" w:left="10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3ZDgzZmI2ZDJmOTI0YzYwZjFmMWYxMDRmMGE4MDYifQ=="/>
  </w:docVars>
  <w:rsids>
    <w:rsidRoot w:val="00B47730"/>
    <w:rsid w:val="00034616"/>
    <w:rsid w:val="0006063C"/>
    <w:rsid w:val="0015074B"/>
    <w:rsid w:val="0029639D"/>
    <w:rsid w:val="00326F90"/>
    <w:rsid w:val="00AA1D8D"/>
    <w:rsid w:val="00B47730"/>
    <w:rsid w:val="00CB0664"/>
    <w:rsid w:val="00FC693F"/>
    <w:rsid w:val="0D15580D"/>
    <w:rsid w:val="10FC5772"/>
    <w:rsid w:val="123C0392"/>
    <w:rsid w:val="16336D00"/>
    <w:rsid w:val="21A93DA4"/>
    <w:rsid w:val="2B6B4627"/>
    <w:rsid w:val="2FA71638"/>
    <w:rsid w:val="32D01553"/>
    <w:rsid w:val="3632560E"/>
    <w:rsid w:val="3809330B"/>
    <w:rsid w:val="42ED2B0D"/>
    <w:rsid w:val="4A333B27"/>
    <w:rsid w:val="57972A1F"/>
    <w:rsid w:val="6BE837A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9853</Words>
  <Characters>10524</Characters>
  <Lines>0</Lines>
  <Paragraphs>0</Paragraphs>
  <TotalTime>8</TotalTime>
  <ScaleCrop>false</ScaleCrop>
  <LinksUpToDate>false</LinksUpToDate>
  <CharactersWithSpaces>10536</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颜海威</cp:lastModifiedBy>
  <dcterms:modified xsi:type="dcterms:W3CDTF">2026-10-09T00:33:28Z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86FEDF44A5464616B7A935E7A416D38E</vt:lpwstr>
  </property>
  <property fmtid="{D5CDD505-2E9C-101B-9397-08002B2CF9AE}" pid="4" name="KSOTemplateDocerSaveRecord">
    <vt:lpwstr>eyJoZGlkIjoiMGRiOWE0M2Y5OWYwZTYyYWYwNmUzNWIwNzlhMjAzZWIiLCJ1c2VySWQiOiIzODk2MzM3NTIifQ==</vt:lpwstr>
  </property>
</Properties>
</file>