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F0F99">
      <w:pPr>
        <w:tabs>
          <w:tab w:val="left" w:pos="7275"/>
        </w:tabs>
        <w:spacing w:line="480" w:lineRule="exact"/>
        <w:jc w:val="center"/>
        <w:rPr>
          <w:rFonts w:hint="eastAsia" w:ascii="黑体" w:hAnsi="黑体" w:eastAsia="黑体" w:cs="黑体"/>
          <w:b/>
          <w:sz w:val="32"/>
          <w:szCs w:val="32"/>
        </w:rPr>
      </w:pPr>
      <w:r>
        <w:rPr>
          <w:rFonts w:hint="eastAsia" w:ascii="黑体" w:hAnsi="黑体" w:eastAsia="黑体" w:cs="黑体"/>
          <w:b/>
          <w:sz w:val="32"/>
          <w:szCs w:val="32"/>
        </w:rPr>
        <w:t>柳州市工人医</w:t>
      </w:r>
      <w:r>
        <w:rPr>
          <w:rFonts w:hint="eastAsia" w:ascii="黑体" w:hAnsi="黑体" w:eastAsia="黑体" w:cs="黑体"/>
          <w:b/>
          <w:sz w:val="32"/>
          <w:szCs w:val="32"/>
          <w:lang w:eastAsia="zh-CN"/>
        </w:rPr>
        <w:t>院总院、鱼峰食堂一批厨房设备采购</w:t>
      </w:r>
      <w:r>
        <w:rPr>
          <w:rFonts w:hint="eastAsia" w:ascii="黑体" w:hAnsi="黑体" w:eastAsia="黑体" w:cs="黑体"/>
          <w:b/>
          <w:sz w:val="32"/>
          <w:szCs w:val="32"/>
          <w:lang w:val="en-US" w:eastAsia="zh-CN"/>
        </w:rPr>
        <w:t>项目</w:t>
      </w:r>
      <w:r>
        <w:rPr>
          <w:rFonts w:hint="eastAsia" w:ascii="黑体" w:hAnsi="黑体" w:eastAsia="黑体" w:cs="黑体"/>
          <w:b/>
          <w:sz w:val="32"/>
          <w:szCs w:val="32"/>
        </w:rPr>
        <w:t>需求</w:t>
      </w:r>
    </w:p>
    <w:p w14:paraId="5C6EA473"/>
    <w:p w14:paraId="51A20767">
      <w:pPr>
        <w:spacing w:line="500" w:lineRule="exact"/>
        <w:rPr>
          <w:rFonts w:ascii="仿宋" w:hAnsi="仿宋" w:eastAsia="仿宋" w:cs="仿宋"/>
          <w:b/>
          <w:bCs/>
          <w:sz w:val="28"/>
          <w:szCs w:val="28"/>
        </w:rPr>
      </w:pPr>
      <w:r>
        <w:rPr>
          <w:rFonts w:hint="eastAsia" w:ascii="仿宋" w:hAnsi="仿宋" w:eastAsia="仿宋" w:cs="仿宋"/>
          <w:b/>
          <w:bCs/>
          <w:sz w:val="28"/>
          <w:szCs w:val="28"/>
        </w:rPr>
        <w:t>一、项目名称</w:t>
      </w:r>
    </w:p>
    <w:p w14:paraId="709624C3">
      <w:pPr>
        <w:tabs>
          <w:tab w:val="left" w:pos="7275"/>
        </w:tabs>
        <w:spacing w:line="480" w:lineRule="exact"/>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rPr>
        <w:t>柳州市工人医院总院、鱼峰食堂一批厨房设备采购</w:t>
      </w:r>
      <w:r>
        <w:rPr>
          <w:rFonts w:hint="eastAsia" w:ascii="仿宋" w:hAnsi="仿宋" w:eastAsia="仿宋" w:cs="仿宋"/>
          <w:sz w:val="28"/>
          <w:szCs w:val="28"/>
          <w:lang w:val="en-US" w:eastAsia="zh-CN"/>
        </w:rPr>
        <w:t>项目</w:t>
      </w:r>
    </w:p>
    <w:p w14:paraId="60BA1BFB">
      <w:pPr>
        <w:spacing w:line="500" w:lineRule="exact"/>
        <w:rPr>
          <w:rFonts w:ascii="仿宋" w:hAnsi="仿宋" w:eastAsia="仿宋" w:cs="仿宋"/>
          <w:b/>
          <w:bCs/>
          <w:sz w:val="28"/>
          <w:szCs w:val="28"/>
        </w:rPr>
      </w:pPr>
      <w:r>
        <w:rPr>
          <w:rFonts w:hint="eastAsia" w:ascii="仿宋" w:hAnsi="仿宋" w:eastAsia="仿宋" w:cs="仿宋"/>
          <w:b/>
          <w:bCs/>
          <w:sz w:val="28"/>
          <w:szCs w:val="28"/>
        </w:rPr>
        <w:t>二、项目概况</w:t>
      </w:r>
    </w:p>
    <w:p w14:paraId="124EA8B4">
      <w:pPr>
        <w:spacing w:line="500" w:lineRule="exact"/>
        <w:ind w:firstLine="561"/>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为确保食品安全，提升餐饮服务质量，改善职工、病人及家属就餐体验，总院、鱼峰食堂计划推出面食类餐品，为提高后厨工作效率，降低人力成本，特申请新购一批厨房设备。</w:t>
      </w:r>
    </w:p>
    <w:p w14:paraId="6A1AE2A8">
      <w:pPr>
        <w:spacing w:line="500" w:lineRule="exact"/>
        <w:rPr>
          <w:rFonts w:ascii="仿宋" w:hAnsi="仿宋" w:eastAsia="仿宋" w:cs="仿宋"/>
          <w:b/>
          <w:bCs/>
          <w:sz w:val="28"/>
          <w:szCs w:val="28"/>
        </w:rPr>
      </w:pPr>
      <w:r>
        <w:rPr>
          <w:rFonts w:hint="eastAsia" w:ascii="仿宋" w:hAnsi="仿宋" w:eastAsia="仿宋" w:cs="仿宋"/>
          <w:b/>
          <w:bCs/>
          <w:sz w:val="28"/>
          <w:szCs w:val="28"/>
        </w:rPr>
        <w:t>三、投标人/供应商资格条件</w:t>
      </w:r>
    </w:p>
    <w:p w14:paraId="01987178">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1、投标人需为国内注册（指按国家有关规定要求注册的），具备法人资格；</w:t>
      </w:r>
    </w:p>
    <w:p w14:paraId="01F3A94A">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2、参与单位三年内在经营活动中没有重大违法记录和不良信用记录；</w:t>
      </w:r>
    </w:p>
    <w:p w14:paraId="790DD855">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3、参与单位有效的“营业执照”副本复印件；</w:t>
      </w:r>
    </w:p>
    <w:p w14:paraId="6B0FDF77">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4、由国家质量技术监督局颁发的中华人民共和国组织机构代码证复印件（三证合一除外）和法定代表人身份证明复印件； </w:t>
      </w:r>
    </w:p>
    <w:p w14:paraId="3C3C2BC3">
      <w:pPr>
        <w:spacing w:line="5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5、参与单位有效的“税务登记证”副本复印件（国税或地税，三证合一除外）；</w:t>
      </w:r>
    </w:p>
    <w:p w14:paraId="4B1539AF">
      <w:pPr>
        <w:spacing w:line="50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rPr>
        <w:t>投标所提交的所有资质证明文件必须真实、有效、完整，所有复印件须加盖投标人公章；若提供虚假材料，一经查实取消投标 / 中标资格，并承担相应法律责任。</w:t>
      </w:r>
    </w:p>
    <w:p w14:paraId="5135F35F">
      <w:pPr>
        <w:spacing w:line="500" w:lineRule="exact"/>
        <w:rPr>
          <w:rFonts w:ascii="仿宋" w:hAnsi="仿宋" w:eastAsia="仿宋" w:cs="仿宋"/>
          <w:b/>
          <w:bCs/>
          <w:sz w:val="28"/>
          <w:szCs w:val="28"/>
        </w:rPr>
      </w:pPr>
      <w:r>
        <w:rPr>
          <w:rFonts w:hint="eastAsia" w:ascii="仿宋" w:hAnsi="仿宋" w:eastAsia="仿宋" w:cs="仿宋"/>
          <w:b/>
          <w:bCs/>
          <w:sz w:val="28"/>
          <w:szCs w:val="28"/>
        </w:rPr>
        <w:t>四、项目内容</w:t>
      </w:r>
    </w:p>
    <w:p w14:paraId="53C6D35F">
      <w:pPr>
        <w:spacing w:line="500" w:lineRule="exact"/>
        <w:jc w:val="center"/>
        <w:rPr>
          <w:rFonts w:ascii="仿宋" w:hAnsi="仿宋" w:eastAsia="仿宋" w:cs="仿宋"/>
          <w:sz w:val="28"/>
          <w:szCs w:val="28"/>
        </w:rPr>
      </w:pPr>
      <w:r>
        <w:rPr>
          <w:rFonts w:hint="eastAsia" w:ascii="仿宋" w:hAnsi="仿宋" w:eastAsia="仿宋" w:cs="仿宋"/>
          <w:b/>
          <w:bCs/>
          <w:sz w:val="28"/>
          <w:szCs w:val="28"/>
        </w:rPr>
        <w:t>主要项目内容清单</w:t>
      </w:r>
      <w:r>
        <w:rPr>
          <w:rFonts w:hint="eastAsia" w:ascii="仿宋" w:hAnsi="仿宋" w:eastAsia="仿宋" w:cs="仿宋"/>
          <w:sz w:val="28"/>
          <w:szCs w:val="28"/>
        </w:rPr>
        <w:t>：</w:t>
      </w:r>
    </w:p>
    <w:tbl>
      <w:tblPr>
        <w:tblStyle w:val="8"/>
        <w:tblW w:w="9359" w:type="dxa"/>
        <w:tblInd w:w="93" w:type="dxa"/>
        <w:tblLayout w:type="fixed"/>
        <w:tblCellMar>
          <w:top w:w="0" w:type="dxa"/>
          <w:left w:w="108" w:type="dxa"/>
          <w:bottom w:w="0" w:type="dxa"/>
          <w:right w:w="108" w:type="dxa"/>
        </w:tblCellMar>
      </w:tblPr>
      <w:tblGrid>
        <w:gridCol w:w="801"/>
        <w:gridCol w:w="1058"/>
        <w:gridCol w:w="1183"/>
        <w:gridCol w:w="4034"/>
        <w:gridCol w:w="900"/>
        <w:gridCol w:w="1383"/>
      </w:tblGrid>
      <w:tr w14:paraId="2E31A510">
        <w:tblPrEx>
          <w:tblCellMar>
            <w:top w:w="0" w:type="dxa"/>
            <w:left w:w="108" w:type="dxa"/>
            <w:bottom w:w="0" w:type="dxa"/>
            <w:right w:w="108" w:type="dxa"/>
          </w:tblCellMar>
        </w:tblPrEx>
        <w:trPr>
          <w:trHeight w:val="315" w:hRule="atLeast"/>
        </w:trPr>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122AA">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b/>
                <w:bCs/>
                <w:i w:val="0"/>
                <w:iCs w:val="0"/>
                <w:color w:val="000000"/>
                <w:kern w:val="0"/>
                <w:sz w:val="24"/>
                <w:szCs w:val="24"/>
                <w:u w:val="none"/>
                <w:lang w:val="en-US" w:eastAsia="zh-CN" w:bidi="ar"/>
              </w:rPr>
              <w:t>序号</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B93CF">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b/>
                <w:bCs/>
                <w:i w:val="0"/>
                <w:iCs w:val="0"/>
                <w:color w:val="000000"/>
                <w:kern w:val="0"/>
                <w:sz w:val="24"/>
                <w:szCs w:val="24"/>
                <w:u w:val="none"/>
                <w:lang w:val="en-US" w:eastAsia="zh-CN" w:bidi="ar"/>
              </w:rPr>
              <w:t>名称</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DBBFD">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b/>
                <w:bCs/>
                <w:i w:val="0"/>
                <w:iCs w:val="0"/>
                <w:color w:val="000000"/>
                <w:kern w:val="0"/>
                <w:sz w:val="24"/>
                <w:szCs w:val="24"/>
                <w:u w:val="none"/>
                <w:lang w:val="en-US" w:eastAsia="zh-CN" w:bidi="ar"/>
              </w:rPr>
              <w:t>规格型号</w:t>
            </w:r>
          </w:p>
        </w:tc>
        <w:tc>
          <w:tcPr>
            <w:tcW w:w="4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67F6C">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b/>
                <w:bCs/>
                <w:i w:val="0"/>
                <w:iCs w:val="0"/>
                <w:color w:val="000000"/>
                <w:kern w:val="0"/>
                <w:sz w:val="24"/>
                <w:szCs w:val="24"/>
                <w:u w:val="none"/>
                <w:lang w:val="en-US" w:eastAsia="zh-CN" w:bidi="ar"/>
              </w:rPr>
              <w:t>配置参数</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EE6EC">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b/>
                <w:bCs/>
                <w:i w:val="0"/>
                <w:iCs w:val="0"/>
                <w:color w:val="000000"/>
                <w:kern w:val="0"/>
                <w:sz w:val="24"/>
                <w:szCs w:val="24"/>
                <w:u w:val="none"/>
                <w:lang w:val="en-US" w:eastAsia="zh-CN" w:bidi="ar"/>
              </w:rPr>
              <w:t>数量（台）</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7743F">
            <w:pPr>
              <w:keepNext w:val="0"/>
              <w:keepLines w:val="0"/>
              <w:widowControl/>
              <w:suppressLineNumbers w:val="0"/>
              <w:jc w:val="center"/>
              <w:textAlignment w:val="center"/>
              <w:rPr>
                <w:rFonts w:hint="default"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备注</w:t>
            </w:r>
          </w:p>
        </w:tc>
      </w:tr>
      <w:tr w14:paraId="58AA9757">
        <w:tblPrEx>
          <w:tblCellMar>
            <w:top w:w="0" w:type="dxa"/>
            <w:left w:w="108" w:type="dxa"/>
            <w:bottom w:w="0" w:type="dxa"/>
            <w:right w:w="108" w:type="dxa"/>
          </w:tblCellMar>
        </w:tblPrEx>
        <w:trPr>
          <w:trHeight w:val="594" w:hRule="atLeast"/>
        </w:trPr>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11AD9">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1</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9682A">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三合一自动洗菜机</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B5E3A">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1.8米（气泡+臭氧+加热）</w:t>
            </w:r>
          </w:p>
        </w:tc>
        <w:tc>
          <w:tcPr>
            <w:tcW w:w="4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51351">
            <w:pPr>
              <w:keepNext w:val="0"/>
              <w:keepLines w:val="0"/>
              <w:widowControl/>
              <w:suppressLineNumbers w:val="0"/>
              <w:jc w:val="left"/>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0"/>
                <w:szCs w:val="20"/>
                <w:u w:val="none"/>
                <w:lang w:val="en-US" w:eastAsia="zh-CN" w:bidi="ar"/>
              </w:rPr>
              <w:t>设备尺寸 1800* 800 * 950 mm（1.8米长，不含提升机）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内槽尺寸 约 1650 * 590* 320mm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槽体材质 不锈钢，厚0.8mm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处理量 300–500 kg/h（叶菜/根茎类有差异）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气泡泵功率 0.75–1.1 kW，翻滚式气泡清洗</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臭氧发生器 内置，臭氧产量 500–1000 mg/h，灭菌去农残</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加热方式 电加热管，功率 4–6 kW</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温控范围 常温–70℃（或80℃），可设定自动控温</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总功率 约 5.5–8 kW（220V 或 380V，根据加热选）</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进水/排水 独立阀门，溢流口，快排设计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输送方式 多为人工投料、人工捞取（中低档通常不带自动提升出料）</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控制面板 简易旋钮/数显温控，水泵、气泡、加热独立开关</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机器重量 约 120–180 kg</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其他功能 带有循环水过滤、底部网篮、防漏电保护</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02E0B">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1</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CC5E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总院食堂</w:t>
            </w:r>
          </w:p>
        </w:tc>
      </w:tr>
      <w:tr w14:paraId="48F256FB">
        <w:tblPrEx>
          <w:tblCellMar>
            <w:top w:w="0" w:type="dxa"/>
            <w:left w:w="108" w:type="dxa"/>
            <w:bottom w:w="0" w:type="dxa"/>
            <w:right w:w="108" w:type="dxa"/>
          </w:tblCellMar>
        </w:tblPrEx>
        <w:trPr>
          <w:trHeight w:val="410" w:hRule="atLeast"/>
        </w:trPr>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F242D">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2</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0F39">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三合一自动洗菜机</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C9BF3">
            <w:pPr>
              <w:keepNext w:val="0"/>
              <w:keepLines w:val="0"/>
              <w:widowControl/>
              <w:suppressLineNumbers w:val="0"/>
              <w:jc w:val="center"/>
              <w:textAlignment w:val="center"/>
              <w:rPr>
                <w:rFonts w:hint="eastAsia"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1.5米（气泡+臭氧+加热）</w:t>
            </w:r>
          </w:p>
        </w:tc>
        <w:tc>
          <w:tcPr>
            <w:tcW w:w="4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D0AC">
            <w:pPr>
              <w:keepNext w:val="0"/>
              <w:keepLines w:val="0"/>
              <w:widowControl/>
              <w:suppressLineNumbers w:val="0"/>
              <w:jc w:val="left"/>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0"/>
                <w:szCs w:val="20"/>
                <w:u w:val="none"/>
                <w:lang w:val="en-US" w:eastAsia="zh-CN" w:bidi="ar"/>
              </w:rPr>
              <w:t>设备尺寸 1500* 800 * 950 mm（1.5米长，不含提升机）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内槽尺寸 约 1400 * 590* 320mm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槽体材质 不锈钢，厚1.0mm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处理量 100–300 kg/h（叶菜/根茎类有差异）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气泡泵功率 0.75–1.1 kW，翻滚式气泡清洗</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臭氧发生器 内置，臭氧产量 500–1000 mg/h，灭菌去农残</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加热方式 电加热管，功率 4–6 kW</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温控范围 常温–70℃（或80℃），可设定自动控温</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总功率 约 5.5–8 kW（220V 或 380V，根据加热选）</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进水/排水 独立阀门，溢流口，快排设计</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输送方式 多为人工投料、人工捞取（中低档通常不带自动提升出料）</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控制面板 简易旋钮/数显温控，水泵、气泡、加热独立开关</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机器重量 约 120–180 kg</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其他功能 带有循环水过滤、底部网篮、防漏电保护</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F9BD">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1</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103E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鱼峰食堂</w:t>
            </w:r>
          </w:p>
        </w:tc>
      </w:tr>
      <w:tr w14:paraId="51E0F569">
        <w:tblPrEx>
          <w:tblCellMar>
            <w:top w:w="0" w:type="dxa"/>
            <w:left w:w="108" w:type="dxa"/>
            <w:bottom w:w="0" w:type="dxa"/>
            <w:right w:w="108" w:type="dxa"/>
          </w:tblCellMar>
        </w:tblPrEx>
        <w:trPr>
          <w:trHeight w:val="669" w:hRule="atLeast"/>
        </w:trPr>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E0024">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3AF8C">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和面机</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F76CC">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JL-S40，40L静音</w:t>
            </w:r>
          </w:p>
        </w:tc>
        <w:tc>
          <w:tcPr>
            <w:tcW w:w="4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D69F4">
            <w:pPr>
              <w:keepNext w:val="0"/>
              <w:keepLines w:val="0"/>
              <w:widowControl/>
              <w:suppressLineNumbers w:val="0"/>
              <w:jc w:val="left"/>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0"/>
                <w:szCs w:val="20"/>
                <w:u w:val="none"/>
                <w:lang w:val="en-US" w:eastAsia="zh-CN" w:bidi="ar"/>
              </w:rPr>
              <w:t>规格：860*490*920 容量：40L，最大和面量：17公斤</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转速：钩220，桶19</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7E8B7">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2</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3102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总院、鱼峰各1</w:t>
            </w:r>
          </w:p>
        </w:tc>
      </w:tr>
      <w:tr w14:paraId="731BB077">
        <w:tblPrEx>
          <w:tblCellMar>
            <w:top w:w="0" w:type="dxa"/>
            <w:left w:w="108" w:type="dxa"/>
            <w:bottom w:w="0" w:type="dxa"/>
            <w:right w:w="108" w:type="dxa"/>
          </w:tblCellMar>
        </w:tblPrEx>
        <w:trPr>
          <w:trHeight w:val="622" w:hRule="atLeast"/>
        </w:trPr>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E3132">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4</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38B9C">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发酵箱</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44A79">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双门、不锈钢，≥30层</w:t>
            </w:r>
          </w:p>
        </w:tc>
        <w:tc>
          <w:tcPr>
            <w:tcW w:w="4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7CAB">
            <w:pPr>
              <w:keepNext w:val="0"/>
              <w:keepLines w:val="0"/>
              <w:widowControl/>
              <w:suppressLineNumbers w:val="0"/>
              <w:jc w:val="left"/>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0"/>
                <w:szCs w:val="20"/>
                <w:u w:val="none"/>
                <w:lang w:val="en-US" w:eastAsia="zh-CN" w:bidi="ar"/>
              </w:rPr>
              <w:t>规格:1000*685*1880mm  容量:32盘，电压: 220V/50HZ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功率:2.8kw，温度范围：室温~50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整机重量：53kg，层高：73mm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煮水式发酵箱，430/0.6mm</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517CD">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1</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E546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总院</w:t>
            </w:r>
          </w:p>
        </w:tc>
      </w:tr>
      <w:tr w14:paraId="1C430BD2">
        <w:tblPrEx>
          <w:tblCellMar>
            <w:top w:w="0" w:type="dxa"/>
            <w:left w:w="108" w:type="dxa"/>
            <w:bottom w:w="0" w:type="dxa"/>
            <w:right w:w="108" w:type="dxa"/>
          </w:tblCellMar>
        </w:tblPrEx>
        <w:trPr>
          <w:trHeight w:val="447" w:hRule="atLeast"/>
        </w:trPr>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97D71">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E095E">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电饼铛</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29122">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锅径≥55cm，不锈钢，锅深≥3cm</w:t>
            </w:r>
          </w:p>
        </w:tc>
        <w:tc>
          <w:tcPr>
            <w:tcW w:w="4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30EE">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0"/>
                <w:szCs w:val="20"/>
                <w:u w:val="none"/>
                <w:lang w:val="en-US" w:eastAsia="zh-CN" w:bidi="ar"/>
              </w:rPr>
              <w:t>规格：650*800*130+720  功率：5KW 电压：220V 材质：不锈钢；上铛锅径：580*20mm,下铛尺寸：540*30mm; 常 温：0-300°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250F">
            <w:pPr>
              <w:keepNext w:val="0"/>
              <w:keepLines w:val="0"/>
              <w:widowControl/>
              <w:suppressLineNumbers w:val="0"/>
              <w:jc w:val="center"/>
              <w:textAlignment w:val="center"/>
              <w:rPr>
                <w:rFonts w:ascii="仿宋" w:hAnsi="仿宋" w:eastAsia="仿宋" w:cs="仿宋"/>
                <w:color w:val="000000"/>
                <w:sz w:val="28"/>
                <w:szCs w:val="28"/>
              </w:rPr>
            </w:pPr>
            <w:r>
              <w:rPr>
                <w:rFonts w:hint="eastAsia" w:ascii="仿宋" w:hAnsi="仿宋" w:eastAsia="仿宋" w:cs="仿宋"/>
                <w:i w:val="0"/>
                <w:iCs w:val="0"/>
                <w:color w:val="000000"/>
                <w:kern w:val="0"/>
                <w:sz w:val="24"/>
                <w:szCs w:val="24"/>
                <w:u w:val="none"/>
                <w:lang w:val="en-US" w:eastAsia="zh-CN" w:bidi="ar"/>
              </w:rPr>
              <w:t>1</w:t>
            </w:r>
          </w:p>
        </w:tc>
        <w:tc>
          <w:tcPr>
            <w:tcW w:w="1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10D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鱼峰</w:t>
            </w:r>
          </w:p>
        </w:tc>
      </w:tr>
    </w:tbl>
    <w:p w14:paraId="037B5454">
      <w:pPr>
        <w:spacing w:line="500" w:lineRule="exact"/>
        <w:rPr>
          <w:rFonts w:ascii="仿宋" w:hAnsi="仿宋" w:eastAsia="仿宋" w:cs="仿宋"/>
          <w:sz w:val="28"/>
          <w:szCs w:val="28"/>
        </w:rPr>
      </w:pPr>
      <w:r>
        <w:rPr>
          <w:rFonts w:hint="eastAsia" w:ascii="仿宋" w:hAnsi="仿宋" w:eastAsia="仿宋" w:cs="仿宋"/>
          <w:sz w:val="28"/>
          <w:szCs w:val="28"/>
        </w:rPr>
        <w:t>注：以上内容包含</w:t>
      </w:r>
      <w:r>
        <w:rPr>
          <w:rFonts w:hint="eastAsia" w:ascii="仿宋" w:hAnsi="仿宋" w:eastAsia="仿宋" w:cs="仿宋"/>
          <w:b w:val="0"/>
          <w:bCs/>
          <w:i w:val="0"/>
          <w:color w:val="000000"/>
          <w:kern w:val="0"/>
          <w:sz w:val="28"/>
          <w:szCs w:val="28"/>
          <w:u w:val="none"/>
          <w:lang w:val="en-US" w:eastAsia="zh-CN" w:bidi="ar"/>
        </w:rPr>
        <w:t>包含安装调试费、税费、运费、装卸费、质保期等所有费用，为完成本项目所需的所有费用</w:t>
      </w:r>
    </w:p>
    <w:p w14:paraId="3C6127AE">
      <w:pPr>
        <w:numPr>
          <w:ilvl w:val="0"/>
          <w:numId w:val="1"/>
        </w:numPr>
        <w:spacing w:line="500" w:lineRule="exact"/>
        <w:rPr>
          <w:rFonts w:hint="eastAsia" w:ascii="仿宋" w:hAnsi="仿宋" w:eastAsia="仿宋" w:cs="仿宋"/>
          <w:b/>
          <w:bCs/>
          <w:sz w:val="28"/>
          <w:szCs w:val="28"/>
        </w:rPr>
      </w:pPr>
      <w:r>
        <w:rPr>
          <w:rFonts w:hint="eastAsia" w:ascii="仿宋" w:hAnsi="仿宋" w:eastAsia="仿宋" w:cs="仿宋"/>
          <w:b/>
          <w:bCs/>
          <w:sz w:val="28"/>
          <w:szCs w:val="28"/>
        </w:rPr>
        <w:t>设备要求</w:t>
      </w:r>
    </w:p>
    <w:p w14:paraId="235F9478">
      <w:pPr>
        <w:keepNext w:val="0"/>
        <w:keepLines w:val="0"/>
        <w:pageBreakBefore w:val="0"/>
        <w:widowControl/>
        <w:numPr>
          <w:ilvl w:val="0"/>
          <w:numId w:val="2"/>
        </w:numPr>
        <w:kinsoku/>
        <w:wordWrap/>
        <w:overflowPunct/>
        <w:topLinePunct w:val="0"/>
        <w:autoSpaceDE/>
        <w:autoSpaceDN/>
        <w:bidi w:val="0"/>
        <w:adjustRightInd/>
        <w:spacing w:line="360" w:lineRule="auto"/>
        <w:ind w:left="0" w:leftChars="0"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bookmarkStart w:id="0" w:name="OLE_LINK1"/>
      <w:r>
        <w:rPr>
          <w:rFonts w:hint="eastAsia" w:ascii="仿宋" w:hAnsi="仿宋" w:eastAsia="仿宋" w:cs="仿宋"/>
          <w:color w:val="000000" w:themeColor="text1"/>
          <w:sz w:val="28"/>
          <w:szCs w:val="28"/>
          <w14:textFill>
            <w14:solidFill>
              <w14:schemeClr w14:val="tx1"/>
            </w14:solidFill>
          </w14:textFill>
        </w:rPr>
        <w:t xml:space="preserve"> 投标产品型号、技术规格、性能参数、配置等各项技术指标须等于或优于本采购需求；若为品牌替代产品，须提供详实技术对比说明，不得出现负偏离。</w:t>
      </w:r>
    </w:p>
    <w:p w14:paraId="700F33C0">
      <w:pPr>
        <w:keepNext w:val="0"/>
        <w:keepLines w:val="0"/>
        <w:pageBreakBefore w:val="0"/>
        <w:widowControl/>
        <w:numPr>
          <w:ilvl w:val="0"/>
          <w:numId w:val="2"/>
        </w:numPr>
        <w:kinsoku/>
        <w:wordWrap/>
        <w:overflowPunct/>
        <w:topLinePunct w:val="0"/>
        <w:autoSpaceDE/>
        <w:autoSpaceDN/>
        <w:bidi w:val="0"/>
        <w:adjustRightInd/>
        <w:spacing w:line="360" w:lineRule="auto"/>
        <w:ind w:left="0" w:leftChars="0"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所有供货设备均为全新原厂正品，未使用、非翻新、非样机；设备零部件均为原厂配套，不得使用拼装、改装零部件。在正确安装、规范操作、正常保养条件下，设备使用寿命周期内全部性能指标满足国家相关行业标准及本项目使用要求。</w:t>
      </w:r>
    </w:p>
    <w:p w14:paraId="2119D744">
      <w:pPr>
        <w:keepNext w:val="0"/>
        <w:keepLines w:val="0"/>
        <w:pageBreakBefore w:val="0"/>
        <w:widowControl/>
        <w:numPr>
          <w:ilvl w:val="0"/>
          <w:numId w:val="2"/>
        </w:numPr>
        <w:kinsoku/>
        <w:wordWrap/>
        <w:overflowPunct/>
        <w:topLinePunct w:val="0"/>
        <w:autoSpaceDE/>
        <w:autoSpaceDN/>
        <w:bidi w:val="0"/>
        <w:adjustRightInd/>
        <w:spacing w:line="360" w:lineRule="auto"/>
        <w:ind w:left="0" w:leftChars="0"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全部厨房设备材质、安全性能须符合国家食品加工设备相关安全、卫生标准；接触食品部位材质应符合食品接触相关国家标准。</w:t>
      </w:r>
    </w:p>
    <w:p w14:paraId="24BDFF76">
      <w:pPr>
        <w:keepNext w:val="0"/>
        <w:keepLines w:val="0"/>
        <w:pageBreakBefore w:val="0"/>
        <w:widowControl/>
        <w:numPr>
          <w:ilvl w:val="0"/>
          <w:numId w:val="2"/>
        </w:numPr>
        <w:kinsoku/>
        <w:wordWrap/>
        <w:overflowPunct/>
        <w:topLinePunct w:val="0"/>
        <w:autoSpaceDE/>
        <w:autoSpaceDN/>
        <w:bidi w:val="0"/>
        <w:adjustRightInd/>
        <w:spacing w:line="360" w:lineRule="auto"/>
        <w:ind w:left="0" w:leftChars="0"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设备整机须带有清晰的铭牌标识，注明设备名称、型号规格、生产厂家、额定电压功率、出厂编号、生产日期等信息。</w:t>
      </w:r>
    </w:p>
    <w:p w14:paraId="1BF618F1">
      <w:pPr>
        <w:keepNext w:val="0"/>
        <w:keepLines w:val="0"/>
        <w:pageBreakBefore w:val="0"/>
        <w:widowControl/>
        <w:numPr>
          <w:ilvl w:val="0"/>
          <w:numId w:val="2"/>
        </w:numPr>
        <w:kinsoku/>
        <w:wordWrap/>
        <w:overflowPunct/>
        <w:topLinePunct w:val="0"/>
        <w:autoSpaceDE/>
        <w:autoSpaceDN/>
        <w:bidi w:val="0"/>
        <w:adjustRightInd/>
        <w:spacing w:line="360" w:lineRule="auto"/>
        <w:ind w:left="0" w:leftChars="0"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供应商应保证本项目所供产品不侵犯第三方知识产权，如发生知识产权纠纷，全部责任与经济损失由供应商承担。</w:t>
      </w:r>
    </w:p>
    <w:p w14:paraId="04906C00">
      <w:pPr>
        <w:keepNext w:val="0"/>
        <w:keepLines w:val="0"/>
        <w:pageBreakBefore w:val="0"/>
        <w:widowControl/>
        <w:numPr>
          <w:ilvl w:val="0"/>
          <w:numId w:val="2"/>
        </w:numPr>
        <w:kinsoku/>
        <w:wordWrap/>
        <w:overflowPunct/>
        <w:topLinePunct w:val="0"/>
        <w:autoSpaceDE/>
        <w:autoSpaceDN/>
        <w:bidi w:val="0"/>
        <w:adjustRightInd/>
        <w:spacing w:line="360" w:lineRule="auto"/>
        <w:ind w:left="0" w:leftChars="0"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设备需适配医院现场水电条件，配套必要安装辅件、管路、接头等配件，确保设备可以完整投入使用。</w:t>
      </w:r>
    </w:p>
    <w:p w14:paraId="1A83E182">
      <w:pPr>
        <w:keepNext w:val="0"/>
        <w:keepLines w:val="0"/>
        <w:pageBreakBefore w:val="0"/>
        <w:widowControl/>
        <w:numPr>
          <w:ilvl w:val="0"/>
          <w:numId w:val="2"/>
        </w:numPr>
        <w:kinsoku/>
        <w:wordWrap/>
        <w:overflowPunct/>
        <w:topLinePunct w:val="0"/>
        <w:autoSpaceDE/>
        <w:autoSpaceDN/>
        <w:bidi w:val="0"/>
        <w:adjustRightInd/>
        <w:spacing w:line="360" w:lineRule="auto"/>
        <w:ind w:left="0" w:leftChars="0"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凡供货设备、材料与采购文件、中标响应文件及合同约定不符、质量不合格的，采购人有权拒收、要求无条件更换退货，由此产生的运输、拆装、工期延误等全部损失由中标供应商承担。</w:t>
      </w:r>
    </w:p>
    <w:p w14:paraId="65AF6EF9">
      <w:pPr>
        <w:keepNext w:val="0"/>
        <w:keepLines w:val="0"/>
        <w:pageBreakBefore w:val="0"/>
        <w:widowControl/>
        <w:numPr>
          <w:ilvl w:val="0"/>
          <w:numId w:val="2"/>
        </w:numPr>
        <w:kinsoku/>
        <w:wordWrap/>
        <w:overflowPunct/>
        <w:topLinePunct w:val="0"/>
        <w:autoSpaceDE/>
        <w:autoSpaceDN/>
        <w:bidi w:val="0"/>
        <w:adjustRightInd/>
        <w:spacing w:line="360" w:lineRule="auto"/>
        <w:ind w:left="0" w:leftChars="0" w:firstLine="560" w:firstLineChars="200"/>
        <w:textAlignment w:val="auto"/>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设备交付同时须移交设备使用说明书、维护保养手册等全套技术资料。</w:t>
      </w:r>
    </w:p>
    <w:bookmarkEnd w:id="0"/>
    <w:p w14:paraId="00AA4078">
      <w:pPr>
        <w:spacing w:line="500" w:lineRule="exact"/>
        <w:rPr>
          <w:rFonts w:ascii="仿宋" w:hAnsi="仿宋" w:eastAsia="仿宋" w:cs="仿宋"/>
          <w:sz w:val="28"/>
          <w:szCs w:val="28"/>
        </w:rPr>
      </w:pPr>
      <w:r>
        <w:rPr>
          <w:rFonts w:hint="eastAsia" w:ascii="仿宋" w:hAnsi="仿宋" w:eastAsia="仿宋" w:cs="仿宋"/>
          <w:b/>
          <w:bCs/>
          <w:sz w:val="28"/>
          <w:szCs w:val="28"/>
          <w:lang w:val="en-US" w:eastAsia="zh-CN"/>
        </w:rPr>
        <w:t>六</w:t>
      </w:r>
      <w:r>
        <w:rPr>
          <w:rFonts w:hint="eastAsia" w:ascii="仿宋" w:hAnsi="仿宋" w:eastAsia="仿宋" w:cs="仿宋"/>
          <w:b/>
          <w:bCs/>
          <w:sz w:val="28"/>
          <w:szCs w:val="28"/>
        </w:rPr>
        <w:t>、招标要求</w:t>
      </w:r>
    </w:p>
    <w:p w14:paraId="790E2463">
      <w:pPr>
        <w:numPr>
          <w:ilvl w:val="0"/>
          <w:numId w:val="3"/>
        </w:numPr>
        <w:spacing w:line="500" w:lineRule="exac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中标供应商负责本项目全部设备的供货、运输、装卸、搬运就位、安装、调试，直至设备达到正常使用状态。</w:t>
      </w:r>
    </w:p>
    <w:p w14:paraId="7889C61E">
      <w:pPr>
        <w:numPr>
          <w:ilvl w:val="0"/>
          <w:numId w:val="3"/>
        </w:numPr>
        <w:spacing w:line="500" w:lineRule="exac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本项目全部设备整体质量保证期不少</w:t>
      </w:r>
      <w:bookmarkStart w:id="1" w:name="_GoBack"/>
      <w:bookmarkEnd w:id="1"/>
      <w:r>
        <w:rPr>
          <w:rFonts w:hint="eastAsia" w:ascii="仿宋" w:hAnsi="仿宋" w:eastAsia="仿宋" w:cs="仿宋"/>
          <w:color w:val="000000"/>
          <w:kern w:val="0"/>
          <w:sz w:val="28"/>
          <w:szCs w:val="28"/>
          <w:lang w:bidi="ar"/>
        </w:rPr>
        <w:t>于 1 年，质保期自项目整体验收合格之日起计算；质保期内非人为损坏故障，供应商提供免费维修、免费更换零部件服务，免收上门费、配件费。</w:t>
      </w:r>
    </w:p>
    <w:p w14:paraId="12FDE40C">
      <w:pPr>
        <w:numPr>
          <w:ilvl w:val="0"/>
          <w:numId w:val="3"/>
        </w:numPr>
        <w:spacing w:line="500" w:lineRule="exac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主要设备运抵项目现场后，须经采购人对外观、包装、合格证、资料进行到场核验，核验合格后方可开展安装作业；到场核验不合格，采购人有权拒绝接收该批货物。</w:t>
      </w:r>
    </w:p>
    <w:p w14:paraId="0E2865F3">
      <w:pPr>
        <w:numPr>
          <w:ilvl w:val="0"/>
          <w:numId w:val="3"/>
        </w:numPr>
        <w:spacing w:line="500" w:lineRule="exac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中标供应商负责将全部设备运输、装卸、搬运至采购人指定的院内安装点位，包含楼内转运、上楼等工作，相关费用全部包含在总报价内。</w:t>
      </w:r>
    </w:p>
    <w:p w14:paraId="2F276EA7">
      <w:pPr>
        <w:numPr>
          <w:ilvl w:val="0"/>
          <w:numId w:val="3"/>
        </w:numPr>
        <w:spacing w:line="500" w:lineRule="exac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现场安装施工严格执行安全文明施工管理规定，落实安全生产防护措施；施工时间须服从医院安排，避开就诊、就餐高峰，严禁影响医院诊疗、办公及食堂正常业务运行；施工期间发生人身、财产安全事故，全部责任由中标供应商承担。</w:t>
      </w:r>
    </w:p>
    <w:p w14:paraId="75CDD7C1">
      <w:pPr>
        <w:numPr>
          <w:ilvl w:val="0"/>
          <w:numId w:val="3"/>
        </w:numPr>
        <w:spacing w:line="500" w:lineRule="exac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随设备须提供主要设备产品合格证、第三方质量检验报告等完整质量证明文件，所有资料加盖生产厂家或供应商公章。</w:t>
      </w:r>
    </w:p>
    <w:p w14:paraId="00DF541C">
      <w:pPr>
        <w:numPr>
          <w:ilvl w:val="0"/>
          <w:numId w:val="3"/>
        </w:numPr>
        <w:spacing w:line="500" w:lineRule="exac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安装完成后，中标供应商须对医院操作使用人员开展现场操作培训、日常维护保养培训，讲解设备操作流程、安全注意事项、简单故障排查。</w:t>
      </w:r>
    </w:p>
    <w:p w14:paraId="52F00CF9">
      <w:pPr>
        <w:numPr>
          <w:ilvl w:val="0"/>
          <w:numId w:val="3"/>
        </w:numPr>
        <w:spacing w:line="500" w:lineRule="exac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施工过程中做好现场成品保护，不得损坏医院原有墙体、水电管线、地面设施；施工产生包装废料、垃圾由中标供应商负责全部清运离场。</w:t>
      </w:r>
    </w:p>
    <w:p w14:paraId="34B9283A">
      <w:pPr>
        <w:numPr>
          <w:ilvl w:val="0"/>
          <w:numId w:val="3"/>
        </w:numPr>
        <w:spacing w:line="500" w:lineRule="exact"/>
        <w:rPr>
          <w:rFonts w:hint="eastAsia"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设备安装调试完成后，按采购需求、投标响应文件、国家相关标准开展整体验收；验收不合格，中标供应商须限期完成整改直至验收通过，由此造成工期延误由乙方承担。</w:t>
      </w:r>
    </w:p>
    <w:p w14:paraId="77F47266">
      <w:pPr>
        <w:numPr>
          <w:ilvl w:val="0"/>
          <w:numId w:val="3"/>
        </w:numPr>
        <w:spacing w:line="500" w:lineRule="exac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质保服务响应：设备发生故障，供应商应提供技术咨询；接到报修后须在约定时限内到场处置，保障食堂设备正常运转。</w:t>
      </w:r>
    </w:p>
    <w:p w14:paraId="21985261">
      <w:pPr>
        <w:spacing w:line="500" w:lineRule="exact"/>
        <w:rPr>
          <w:rFonts w:ascii="仿宋" w:hAnsi="仿宋" w:eastAsia="仿宋" w:cs="仿宋"/>
          <w:sz w:val="28"/>
          <w:szCs w:val="28"/>
        </w:rPr>
      </w:pPr>
      <w:r>
        <w:rPr>
          <w:rFonts w:hint="eastAsia" w:ascii="仿宋" w:hAnsi="仿宋" w:eastAsia="仿宋" w:cs="仿宋"/>
          <w:b/>
          <w:bCs/>
          <w:sz w:val="28"/>
          <w:szCs w:val="28"/>
          <w:lang w:val="en-US" w:eastAsia="zh-CN"/>
        </w:rPr>
        <w:t>七</w:t>
      </w:r>
      <w:r>
        <w:rPr>
          <w:rFonts w:hint="eastAsia" w:ascii="仿宋" w:hAnsi="仿宋" w:eastAsia="仿宋" w:cs="仿宋"/>
          <w:b/>
          <w:bCs/>
          <w:sz w:val="28"/>
          <w:szCs w:val="28"/>
        </w:rPr>
        <w:t>、合同工期及报价方式</w:t>
      </w:r>
    </w:p>
    <w:p w14:paraId="43DC46DF">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1.签订合同后，</w:t>
      </w:r>
      <w:r>
        <w:rPr>
          <w:rFonts w:hint="eastAsia" w:ascii="仿宋" w:hAnsi="仿宋" w:eastAsia="仿宋" w:cs="仿宋"/>
          <w:sz w:val="28"/>
          <w:szCs w:val="28"/>
          <w:lang w:val="en-US" w:eastAsia="zh-CN"/>
        </w:rPr>
        <w:t>7</w:t>
      </w:r>
      <w:r>
        <w:rPr>
          <w:rFonts w:hint="eastAsia" w:ascii="仿宋" w:hAnsi="仿宋" w:eastAsia="仿宋" w:cs="仿宋"/>
          <w:sz w:val="28"/>
          <w:szCs w:val="28"/>
        </w:rPr>
        <w:t>天内完成货物采购及安装；</w:t>
      </w:r>
    </w:p>
    <w:p w14:paraId="2D0362DC">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2.报价为总价包干报价形式。 </w:t>
      </w:r>
    </w:p>
    <w:p w14:paraId="5C08EB1A">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3.项目双方签订合同，设备安装调试完毕并验收合格（以出具验收报告为准）交付甲方使用，乙方开具全额发票，甲方收到发票后按甲方财务流程向乙方支付合同总价百分之</w:t>
      </w:r>
      <w:r>
        <w:rPr>
          <w:rFonts w:hint="eastAsia" w:ascii="仿宋" w:hAnsi="仿宋" w:eastAsia="仿宋" w:cs="仿宋"/>
          <w:sz w:val="28"/>
          <w:szCs w:val="28"/>
          <w:lang w:val="en-US" w:eastAsia="zh-CN"/>
        </w:rPr>
        <w:t>百</w:t>
      </w:r>
      <w:r>
        <w:rPr>
          <w:rFonts w:hint="eastAsia" w:ascii="仿宋" w:hAnsi="仿宋" w:eastAsia="仿宋" w:cs="仿宋"/>
          <w:sz w:val="28"/>
          <w:szCs w:val="28"/>
        </w:rPr>
        <w:t>（</w:t>
      </w:r>
      <w:r>
        <w:rPr>
          <w:rFonts w:hint="eastAsia" w:ascii="仿宋" w:hAnsi="仿宋" w:eastAsia="仿宋" w:cs="仿宋"/>
          <w:sz w:val="28"/>
          <w:szCs w:val="28"/>
          <w:lang w:val="en-US" w:eastAsia="zh-CN"/>
        </w:rPr>
        <w:t>100</w:t>
      </w:r>
      <w:r>
        <w:rPr>
          <w:rFonts w:hint="eastAsia" w:ascii="仿宋" w:hAnsi="仿宋" w:eastAsia="仿宋" w:cs="仿宋"/>
          <w:sz w:val="28"/>
          <w:szCs w:val="28"/>
        </w:rPr>
        <w:t>%）的款项。</w:t>
      </w:r>
    </w:p>
    <w:p w14:paraId="37FE21E2">
      <w:pPr>
        <w:spacing w:line="500" w:lineRule="exact"/>
        <w:ind w:firstLine="560" w:firstLineChars="200"/>
        <w:rPr>
          <w:rFonts w:ascii="仿宋" w:hAnsi="仿宋" w:eastAsia="仿宋" w:cs="仿宋"/>
          <w:sz w:val="28"/>
          <w:szCs w:val="28"/>
        </w:rPr>
      </w:pPr>
    </w:p>
    <w:p w14:paraId="38786453">
      <w:pPr>
        <w:spacing w:line="500" w:lineRule="exact"/>
        <w:rPr>
          <w:rFonts w:ascii="仿宋" w:hAnsi="仿宋" w:eastAsia="仿宋" w:cs="仿宋"/>
          <w:sz w:val="28"/>
          <w:szCs w:val="28"/>
        </w:rPr>
      </w:pPr>
      <w:r>
        <w:rPr>
          <w:rFonts w:hint="eastAsia" w:ascii="仿宋" w:hAnsi="仿宋" w:eastAsia="仿宋" w:cs="仿宋"/>
          <w:sz w:val="28"/>
          <w:szCs w:val="28"/>
        </w:rPr>
        <w:t xml:space="preserve">  </w:t>
      </w:r>
    </w:p>
    <w:p w14:paraId="3AEEBD7F">
      <w:pPr>
        <w:pStyle w:val="5"/>
        <w:spacing w:line="500" w:lineRule="exact"/>
        <w:rPr>
          <w:rFonts w:ascii="仿宋" w:hAnsi="仿宋" w:eastAsia="仿宋" w:cs="仿宋"/>
          <w:sz w:val="28"/>
          <w:szCs w:val="28"/>
        </w:rPr>
      </w:pPr>
    </w:p>
    <w:sectPr>
      <w:pgSz w:w="11906" w:h="16838"/>
      <w:pgMar w:top="1417" w:right="1417" w:bottom="1417"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4C6A91"/>
    <w:multiLevelType w:val="singleLevel"/>
    <w:tmpl w:val="EB4C6A91"/>
    <w:lvl w:ilvl="0" w:tentative="0">
      <w:start w:val="5"/>
      <w:numFmt w:val="chineseCounting"/>
      <w:suff w:val="nothing"/>
      <w:lvlText w:val="%1、"/>
      <w:lvlJc w:val="left"/>
      <w:rPr>
        <w:rFonts w:hint="eastAsia"/>
      </w:rPr>
    </w:lvl>
  </w:abstractNum>
  <w:abstractNum w:abstractNumId="1">
    <w:nsid w:val="3A969E34"/>
    <w:multiLevelType w:val="singleLevel"/>
    <w:tmpl w:val="3A969E34"/>
    <w:lvl w:ilvl="0" w:tentative="0">
      <w:start w:val="1"/>
      <w:numFmt w:val="decimal"/>
      <w:suff w:val="nothing"/>
      <w:lvlText w:val="%1．"/>
      <w:lvlJc w:val="left"/>
      <w:pPr>
        <w:ind w:left="0" w:firstLine="400"/>
      </w:pPr>
      <w:rPr>
        <w:rFonts w:hint="default"/>
      </w:rPr>
    </w:lvl>
  </w:abstractNum>
  <w:abstractNum w:abstractNumId="2">
    <w:nsid w:val="4CA93AF5"/>
    <w:multiLevelType w:val="singleLevel"/>
    <w:tmpl w:val="4CA93AF5"/>
    <w:lvl w:ilvl="0" w:tentative="0">
      <w:start w:val="1"/>
      <w:numFmt w:val="decimal"/>
      <w:suff w:val="nothing"/>
      <w:lvlText w:val="%1．"/>
      <w:lvlJc w:val="left"/>
      <w:pPr>
        <w:ind w:left="0" w:firstLine="4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4MTM0ODYwZTQwMzg1YTFlYTgwYTFiMDUxZDQ0NjcifQ=="/>
  </w:docVars>
  <w:rsids>
    <w:rsidRoot w:val="53C91D89"/>
    <w:rsid w:val="00294195"/>
    <w:rsid w:val="004E3DD1"/>
    <w:rsid w:val="009300F8"/>
    <w:rsid w:val="00B4760B"/>
    <w:rsid w:val="010951A7"/>
    <w:rsid w:val="029006F1"/>
    <w:rsid w:val="030A15F1"/>
    <w:rsid w:val="03435C52"/>
    <w:rsid w:val="041744FB"/>
    <w:rsid w:val="042621F8"/>
    <w:rsid w:val="047E1FB9"/>
    <w:rsid w:val="05B0028B"/>
    <w:rsid w:val="05C74289"/>
    <w:rsid w:val="06D663A6"/>
    <w:rsid w:val="07664AA9"/>
    <w:rsid w:val="0AD409A0"/>
    <w:rsid w:val="0C29450A"/>
    <w:rsid w:val="0CF90920"/>
    <w:rsid w:val="0D052F8B"/>
    <w:rsid w:val="0D7E3292"/>
    <w:rsid w:val="0DEC388F"/>
    <w:rsid w:val="0DFB3956"/>
    <w:rsid w:val="0E1F0604"/>
    <w:rsid w:val="11424D1C"/>
    <w:rsid w:val="11634099"/>
    <w:rsid w:val="1202325C"/>
    <w:rsid w:val="128571E5"/>
    <w:rsid w:val="139F4F81"/>
    <w:rsid w:val="13E7274D"/>
    <w:rsid w:val="149F3026"/>
    <w:rsid w:val="14F70FF5"/>
    <w:rsid w:val="158A71B2"/>
    <w:rsid w:val="1623579A"/>
    <w:rsid w:val="171C1FFC"/>
    <w:rsid w:val="17AA5816"/>
    <w:rsid w:val="17CB6A54"/>
    <w:rsid w:val="17F07302"/>
    <w:rsid w:val="19AB7B33"/>
    <w:rsid w:val="1C52663A"/>
    <w:rsid w:val="1DC51825"/>
    <w:rsid w:val="1E1D2544"/>
    <w:rsid w:val="1F7B2D1C"/>
    <w:rsid w:val="1FBD62B1"/>
    <w:rsid w:val="20B16B03"/>
    <w:rsid w:val="219B01F8"/>
    <w:rsid w:val="21A07DC1"/>
    <w:rsid w:val="22E362D2"/>
    <w:rsid w:val="24BB5C18"/>
    <w:rsid w:val="25333665"/>
    <w:rsid w:val="26963B9B"/>
    <w:rsid w:val="26D52249"/>
    <w:rsid w:val="28865645"/>
    <w:rsid w:val="29EB6A59"/>
    <w:rsid w:val="2A962AEA"/>
    <w:rsid w:val="2BC77052"/>
    <w:rsid w:val="2BD52A2A"/>
    <w:rsid w:val="2C022C0C"/>
    <w:rsid w:val="2C5D75B5"/>
    <w:rsid w:val="2CB404AC"/>
    <w:rsid w:val="2CDF3794"/>
    <w:rsid w:val="2E852EAB"/>
    <w:rsid w:val="2FC63D74"/>
    <w:rsid w:val="30D0413E"/>
    <w:rsid w:val="31040C94"/>
    <w:rsid w:val="312B0FAC"/>
    <w:rsid w:val="31F22A68"/>
    <w:rsid w:val="32EE083A"/>
    <w:rsid w:val="34272BB6"/>
    <w:rsid w:val="34D91454"/>
    <w:rsid w:val="35AC53AF"/>
    <w:rsid w:val="382A29C0"/>
    <w:rsid w:val="39B90520"/>
    <w:rsid w:val="3A1D70AA"/>
    <w:rsid w:val="3A875A71"/>
    <w:rsid w:val="3B866CAE"/>
    <w:rsid w:val="3E2C4BB7"/>
    <w:rsid w:val="3F2B5630"/>
    <w:rsid w:val="3F640D97"/>
    <w:rsid w:val="3F664045"/>
    <w:rsid w:val="40012417"/>
    <w:rsid w:val="40D46D12"/>
    <w:rsid w:val="4172433C"/>
    <w:rsid w:val="417D3E89"/>
    <w:rsid w:val="419A0FA7"/>
    <w:rsid w:val="41B74C86"/>
    <w:rsid w:val="421C47E7"/>
    <w:rsid w:val="42872172"/>
    <w:rsid w:val="42B208A8"/>
    <w:rsid w:val="446B68C4"/>
    <w:rsid w:val="45960004"/>
    <w:rsid w:val="47A37881"/>
    <w:rsid w:val="47F24951"/>
    <w:rsid w:val="481370C4"/>
    <w:rsid w:val="485C4F2C"/>
    <w:rsid w:val="489B4B75"/>
    <w:rsid w:val="49634BF7"/>
    <w:rsid w:val="4B95142D"/>
    <w:rsid w:val="4D1B00DF"/>
    <w:rsid w:val="4FF57096"/>
    <w:rsid w:val="50E85F0B"/>
    <w:rsid w:val="52F3051F"/>
    <w:rsid w:val="53C91D89"/>
    <w:rsid w:val="546C53B3"/>
    <w:rsid w:val="55617B80"/>
    <w:rsid w:val="561D501A"/>
    <w:rsid w:val="56515FE9"/>
    <w:rsid w:val="568D4870"/>
    <w:rsid w:val="58555F89"/>
    <w:rsid w:val="5A447D2A"/>
    <w:rsid w:val="5A7A7DD3"/>
    <w:rsid w:val="5CB3223D"/>
    <w:rsid w:val="5CEF488A"/>
    <w:rsid w:val="5DF64A8D"/>
    <w:rsid w:val="5E40418F"/>
    <w:rsid w:val="5F1324D4"/>
    <w:rsid w:val="5F442227"/>
    <w:rsid w:val="5FD111D8"/>
    <w:rsid w:val="623A7395"/>
    <w:rsid w:val="627438C2"/>
    <w:rsid w:val="63814B5D"/>
    <w:rsid w:val="64C96A6A"/>
    <w:rsid w:val="680C7FB1"/>
    <w:rsid w:val="6A9B7D71"/>
    <w:rsid w:val="6AE954B5"/>
    <w:rsid w:val="6BA044C1"/>
    <w:rsid w:val="6C775AF2"/>
    <w:rsid w:val="6D240EB0"/>
    <w:rsid w:val="6E5E469C"/>
    <w:rsid w:val="6F0453DE"/>
    <w:rsid w:val="6F250725"/>
    <w:rsid w:val="6F395FEB"/>
    <w:rsid w:val="71212378"/>
    <w:rsid w:val="717766ED"/>
    <w:rsid w:val="72625B8C"/>
    <w:rsid w:val="72F50D26"/>
    <w:rsid w:val="73BB4BC8"/>
    <w:rsid w:val="74607426"/>
    <w:rsid w:val="74C13C0D"/>
    <w:rsid w:val="76C91732"/>
    <w:rsid w:val="77DD02F3"/>
    <w:rsid w:val="79562EED"/>
    <w:rsid w:val="7AC124B5"/>
    <w:rsid w:val="7AF9322A"/>
    <w:rsid w:val="7B161079"/>
    <w:rsid w:val="7B6660C0"/>
    <w:rsid w:val="7CAF0D43"/>
    <w:rsid w:val="7CC12FE9"/>
    <w:rsid w:val="7D0A0C4E"/>
    <w:rsid w:val="7D7D12A0"/>
    <w:rsid w:val="7DBC3A33"/>
    <w:rsid w:val="7DFD69D9"/>
    <w:rsid w:val="7FE660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Courier New" w:eastAsiaTheme="minorEastAsia" w:cstheme="minorBidi"/>
      <w:kern w:val="2"/>
      <w:sz w:val="21"/>
      <w:szCs w:val="22"/>
      <w:lang w:val="en-US" w:eastAsia="zh-CN" w:bidi="ar-SA"/>
    </w:rPr>
  </w:style>
  <w:style w:type="paragraph" w:styleId="2">
    <w:name w:val="heading 2"/>
    <w:basedOn w:val="1"/>
    <w:next w:val="1"/>
    <w:qFormat/>
    <w:uiPriority w:val="0"/>
    <w:pPr>
      <w:keepNext/>
      <w:keepLines/>
      <w:spacing w:before="500" w:after="500" w:line="416" w:lineRule="auto"/>
      <w:outlineLvl w:val="1"/>
    </w:pPr>
    <w:rPr>
      <w:rFonts w:ascii="Arial" w:hAnsi="Arial" w:eastAsia="宋体" w:cs="Times New Roman"/>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index 8"/>
    <w:basedOn w:val="1"/>
    <w:next w:val="1"/>
    <w:qFormat/>
    <w:uiPriority w:val="0"/>
    <w:pPr>
      <w:jc w:val="left"/>
    </w:pPr>
    <w:rPr>
      <w:rFonts w:ascii="Times New Roman" w:hAnsi="Times New Roman"/>
    </w:rPr>
  </w:style>
  <w:style w:type="paragraph" w:styleId="4">
    <w:name w:val="annotation text"/>
    <w:basedOn w:val="1"/>
    <w:unhideWhenUsed/>
    <w:qFormat/>
    <w:uiPriority w:val="0"/>
    <w:pPr>
      <w:jc w:val="left"/>
    </w:pPr>
  </w:style>
  <w:style w:type="paragraph" w:styleId="5">
    <w:name w:val="Body Text"/>
    <w:basedOn w:val="1"/>
    <w:next w:val="1"/>
    <w:qFormat/>
    <w:uiPriority w:val="0"/>
    <w:pPr>
      <w:spacing w:line="380" w:lineRule="exact"/>
    </w:pPr>
    <w:rPr>
      <w:rFonts w:ascii="Times New Roman" w:hAnsi="Times New Roman" w:eastAsia="宋体" w:cs="Times New Roman"/>
      <w:sz w:val="24"/>
      <w:szCs w:val="2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paragraph" w:customStyle="1" w:styleId="12">
    <w:name w:val="Char Char Char Char Char Char1 Char"/>
    <w:basedOn w:val="1"/>
    <w:qFormat/>
    <w:uiPriority w:val="0"/>
    <w:rPr>
      <w:sz w:val="24"/>
      <w:szCs w:val="24"/>
    </w:rPr>
  </w:style>
  <w:style w:type="character" w:customStyle="1" w:styleId="13">
    <w:name w:val="font21"/>
    <w:basedOn w:val="10"/>
    <w:qFormat/>
    <w:uiPriority w:val="0"/>
    <w:rPr>
      <w:rFonts w:hint="eastAsia" w:ascii="宋体" w:hAnsi="宋体" w:eastAsia="宋体" w:cs="宋体"/>
      <w:color w:val="000000"/>
      <w:sz w:val="24"/>
      <w:szCs w:val="24"/>
      <w:u w:val="none"/>
    </w:rPr>
  </w:style>
  <w:style w:type="character" w:customStyle="1" w:styleId="14">
    <w:name w:val="font31"/>
    <w:basedOn w:val="10"/>
    <w:qFormat/>
    <w:uiPriority w:val="0"/>
    <w:rPr>
      <w:rFonts w:hint="default" w:ascii="Times New Roman" w:hAnsi="Times New Roman" w:cs="Times New Roman"/>
      <w:color w:val="000000"/>
      <w:sz w:val="22"/>
      <w:szCs w:val="22"/>
      <w:u w:val="none"/>
    </w:rPr>
  </w:style>
  <w:style w:type="character" w:customStyle="1" w:styleId="15">
    <w:name w:val="font41"/>
    <w:basedOn w:val="10"/>
    <w:qFormat/>
    <w:uiPriority w:val="0"/>
    <w:rPr>
      <w:rFonts w:hint="eastAsia" w:ascii="宋体" w:hAnsi="宋体" w:eastAsia="宋体" w:cs="宋体"/>
      <w:color w:val="000000"/>
      <w:sz w:val="22"/>
      <w:szCs w:val="22"/>
      <w:u w:val="none"/>
    </w:rPr>
  </w:style>
  <w:style w:type="paragraph" w:customStyle="1" w:styleId="16">
    <w:name w:val="正文2"/>
    <w:basedOn w:val="1"/>
    <w:qFormat/>
    <w:uiPriority w:val="0"/>
    <w:pPr>
      <w:spacing w:before="156" w:line="360" w:lineRule="auto"/>
      <w:ind w:firstLine="510" w:firstLineChars="200"/>
    </w:pPr>
    <w:rPr>
      <w:sz w:val="24"/>
    </w:rPr>
  </w:style>
  <w:style w:type="character" w:customStyle="1" w:styleId="17">
    <w:name w:val="font11"/>
    <w:basedOn w:val="10"/>
    <w:qFormat/>
    <w:uiPriority w:val="0"/>
    <w:rPr>
      <w:rFonts w:hint="eastAsia" w:ascii="宋体" w:hAnsi="宋体" w:eastAsia="宋体" w:cs="宋体"/>
      <w:color w:val="000000"/>
      <w:sz w:val="22"/>
      <w:szCs w:val="22"/>
      <w:u w:val="none"/>
    </w:rPr>
  </w:style>
  <w:style w:type="paragraph" w:styleId="18">
    <w:name w:val="List Paragraph"/>
    <w:basedOn w:val="1"/>
    <w:qFormat/>
    <w:uiPriority w:val="34"/>
    <w:pPr>
      <w:ind w:firstLine="420" w:firstLineChars="200"/>
    </w:pPr>
    <w:rPr>
      <w:rFonts w:asciiTheme="minorHAnsi" w:hAnsiTheme="minorHAns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2513</Words>
  <Characters>2767</Characters>
  <Lines>13</Lines>
  <Paragraphs>3</Paragraphs>
  <TotalTime>22</TotalTime>
  <ScaleCrop>false</ScaleCrop>
  <LinksUpToDate>false</LinksUpToDate>
  <CharactersWithSpaces>2949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2016-03-02T06:46:00Z</dcterms:created>
  <dc:creator>Administrator</dc:creator>
  <cp:lastModifiedBy>加深</cp:lastModifiedBy>
  <cp:lastPrinted>2022-09-05T11:25:00Z</cp:lastPrinted>
  <dcterms:modified xsi:type="dcterms:W3CDTF">2026-09-29T08:20:25Z</dcterms:modified>
  <dc:title>关于西院门诊住院综合楼大堂采光井电动百叶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E938E5DAB92C4A90A7B7ACE6D2C77B8F_13</vt:lpwstr>
  </property>
  <property fmtid="{D5CDD505-2E9C-101B-9397-08002B2CF9AE}" pid="4" name="KSOTemplateDocerSaveRecord">
    <vt:lpwstr>eyJoZGlkIjoiNmFkNzM0MjEyYTJlMGViYTU0N2EyNjMzYjM3OTNmZjIiLCJ1c2VySWQiOiIzNTY0MzY5ODAifQ==</vt:lpwstr>
  </property>
</Properties>
</file>