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34D413">
      <w:pPr>
        <w:pStyle w:val="4"/>
        <w:bidi w:val="0"/>
        <w:jc w:val="center"/>
        <w:rPr>
          <w:rFonts w:hint="eastAsia"/>
          <w:lang w:eastAsia="zh-CN"/>
        </w:rPr>
      </w:pPr>
      <w:bookmarkStart w:id="0" w:name="_Toc344816509"/>
      <w:r>
        <w:rPr>
          <w:rFonts w:hint="eastAsia"/>
        </w:rPr>
        <w:t>柳州市</w:t>
      </w:r>
      <w:r>
        <w:t>工人医院</w:t>
      </w:r>
      <w:r>
        <w:rPr>
          <w:rFonts w:hint="eastAsia"/>
          <w:lang w:val="en-US" w:eastAsia="zh-CN"/>
        </w:rPr>
        <w:t>LIS 系统、血库管理系统、生物标本库管理系统升级项目的</w:t>
      </w:r>
      <w:r>
        <w:rPr>
          <w:rFonts w:hint="eastAsia"/>
        </w:rPr>
        <w:t>技术参数</w:t>
      </w:r>
    </w:p>
    <w:p w14:paraId="547BC8F7">
      <w:pPr>
        <w:keepNext/>
        <w:keepLines/>
        <w:pageBreakBefore w:val="0"/>
        <w:widowControl w:val="0"/>
        <w:kinsoku/>
        <w:wordWrap/>
        <w:overflowPunct/>
        <w:topLinePunct w:val="0"/>
        <w:autoSpaceDE/>
        <w:autoSpaceDN/>
        <w:bidi w:val="0"/>
        <w:adjustRightInd/>
        <w:snapToGrid/>
        <w:spacing w:line="312" w:lineRule="auto"/>
        <w:ind w:left="420" w:leftChars="200"/>
        <w:jc w:val="left"/>
        <w:textAlignment w:val="auto"/>
        <w:rPr>
          <w:rFonts w:ascii="宋体" w:hAnsi="宋体" w:eastAsia="宋体" w:cs="微软雅黑"/>
          <w:b/>
          <w:bCs/>
          <w:kern w:val="44"/>
          <w:sz w:val="24"/>
          <w:szCs w:val="24"/>
        </w:rPr>
      </w:pPr>
    </w:p>
    <w:bookmarkEnd w:id="0"/>
    <w:p w14:paraId="5C95BDFF">
      <w:pPr>
        <w:pStyle w:val="11"/>
        <w:pageBreakBefore w:val="0"/>
        <w:widowControl w:val="0"/>
        <w:numPr>
          <w:ilvl w:val="0"/>
          <w:numId w:val="2"/>
        </w:numPr>
        <w:kinsoku/>
        <w:wordWrap/>
        <w:overflowPunct/>
        <w:topLinePunct w:val="0"/>
        <w:autoSpaceDE/>
        <w:autoSpaceDN/>
        <w:bidi w:val="0"/>
        <w:adjustRightInd/>
        <w:snapToGrid/>
        <w:spacing w:line="312" w:lineRule="auto"/>
        <w:ind w:firstLineChars="0"/>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b/>
          <w:sz w:val="28"/>
          <w:szCs w:val="28"/>
        </w:rPr>
        <w:t>项目背景</w:t>
      </w:r>
    </w:p>
    <w:p w14:paraId="69C23777">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kern w:val="2"/>
          <w:sz w:val="24"/>
          <w:szCs w:val="24"/>
          <w:lang w:val="en-US" w:eastAsia="zh-CN" w:bidi="ar-SA"/>
        </w:rPr>
        <w:t>目前我院使用的LIS 系统、血库管理系统、生物标本库管理系统</w:t>
      </w:r>
      <w:bookmarkStart w:id="4" w:name="_GoBack"/>
      <w:bookmarkEnd w:id="4"/>
      <w:r>
        <w:rPr>
          <w:rFonts w:hint="eastAsia" w:ascii="仿宋_GB2312" w:hAnsi="仿宋_GB2312" w:eastAsia="仿宋_GB2312" w:cs="仿宋_GB2312"/>
          <w:kern w:val="2"/>
          <w:sz w:val="24"/>
          <w:szCs w:val="24"/>
          <w:lang w:val="en-US" w:eastAsia="zh-CN" w:bidi="ar-SA"/>
        </w:rPr>
        <w:t>采用的是C/S架构，系统的扩展性不足，难以适应业务量增长和区域协同的需求。通过架构的升级可以满足流程变更及个性化改造，支持多院区分层管理，可以实现检验申请、电子标签生成、标本采集、标本流转、预计报告时间等的精准管理及床旁检验管理。</w:t>
      </w:r>
    </w:p>
    <w:p w14:paraId="7177E388">
      <w:pPr>
        <w:pStyle w:val="11"/>
        <w:pageBreakBefore w:val="0"/>
        <w:widowControl w:val="0"/>
        <w:kinsoku/>
        <w:wordWrap/>
        <w:overflowPunct/>
        <w:topLinePunct w:val="0"/>
        <w:autoSpaceDE/>
        <w:autoSpaceDN/>
        <w:bidi w:val="0"/>
        <w:adjustRightInd/>
        <w:snapToGrid/>
        <w:spacing w:line="312" w:lineRule="auto"/>
        <w:ind w:firstLine="0" w:firstLineChars="0"/>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sz w:val="28"/>
          <w:szCs w:val="28"/>
        </w:rPr>
        <w:t>二、项目建设内容及要求</w:t>
      </w:r>
    </w:p>
    <w:tbl>
      <w:tblPr>
        <w:tblStyle w:val="9"/>
        <w:tblW w:w="95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4"/>
        <w:gridCol w:w="1585"/>
        <w:gridCol w:w="1585"/>
        <w:gridCol w:w="5765"/>
      </w:tblGrid>
      <w:tr w14:paraId="5B47B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4" w:type="dxa"/>
          </w:tcPr>
          <w:p w14:paraId="4F232505">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rPr>
            </w:pPr>
            <w:r>
              <w:rPr>
                <w:rFonts w:hint="eastAsia" w:ascii="仿宋_GB2312" w:hAnsi="仿宋_GB2312" w:eastAsia="仿宋_GB2312" w:cs="仿宋_GB2312"/>
              </w:rPr>
              <w:t>序号</w:t>
            </w:r>
          </w:p>
        </w:tc>
        <w:tc>
          <w:tcPr>
            <w:tcW w:w="1585" w:type="dxa"/>
          </w:tcPr>
          <w:p w14:paraId="74773958">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名称</w:t>
            </w:r>
          </w:p>
        </w:tc>
        <w:tc>
          <w:tcPr>
            <w:tcW w:w="1585" w:type="dxa"/>
          </w:tcPr>
          <w:p w14:paraId="57A394D7">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rPr>
            </w:pPr>
            <w:r>
              <w:rPr>
                <w:rFonts w:hint="eastAsia" w:ascii="仿宋_GB2312" w:hAnsi="仿宋_GB2312" w:eastAsia="仿宋_GB2312" w:cs="仿宋_GB2312"/>
              </w:rPr>
              <w:t>模块</w:t>
            </w:r>
          </w:p>
        </w:tc>
        <w:tc>
          <w:tcPr>
            <w:tcW w:w="5765" w:type="dxa"/>
          </w:tcPr>
          <w:p w14:paraId="3937E344">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eastAsia="zh-CN"/>
              </w:rPr>
            </w:pPr>
            <w:r>
              <w:rPr>
                <w:rFonts w:hint="eastAsia" w:ascii="仿宋_GB2312" w:hAnsi="仿宋_GB2312" w:eastAsia="仿宋_GB2312" w:cs="仿宋_GB2312"/>
                <w:lang w:val="en-US" w:eastAsia="zh-CN"/>
              </w:rPr>
              <w:t>功能</w:t>
            </w:r>
            <w:r>
              <w:rPr>
                <w:rFonts w:hint="eastAsia" w:ascii="仿宋_GB2312" w:hAnsi="仿宋_GB2312" w:eastAsia="仿宋_GB2312" w:cs="仿宋_GB2312"/>
              </w:rPr>
              <w:t>内涵描述</w:t>
            </w:r>
          </w:p>
        </w:tc>
      </w:tr>
      <w:tr w14:paraId="72EEA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5" w:hRule="atLeast"/>
          <w:jc w:val="center"/>
        </w:trPr>
        <w:tc>
          <w:tcPr>
            <w:tcW w:w="654" w:type="dxa"/>
            <w:vMerge w:val="restart"/>
            <w:vAlign w:val="center"/>
          </w:tcPr>
          <w:p w14:paraId="4A1B7E4C">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w:t>
            </w:r>
          </w:p>
        </w:tc>
        <w:tc>
          <w:tcPr>
            <w:tcW w:w="1585" w:type="dxa"/>
            <w:vMerge w:val="restart"/>
            <w:vAlign w:val="center"/>
          </w:tcPr>
          <w:p w14:paraId="2CB0A170">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LIS 系统</w:t>
            </w:r>
          </w:p>
        </w:tc>
        <w:tc>
          <w:tcPr>
            <w:tcW w:w="1585" w:type="dxa"/>
            <w:vAlign w:val="center"/>
          </w:tcPr>
          <w:p w14:paraId="25915F82">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rPr>
            </w:pPr>
            <w:r>
              <w:rPr>
                <w:rFonts w:hint="eastAsia" w:ascii="仿宋_GB2312" w:hAnsi="仿宋_GB2312" w:eastAsia="仿宋_GB2312" w:cs="仿宋_GB2312"/>
              </w:rPr>
              <w:t>基础检验业务管理</w:t>
            </w:r>
          </w:p>
        </w:tc>
        <w:tc>
          <w:tcPr>
            <w:tcW w:w="5765" w:type="dxa"/>
          </w:tcPr>
          <w:p w14:paraId="4277EF68">
            <w:pPr>
              <w:pageBreakBefore w:val="0"/>
              <w:widowControl w:val="0"/>
              <w:kinsoku/>
              <w:wordWrap/>
              <w:overflowPunct/>
              <w:topLinePunct w:val="0"/>
              <w:autoSpaceDE/>
              <w:autoSpaceDN/>
              <w:bidi w:val="0"/>
              <w:adjustRightInd/>
              <w:snapToGrid/>
              <w:spacing w:line="312" w:lineRule="auto"/>
              <w:jc w:val="left"/>
              <w:textAlignment w:val="auto"/>
              <w:rPr>
                <w:rFonts w:hint="eastAsia" w:ascii="仿宋_GB2312" w:hAnsi="仿宋_GB2312" w:eastAsia="仿宋_GB2312" w:cs="仿宋_GB2312"/>
              </w:rPr>
            </w:pPr>
            <w:r>
              <w:rPr>
                <w:rFonts w:hint="eastAsia" w:ascii="仿宋_GB2312" w:hAnsi="仿宋_GB2312" w:eastAsia="仿宋_GB2312" w:cs="仿宋_GB2312"/>
              </w:rPr>
              <w:t>包括检验申请获取、条码管理、费用管理、住院标本采集、检验护士站管理、智能化门诊标本采集、智能常规检验管理、无纸化微生物系统、仪器通讯接口、智能化图像数据采集、流水线集成、图文报告、质控管理、智能化检验报告管理、自助报告管理、参考值管理、智能化检验知识库管理。</w:t>
            </w:r>
          </w:p>
        </w:tc>
      </w:tr>
      <w:tr w14:paraId="38F14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4" w:type="dxa"/>
            <w:vMerge w:val="continue"/>
            <w:vAlign w:val="center"/>
          </w:tcPr>
          <w:p w14:paraId="5449E30A">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rPr>
            </w:pPr>
          </w:p>
        </w:tc>
        <w:tc>
          <w:tcPr>
            <w:tcW w:w="1585" w:type="dxa"/>
            <w:vMerge w:val="continue"/>
            <w:vAlign w:val="center"/>
          </w:tcPr>
          <w:p w14:paraId="35ECD411">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rPr>
            </w:pPr>
          </w:p>
        </w:tc>
        <w:tc>
          <w:tcPr>
            <w:tcW w:w="1585" w:type="dxa"/>
            <w:vAlign w:val="center"/>
          </w:tcPr>
          <w:p w14:paraId="6467E033">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rPr>
            </w:pPr>
            <w:r>
              <w:rPr>
                <w:rFonts w:hint="eastAsia" w:ascii="仿宋_GB2312" w:hAnsi="仿宋_GB2312" w:eastAsia="仿宋_GB2312" w:cs="仿宋_GB2312"/>
              </w:rPr>
              <w:t>检验流程管理</w:t>
            </w:r>
          </w:p>
        </w:tc>
        <w:tc>
          <w:tcPr>
            <w:tcW w:w="5765" w:type="dxa"/>
            <w:vAlign w:val="center"/>
          </w:tcPr>
          <w:p w14:paraId="5CF1B928">
            <w:pPr>
              <w:pageBreakBefore w:val="0"/>
              <w:widowControl w:val="0"/>
              <w:kinsoku/>
              <w:wordWrap/>
              <w:overflowPunct/>
              <w:topLinePunct w:val="0"/>
              <w:autoSpaceDE/>
              <w:autoSpaceDN/>
              <w:bidi w:val="0"/>
              <w:adjustRightInd/>
              <w:snapToGrid/>
              <w:spacing w:line="312" w:lineRule="auto"/>
              <w:jc w:val="left"/>
              <w:textAlignment w:val="auto"/>
              <w:rPr>
                <w:rFonts w:hint="eastAsia" w:ascii="仿宋_GB2312" w:hAnsi="仿宋_GB2312" w:eastAsia="仿宋_GB2312" w:cs="仿宋_GB2312"/>
              </w:rPr>
            </w:pPr>
            <w:r>
              <w:rPr>
                <w:rFonts w:hint="eastAsia" w:ascii="仿宋_GB2312" w:hAnsi="仿宋_GB2312" w:eastAsia="仿宋_GB2312" w:cs="仿宋_GB2312"/>
              </w:rPr>
              <w:t>包括实验室外部标本流转管理、实验室标本核收、不合格标本管理、实验室标本管理、外送标本管理、危急值闭环管理、TAT专业管理、复查标本管理、调回报告管理、实验室监控管理、临床消息沟通、绿色通道管理。</w:t>
            </w:r>
          </w:p>
        </w:tc>
      </w:tr>
      <w:tr w14:paraId="6F63F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4" w:type="dxa"/>
            <w:vMerge w:val="continue"/>
            <w:vAlign w:val="center"/>
          </w:tcPr>
          <w:p w14:paraId="314E9186">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rPr>
            </w:pPr>
          </w:p>
        </w:tc>
        <w:tc>
          <w:tcPr>
            <w:tcW w:w="1585" w:type="dxa"/>
            <w:vMerge w:val="continue"/>
            <w:vAlign w:val="center"/>
          </w:tcPr>
          <w:p w14:paraId="588C4A86">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rPr>
            </w:pPr>
          </w:p>
        </w:tc>
        <w:tc>
          <w:tcPr>
            <w:tcW w:w="1585" w:type="dxa"/>
            <w:vAlign w:val="center"/>
          </w:tcPr>
          <w:p w14:paraId="2BFEE98D">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危急值上报管理</w:t>
            </w:r>
          </w:p>
        </w:tc>
        <w:tc>
          <w:tcPr>
            <w:tcW w:w="5765" w:type="dxa"/>
            <w:vAlign w:val="center"/>
          </w:tcPr>
          <w:p w14:paraId="2018EFB7">
            <w:pPr>
              <w:pageBreakBefore w:val="0"/>
              <w:widowControl w:val="0"/>
              <w:kinsoku/>
              <w:wordWrap/>
              <w:overflowPunct/>
              <w:topLinePunct w:val="0"/>
              <w:autoSpaceDE/>
              <w:autoSpaceDN/>
              <w:bidi w:val="0"/>
              <w:adjustRightInd/>
              <w:snapToGrid/>
              <w:spacing w:line="312" w:lineRule="auto"/>
              <w:jc w:val="left"/>
              <w:textAlignment w:val="auto"/>
              <w:rPr>
                <w:rFonts w:hint="eastAsia" w:ascii="仿宋_GB2312" w:hAnsi="仿宋_GB2312" w:eastAsia="仿宋_GB2312" w:cs="仿宋_GB2312"/>
              </w:rPr>
            </w:pPr>
            <w:r>
              <w:rPr>
                <w:rFonts w:hint="eastAsia" w:ascii="仿宋_GB2312" w:hAnsi="仿宋_GB2312" w:eastAsia="仿宋_GB2312" w:cs="仿宋_GB2312"/>
              </w:rPr>
              <w:t>危急值报告审核后，触发电话通知确认环节，强制录入接电话人员工号，确认完成后再推送 HIS，同步记录通知时间，实现危急值通知闭环与响应时长的可追溯统计。</w:t>
            </w:r>
          </w:p>
        </w:tc>
      </w:tr>
      <w:tr w14:paraId="5484C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4" w:type="dxa"/>
            <w:vMerge w:val="continue"/>
            <w:vAlign w:val="center"/>
          </w:tcPr>
          <w:p w14:paraId="50774387">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p>
        </w:tc>
        <w:tc>
          <w:tcPr>
            <w:tcW w:w="1585" w:type="dxa"/>
            <w:vMerge w:val="continue"/>
            <w:vAlign w:val="center"/>
          </w:tcPr>
          <w:p w14:paraId="02DB00FF">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rPr>
            </w:pPr>
          </w:p>
        </w:tc>
        <w:tc>
          <w:tcPr>
            <w:tcW w:w="1585" w:type="dxa"/>
            <w:vAlign w:val="center"/>
          </w:tcPr>
          <w:p w14:paraId="092C20F3">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rPr>
            </w:pPr>
            <w:r>
              <w:rPr>
                <w:rFonts w:hint="eastAsia" w:ascii="仿宋_GB2312" w:hAnsi="仿宋_GB2312" w:eastAsia="仿宋_GB2312" w:cs="仿宋_GB2312"/>
              </w:rPr>
              <w:t>统计查询管理</w:t>
            </w:r>
          </w:p>
        </w:tc>
        <w:tc>
          <w:tcPr>
            <w:tcW w:w="5765" w:type="dxa"/>
            <w:vAlign w:val="center"/>
          </w:tcPr>
          <w:p w14:paraId="4AD37B54">
            <w:pPr>
              <w:pageBreakBefore w:val="0"/>
              <w:widowControl w:val="0"/>
              <w:kinsoku/>
              <w:wordWrap/>
              <w:overflowPunct/>
              <w:topLinePunct w:val="0"/>
              <w:autoSpaceDE/>
              <w:autoSpaceDN/>
              <w:bidi w:val="0"/>
              <w:adjustRightInd/>
              <w:snapToGrid/>
              <w:spacing w:line="312" w:lineRule="auto"/>
              <w:jc w:val="left"/>
              <w:textAlignment w:val="auto"/>
              <w:rPr>
                <w:rFonts w:hint="eastAsia" w:ascii="仿宋_GB2312" w:hAnsi="仿宋_GB2312" w:eastAsia="仿宋_GB2312" w:cs="仿宋_GB2312"/>
              </w:rPr>
            </w:pPr>
            <w:r>
              <w:rPr>
                <w:rFonts w:hint="eastAsia" w:ascii="仿宋_GB2312" w:hAnsi="仿宋_GB2312" w:eastAsia="仿宋_GB2312" w:cs="仿宋_GB2312"/>
              </w:rPr>
              <w:t>包括智能化ISO15189报表管理、智能化统计查询管理、检验专业质量指标管理。</w:t>
            </w:r>
          </w:p>
        </w:tc>
      </w:tr>
      <w:tr w14:paraId="1CDEA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4" w:type="dxa"/>
            <w:vMerge w:val="continue"/>
            <w:vAlign w:val="center"/>
          </w:tcPr>
          <w:p w14:paraId="1E061174">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p>
        </w:tc>
        <w:tc>
          <w:tcPr>
            <w:tcW w:w="1585" w:type="dxa"/>
            <w:vMerge w:val="continue"/>
            <w:vAlign w:val="center"/>
          </w:tcPr>
          <w:p w14:paraId="1A729439">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rPr>
            </w:pPr>
          </w:p>
        </w:tc>
        <w:tc>
          <w:tcPr>
            <w:tcW w:w="1585" w:type="dxa"/>
            <w:vAlign w:val="center"/>
          </w:tcPr>
          <w:p w14:paraId="4BB731C6">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rPr>
            </w:pPr>
            <w:r>
              <w:rPr>
                <w:rFonts w:hint="eastAsia" w:ascii="仿宋_GB2312" w:hAnsi="仿宋_GB2312" w:eastAsia="仿宋_GB2312" w:cs="仿宋_GB2312"/>
              </w:rPr>
              <w:t>智能化科室管理</w:t>
            </w:r>
          </w:p>
        </w:tc>
        <w:tc>
          <w:tcPr>
            <w:tcW w:w="5765" w:type="dxa"/>
            <w:vAlign w:val="center"/>
          </w:tcPr>
          <w:p w14:paraId="773CC8D0">
            <w:pPr>
              <w:pageBreakBefore w:val="0"/>
              <w:widowControl w:val="0"/>
              <w:kinsoku/>
              <w:wordWrap/>
              <w:overflowPunct/>
              <w:topLinePunct w:val="0"/>
              <w:autoSpaceDE/>
              <w:autoSpaceDN/>
              <w:bidi w:val="0"/>
              <w:adjustRightInd/>
              <w:snapToGrid/>
              <w:spacing w:line="312" w:lineRule="auto"/>
              <w:jc w:val="left"/>
              <w:textAlignment w:val="auto"/>
              <w:rPr>
                <w:rFonts w:hint="eastAsia" w:ascii="仿宋_GB2312" w:hAnsi="仿宋_GB2312" w:eastAsia="仿宋_GB2312" w:cs="仿宋_GB2312"/>
              </w:rPr>
            </w:pPr>
            <w:r>
              <w:rPr>
                <w:rFonts w:hint="eastAsia" w:ascii="仿宋_GB2312" w:hAnsi="仿宋_GB2312" w:eastAsia="仿宋_GB2312" w:cs="仿宋_GB2312"/>
              </w:rPr>
              <w:t>包括：智能化试剂耗材管理、智能化设备管理、智能化人员管理、智能化文档管理、智能化培训考试系统、智能审核、智能化科室其他管理、智能化BI决策支持、360全院智能化考核管理。</w:t>
            </w:r>
          </w:p>
        </w:tc>
      </w:tr>
      <w:tr w14:paraId="248FA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4" w:type="dxa"/>
            <w:vMerge w:val="continue"/>
            <w:vAlign w:val="center"/>
          </w:tcPr>
          <w:p w14:paraId="29395C9A">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p>
        </w:tc>
        <w:tc>
          <w:tcPr>
            <w:tcW w:w="1585" w:type="dxa"/>
            <w:vMerge w:val="continue"/>
            <w:vAlign w:val="center"/>
          </w:tcPr>
          <w:p w14:paraId="3A31F4C6">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rPr>
            </w:pPr>
          </w:p>
        </w:tc>
        <w:tc>
          <w:tcPr>
            <w:tcW w:w="1585" w:type="dxa"/>
            <w:vAlign w:val="center"/>
          </w:tcPr>
          <w:p w14:paraId="3F5A08BA">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rPr>
            </w:pPr>
            <w:r>
              <w:rPr>
                <w:rFonts w:hint="eastAsia" w:ascii="仿宋_GB2312" w:hAnsi="仿宋_GB2312" w:eastAsia="仿宋_GB2312" w:cs="仿宋_GB2312"/>
              </w:rPr>
              <w:t>区域检验平台升级</w:t>
            </w:r>
          </w:p>
        </w:tc>
        <w:tc>
          <w:tcPr>
            <w:tcW w:w="5765" w:type="dxa"/>
            <w:vAlign w:val="center"/>
          </w:tcPr>
          <w:p w14:paraId="4F754B6F">
            <w:pPr>
              <w:pageBreakBefore w:val="0"/>
              <w:widowControl w:val="0"/>
              <w:kinsoku/>
              <w:wordWrap/>
              <w:overflowPunct/>
              <w:topLinePunct w:val="0"/>
              <w:autoSpaceDE/>
              <w:autoSpaceDN/>
              <w:bidi w:val="0"/>
              <w:adjustRightInd/>
              <w:snapToGrid/>
              <w:spacing w:line="312" w:lineRule="auto"/>
              <w:jc w:val="left"/>
              <w:textAlignment w:val="auto"/>
              <w:rPr>
                <w:rFonts w:hint="eastAsia" w:ascii="仿宋_GB2312" w:hAnsi="仿宋_GB2312" w:eastAsia="仿宋_GB2312" w:cs="仿宋_GB2312"/>
              </w:rPr>
            </w:pPr>
            <w:r>
              <w:rPr>
                <w:rFonts w:hint="eastAsia" w:ascii="仿宋_GB2312" w:hAnsi="仿宋_GB2312" w:eastAsia="仿宋_GB2312" w:cs="仿宋_GB2312"/>
              </w:rPr>
              <w:t>包括区域检验基础字典与标准化代码管理、区域检验信息流转平台、区域检验数据中心管理、区域检验统计分析、区域检验质控分析管理平台、区域检验危急值分析管理平台、区域检验大数据监控管理、接口管理</w:t>
            </w:r>
            <w:r>
              <w:rPr>
                <w:rFonts w:hint="eastAsia" w:ascii="仿宋_GB2312" w:hAnsi="仿宋_GB2312" w:eastAsia="仿宋_GB2312" w:cs="仿宋_GB2312"/>
                <w:lang w:val="en-US" w:eastAsia="zh-CN"/>
              </w:rPr>
              <w:t>等功能模块。</w:t>
            </w:r>
          </w:p>
        </w:tc>
      </w:tr>
      <w:tr w14:paraId="7A37A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4" w:type="dxa"/>
            <w:vMerge w:val="continue"/>
            <w:vAlign w:val="center"/>
          </w:tcPr>
          <w:p w14:paraId="528DE777">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p>
        </w:tc>
        <w:tc>
          <w:tcPr>
            <w:tcW w:w="1585" w:type="dxa"/>
            <w:vMerge w:val="continue"/>
            <w:vAlign w:val="center"/>
          </w:tcPr>
          <w:p w14:paraId="0A7C0E4D">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rPr>
            </w:pPr>
          </w:p>
        </w:tc>
        <w:tc>
          <w:tcPr>
            <w:tcW w:w="1585" w:type="dxa"/>
            <w:vAlign w:val="center"/>
          </w:tcPr>
          <w:p w14:paraId="186CB1AE">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个性化功能</w:t>
            </w:r>
          </w:p>
        </w:tc>
        <w:tc>
          <w:tcPr>
            <w:tcW w:w="5765" w:type="dxa"/>
            <w:vAlign w:val="center"/>
          </w:tcPr>
          <w:p w14:paraId="5531E63A">
            <w:pPr>
              <w:pageBreakBefore w:val="0"/>
              <w:widowControl w:val="0"/>
              <w:kinsoku/>
              <w:wordWrap/>
              <w:overflowPunct/>
              <w:topLinePunct w:val="0"/>
              <w:autoSpaceDE/>
              <w:autoSpaceDN/>
              <w:bidi w:val="0"/>
              <w:adjustRightInd/>
              <w:snapToGrid/>
              <w:spacing w:line="312" w:lineRule="auto"/>
              <w:jc w:val="left"/>
              <w:textAlignment w:val="auto"/>
              <w:rPr>
                <w:rFonts w:hint="eastAsia" w:ascii="仿宋_GB2312" w:hAnsi="仿宋_GB2312" w:eastAsia="仿宋_GB2312" w:cs="仿宋_GB2312"/>
              </w:rPr>
            </w:pPr>
            <w:r>
              <w:rPr>
                <w:rFonts w:hint="eastAsia" w:ascii="仿宋_GB2312" w:hAnsi="仿宋_GB2312" w:eastAsia="仿宋_GB2312" w:cs="仿宋_GB2312"/>
                <w:lang w:val="en-US" w:eastAsia="zh-CN"/>
              </w:rPr>
              <w:t>支持申请单定制、报表模板、统计口径等科室个性化需求。</w:t>
            </w:r>
          </w:p>
        </w:tc>
      </w:tr>
      <w:tr w14:paraId="44C78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4" w:type="dxa"/>
            <w:vMerge w:val="restart"/>
            <w:vAlign w:val="center"/>
          </w:tcPr>
          <w:p w14:paraId="126E83DC">
            <w:pPr>
              <w:pageBreakBefore w:val="0"/>
              <w:widowControl w:val="0"/>
              <w:kinsoku/>
              <w:wordWrap/>
              <w:overflowPunct/>
              <w:topLinePunct w:val="0"/>
              <w:autoSpaceDE/>
              <w:autoSpaceDN/>
              <w:bidi w:val="0"/>
              <w:adjustRightInd/>
              <w:snapToGrid/>
              <w:spacing w:line="312" w:lineRule="auto"/>
              <w:jc w:val="center"/>
              <w:textAlignment w:val="auto"/>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2</w:t>
            </w:r>
          </w:p>
        </w:tc>
        <w:tc>
          <w:tcPr>
            <w:tcW w:w="1585" w:type="dxa"/>
            <w:vMerge w:val="restart"/>
            <w:vAlign w:val="center"/>
          </w:tcPr>
          <w:p w14:paraId="5D29BA4A">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rPr>
            </w:pPr>
            <w:r>
              <w:rPr>
                <w:rFonts w:hint="eastAsia" w:ascii="仿宋_GB2312" w:hAnsi="仿宋_GB2312" w:eastAsia="仿宋_GB2312" w:cs="仿宋_GB2312"/>
                <w:lang w:val="en-US" w:eastAsia="zh-CN"/>
              </w:rPr>
              <w:t>血库管理系统</w:t>
            </w:r>
          </w:p>
        </w:tc>
        <w:tc>
          <w:tcPr>
            <w:tcW w:w="1585" w:type="dxa"/>
            <w:shd w:val="clear" w:color="auto" w:fill="auto"/>
            <w:vAlign w:val="center"/>
          </w:tcPr>
          <w:p w14:paraId="0CFEF708">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rPr>
              <w:t>临床医生站用血管理</w:t>
            </w:r>
          </w:p>
        </w:tc>
        <w:tc>
          <w:tcPr>
            <w:tcW w:w="5765" w:type="dxa"/>
            <w:shd w:val="clear" w:color="auto" w:fill="auto"/>
            <w:vAlign w:val="center"/>
          </w:tcPr>
          <w:p w14:paraId="1A12A957">
            <w:pPr>
              <w:pageBreakBefore w:val="0"/>
              <w:widowControl w:val="0"/>
              <w:kinsoku/>
              <w:wordWrap/>
              <w:overflowPunct/>
              <w:topLinePunct w:val="0"/>
              <w:autoSpaceDE/>
              <w:autoSpaceDN/>
              <w:bidi w:val="0"/>
              <w:adjustRightInd/>
              <w:snapToGrid/>
              <w:spacing w:line="312" w:lineRule="auto"/>
              <w:jc w:val="lef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rPr>
              <w:t>包括智能化知情同意书、输血前智能评估、智能化用血申请管理、智能化用血管理与分级审核、智能化医生站输血反应不良处置及反馈、输血后疗效评价、门诊用血、用血通知、血液库存预警、消息通知、临床退血、临床医生站可视化管理的其他要求、临床用血评估评价系统。</w:t>
            </w:r>
          </w:p>
        </w:tc>
      </w:tr>
      <w:tr w14:paraId="3EE99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4" w:type="dxa"/>
            <w:vMerge w:val="continue"/>
            <w:vAlign w:val="center"/>
          </w:tcPr>
          <w:p w14:paraId="760C6808">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p>
        </w:tc>
        <w:tc>
          <w:tcPr>
            <w:tcW w:w="1585" w:type="dxa"/>
            <w:vMerge w:val="continue"/>
            <w:vAlign w:val="center"/>
          </w:tcPr>
          <w:p w14:paraId="40E2AC45">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rPr>
            </w:pPr>
          </w:p>
        </w:tc>
        <w:tc>
          <w:tcPr>
            <w:tcW w:w="1585" w:type="dxa"/>
            <w:shd w:val="clear" w:color="auto" w:fill="auto"/>
            <w:vAlign w:val="center"/>
          </w:tcPr>
          <w:p w14:paraId="737EA4AB">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rPr>
              <w:t>临床护士工作站输血管理</w:t>
            </w:r>
          </w:p>
        </w:tc>
        <w:tc>
          <w:tcPr>
            <w:tcW w:w="5765" w:type="dxa"/>
            <w:shd w:val="clear" w:color="auto" w:fill="auto"/>
            <w:vAlign w:val="center"/>
          </w:tcPr>
          <w:p w14:paraId="08B70CE5">
            <w:pPr>
              <w:pageBreakBefore w:val="0"/>
              <w:widowControl w:val="0"/>
              <w:kinsoku/>
              <w:wordWrap/>
              <w:overflowPunct/>
              <w:topLinePunct w:val="0"/>
              <w:autoSpaceDE/>
              <w:autoSpaceDN/>
              <w:bidi w:val="0"/>
              <w:adjustRightInd/>
              <w:snapToGrid/>
              <w:spacing w:line="312" w:lineRule="auto"/>
              <w:jc w:val="lef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rPr>
              <w:t>包括标本采集管理、条码打印、采集确认、标本送出、血液输注管理、用血反馈登记、血袋科室间交接、血袋回收、血袋销毁、血液输注的监测管理、护士站不良反应、特殊输血治疗管理、血袋回收、转科、仪器通讯接口。</w:t>
            </w:r>
          </w:p>
        </w:tc>
      </w:tr>
      <w:tr w14:paraId="04DFA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4" w:type="dxa"/>
            <w:vMerge w:val="continue"/>
            <w:vAlign w:val="center"/>
          </w:tcPr>
          <w:p w14:paraId="2DAD54FB">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p>
        </w:tc>
        <w:tc>
          <w:tcPr>
            <w:tcW w:w="1585" w:type="dxa"/>
            <w:vMerge w:val="continue"/>
            <w:vAlign w:val="center"/>
          </w:tcPr>
          <w:p w14:paraId="1C20CF53">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rPr>
            </w:pPr>
          </w:p>
        </w:tc>
        <w:tc>
          <w:tcPr>
            <w:tcW w:w="1585" w:type="dxa"/>
            <w:shd w:val="clear" w:color="auto" w:fill="auto"/>
            <w:vAlign w:val="center"/>
          </w:tcPr>
          <w:p w14:paraId="7EFA1C7A">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rPr>
              <w:t>输血科工作站管理</w:t>
            </w:r>
          </w:p>
        </w:tc>
        <w:tc>
          <w:tcPr>
            <w:tcW w:w="5765" w:type="dxa"/>
            <w:shd w:val="clear" w:color="auto" w:fill="auto"/>
            <w:vAlign w:val="center"/>
          </w:tcPr>
          <w:p w14:paraId="6F2BFC84">
            <w:pPr>
              <w:pageBreakBefore w:val="0"/>
              <w:widowControl w:val="0"/>
              <w:kinsoku/>
              <w:wordWrap/>
              <w:overflowPunct/>
              <w:topLinePunct w:val="0"/>
              <w:autoSpaceDE/>
              <w:autoSpaceDN/>
              <w:bidi w:val="0"/>
              <w:adjustRightInd/>
              <w:snapToGrid/>
              <w:spacing w:line="312" w:lineRule="auto"/>
              <w:jc w:val="lef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rPr>
              <w:t>包括前处理管理、输血检验管理、血液出入库管理、配血管理、发血管理、库位管理、血液暂存、审核管理、血液管理、费用管理、供血者血液复检、相容性检测、血液转移、无偿献血登记、血袋追踪、机构调拨、院区调拨、输血科不良反应处理、血液报废、标本保存/销毁、检验报告查询、单病种质量管理、输血科其他管理要求、统计查询、设备管理、试剂管理、交接班管理、科室管理</w:t>
            </w:r>
            <w:r>
              <w:rPr>
                <w:rFonts w:hint="eastAsia" w:ascii="仿宋_GB2312" w:hAnsi="仿宋_GB2312" w:eastAsia="仿宋_GB2312" w:cs="仿宋_GB2312"/>
                <w:lang w:eastAsia="zh-CN"/>
              </w:rPr>
              <w:t>。</w:t>
            </w:r>
          </w:p>
        </w:tc>
      </w:tr>
      <w:tr w14:paraId="47EF3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4" w:type="dxa"/>
            <w:vMerge w:val="continue"/>
            <w:vAlign w:val="center"/>
          </w:tcPr>
          <w:p w14:paraId="66AC2AF4">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p>
        </w:tc>
        <w:tc>
          <w:tcPr>
            <w:tcW w:w="1585" w:type="dxa"/>
            <w:vMerge w:val="continue"/>
            <w:vAlign w:val="center"/>
          </w:tcPr>
          <w:p w14:paraId="04A34710">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rPr>
            </w:pPr>
          </w:p>
        </w:tc>
        <w:tc>
          <w:tcPr>
            <w:tcW w:w="1585" w:type="dxa"/>
            <w:shd w:val="clear" w:color="auto" w:fill="auto"/>
            <w:vAlign w:val="center"/>
          </w:tcPr>
          <w:p w14:paraId="44B6DCEE">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rPr>
              <w:t>医务科输血管理</w:t>
            </w:r>
          </w:p>
        </w:tc>
        <w:tc>
          <w:tcPr>
            <w:tcW w:w="5765" w:type="dxa"/>
            <w:shd w:val="clear" w:color="auto" w:fill="auto"/>
            <w:vAlign w:val="center"/>
          </w:tcPr>
          <w:p w14:paraId="7C5A54A7">
            <w:pPr>
              <w:pageBreakBefore w:val="0"/>
              <w:widowControl w:val="0"/>
              <w:kinsoku/>
              <w:wordWrap/>
              <w:overflowPunct/>
              <w:topLinePunct w:val="0"/>
              <w:autoSpaceDE/>
              <w:autoSpaceDN/>
              <w:bidi w:val="0"/>
              <w:adjustRightInd/>
              <w:snapToGrid/>
              <w:spacing w:line="312" w:lineRule="auto"/>
              <w:jc w:val="lef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rPr>
              <w:t>包括医务处管理模块、审核管理、消息通知管理、统计查询。</w:t>
            </w:r>
          </w:p>
        </w:tc>
      </w:tr>
      <w:tr w14:paraId="3368C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4" w:type="dxa"/>
            <w:vMerge w:val="continue"/>
            <w:vAlign w:val="center"/>
          </w:tcPr>
          <w:p w14:paraId="633158C1">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p>
        </w:tc>
        <w:tc>
          <w:tcPr>
            <w:tcW w:w="1585" w:type="dxa"/>
            <w:vMerge w:val="continue"/>
            <w:vAlign w:val="center"/>
          </w:tcPr>
          <w:p w14:paraId="353F32C3">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rPr>
            </w:pPr>
          </w:p>
        </w:tc>
        <w:tc>
          <w:tcPr>
            <w:tcW w:w="1585" w:type="dxa"/>
            <w:shd w:val="clear" w:color="auto" w:fill="auto"/>
            <w:vAlign w:val="center"/>
          </w:tcPr>
          <w:p w14:paraId="7753CA98">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手术室输血管理</w:t>
            </w:r>
          </w:p>
        </w:tc>
        <w:tc>
          <w:tcPr>
            <w:tcW w:w="5765" w:type="dxa"/>
            <w:shd w:val="clear" w:color="auto" w:fill="auto"/>
            <w:vAlign w:val="center"/>
          </w:tcPr>
          <w:p w14:paraId="39AAE54A">
            <w:pPr>
              <w:pageBreakBefore w:val="0"/>
              <w:widowControl w:val="0"/>
              <w:kinsoku/>
              <w:wordWrap/>
              <w:overflowPunct/>
              <w:topLinePunct w:val="0"/>
              <w:autoSpaceDE/>
              <w:autoSpaceDN/>
              <w:bidi w:val="0"/>
              <w:adjustRightInd/>
              <w:snapToGrid/>
              <w:spacing w:line="312" w:lineRule="auto"/>
              <w:jc w:val="lef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为手术室输血提供全流程管理。</w:t>
            </w:r>
          </w:p>
        </w:tc>
      </w:tr>
      <w:tr w14:paraId="36A1E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4" w:type="dxa"/>
            <w:vMerge w:val="continue"/>
            <w:vAlign w:val="center"/>
          </w:tcPr>
          <w:p w14:paraId="2999D808">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p>
        </w:tc>
        <w:tc>
          <w:tcPr>
            <w:tcW w:w="1585" w:type="dxa"/>
            <w:vMerge w:val="continue"/>
            <w:vAlign w:val="center"/>
          </w:tcPr>
          <w:p w14:paraId="22E8B8BC">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rPr>
            </w:pPr>
          </w:p>
        </w:tc>
        <w:tc>
          <w:tcPr>
            <w:tcW w:w="1585" w:type="dxa"/>
            <w:shd w:val="clear" w:color="auto" w:fill="auto"/>
            <w:vAlign w:val="center"/>
          </w:tcPr>
          <w:p w14:paraId="4DC49C1F">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质控管理与临床用血质量控制指标管理</w:t>
            </w:r>
          </w:p>
        </w:tc>
        <w:tc>
          <w:tcPr>
            <w:tcW w:w="5765" w:type="dxa"/>
            <w:shd w:val="clear" w:color="auto" w:fill="auto"/>
            <w:vAlign w:val="center"/>
          </w:tcPr>
          <w:p w14:paraId="0763ABBB">
            <w:pPr>
              <w:pageBreakBefore w:val="0"/>
              <w:widowControl w:val="0"/>
              <w:kinsoku/>
              <w:wordWrap/>
              <w:overflowPunct/>
              <w:topLinePunct w:val="0"/>
              <w:autoSpaceDE/>
              <w:autoSpaceDN/>
              <w:bidi w:val="0"/>
              <w:adjustRightInd/>
              <w:snapToGrid/>
              <w:spacing w:line="312" w:lineRule="auto"/>
              <w:jc w:val="lef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质控管理与临床用血质量控制指标。</w:t>
            </w:r>
          </w:p>
        </w:tc>
      </w:tr>
      <w:tr w14:paraId="36071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4" w:type="dxa"/>
            <w:vMerge w:val="continue"/>
            <w:vAlign w:val="center"/>
          </w:tcPr>
          <w:p w14:paraId="3BA098F7">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p>
        </w:tc>
        <w:tc>
          <w:tcPr>
            <w:tcW w:w="1585" w:type="dxa"/>
            <w:vMerge w:val="continue"/>
            <w:vAlign w:val="center"/>
          </w:tcPr>
          <w:p w14:paraId="4DB1D0C4">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rPr>
            </w:pPr>
          </w:p>
        </w:tc>
        <w:tc>
          <w:tcPr>
            <w:tcW w:w="1585" w:type="dxa"/>
            <w:shd w:val="clear" w:color="auto" w:fill="auto"/>
            <w:vAlign w:val="center"/>
          </w:tcPr>
          <w:p w14:paraId="198EBBD9">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输血闭环管理及智能化预警消息提醒平台</w:t>
            </w:r>
          </w:p>
        </w:tc>
        <w:tc>
          <w:tcPr>
            <w:tcW w:w="5765" w:type="dxa"/>
            <w:shd w:val="clear" w:color="auto" w:fill="auto"/>
            <w:vAlign w:val="center"/>
          </w:tcPr>
          <w:p w14:paraId="65287331">
            <w:pPr>
              <w:pageBreakBefore w:val="0"/>
              <w:widowControl w:val="0"/>
              <w:kinsoku/>
              <w:wordWrap/>
              <w:overflowPunct/>
              <w:topLinePunct w:val="0"/>
              <w:autoSpaceDE/>
              <w:autoSpaceDN/>
              <w:bidi w:val="0"/>
              <w:adjustRightInd/>
              <w:snapToGrid/>
              <w:spacing w:line="312" w:lineRule="auto"/>
              <w:jc w:val="lef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输血闭环管理及智能化预警消息提醒平台。</w:t>
            </w:r>
          </w:p>
        </w:tc>
      </w:tr>
      <w:tr w14:paraId="31DA7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4" w:type="dxa"/>
            <w:vMerge w:val="continue"/>
            <w:vAlign w:val="center"/>
          </w:tcPr>
          <w:p w14:paraId="7B154255">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p>
        </w:tc>
        <w:tc>
          <w:tcPr>
            <w:tcW w:w="1585" w:type="dxa"/>
            <w:vMerge w:val="continue"/>
            <w:vAlign w:val="center"/>
          </w:tcPr>
          <w:p w14:paraId="43B24201">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rPr>
            </w:pPr>
          </w:p>
        </w:tc>
        <w:tc>
          <w:tcPr>
            <w:tcW w:w="1585" w:type="dxa"/>
            <w:shd w:val="clear" w:color="auto" w:fill="auto"/>
            <w:vAlign w:val="center"/>
          </w:tcPr>
          <w:p w14:paraId="45422EC7">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rPr>
              <w:t>多院区输血管理升级</w:t>
            </w:r>
          </w:p>
        </w:tc>
        <w:tc>
          <w:tcPr>
            <w:tcW w:w="5765" w:type="dxa"/>
            <w:shd w:val="clear" w:color="auto" w:fill="auto"/>
            <w:vAlign w:val="center"/>
          </w:tcPr>
          <w:p w14:paraId="0B8DC23B">
            <w:pPr>
              <w:pageBreakBefore w:val="0"/>
              <w:widowControl w:val="0"/>
              <w:kinsoku/>
              <w:wordWrap/>
              <w:overflowPunct/>
              <w:topLinePunct w:val="0"/>
              <w:autoSpaceDE/>
              <w:autoSpaceDN/>
              <w:bidi w:val="0"/>
              <w:adjustRightInd/>
              <w:snapToGrid/>
              <w:spacing w:line="312" w:lineRule="auto"/>
              <w:jc w:val="lef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rPr>
              <w:t>涵盖字典代码管理、全域信息流转、数据中心归集、多维统计分析、质控监管、应急管理及多源接口对接等全功能模块，实现区域输血业务标准化、同质化、智能化、闭环化统一管理。</w:t>
            </w:r>
          </w:p>
        </w:tc>
      </w:tr>
      <w:tr w14:paraId="25F2F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4" w:type="dxa"/>
            <w:vMerge w:val="continue"/>
            <w:vAlign w:val="center"/>
          </w:tcPr>
          <w:p w14:paraId="39BA3786">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p>
        </w:tc>
        <w:tc>
          <w:tcPr>
            <w:tcW w:w="1585" w:type="dxa"/>
            <w:vMerge w:val="continue"/>
            <w:vAlign w:val="center"/>
          </w:tcPr>
          <w:p w14:paraId="17A166C7">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rPr>
            </w:pPr>
          </w:p>
        </w:tc>
        <w:tc>
          <w:tcPr>
            <w:tcW w:w="1585" w:type="dxa"/>
            <w:shd w:val="clear" w:color="auto" w:fill="auto"/>
            <w:vAlign w:val="center"/>
          </w:tcPr>
          <w:p w14:paraId="01E4AC4D">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个性化功能</w:t>
            </w:r>
          </w:p>
        </w:tc>
        <w:tc>
          <w:tcPr>
            <w:tcW w:w="5765" w:type="dxa"/>
            <w:shd w:val="clear" w:color="auto" w:fill="auto"/>
            <w:vAlign w:val="center"/>
          </w:tcPr>
          <w:p w14:paraId="16540DD5">
            <w:pPr>
              <w:pageBreakBefore w:val="0"/>
              <w:widowControl w:val="0"/>
              <w:kinsoku/>
              <w:wordWrap/>
              <w:overflowPunct/>
              <w:topLinePunct w:val="0"/>
              <w:autoSpaceDE/>
              <w:autoSpaceDN/>
              <w:bidi w:val="0"/>
              <w:adjustRightInd/>
              <w:snapToGrid/>
              <w:spacing w:line="312" w:lineRule="auto"/>
              <w:jc w:val="lef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支持申请单定制、报表模板、统计口径等科室个性化需求。</w:t>
            </w:r>
          </w:p>
        </w:tc>
      </w:tr>
      <w:tr w14:paraId="5AE3D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4" w:type="dxa"/>
            <w:vMerge w:val="restart"/>
            <w:vAlign w:val="center"/>
          </w:tcPr>
          <w:p w14:paraId="4E617A66">
            <w:pPr>
              <w:pageBreakBefore w:val="0"/>
              <w:widowControl w:val="0"/>
              <w:kinsoku/>
              <w:wordWrap/>
              <w:overflowPunct/>
              <w:topLinePunct w:val="0"/>
              <w:autoSpaceDE/>
              <w:autoSpaceDN/>
              <w:bidi w:val="0"/>
              <w:adjustRightInd/>
              <w:snapToGrid/>
              <w:spacing w:line="312" w:lineRule="auto"/>
              <w:jc w:val="center"/>
              <w:textAlignment w:val="auto"/>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3</w:t>
            </w:r>
          </w:p>
        </w:tc>
        <w:tc>
          <w:tcPr>
            <w:tcW w:w="1585" w:type="dxa"/>
            <w:vMerge w:val="restart"/>
            <w:vAlign w:val="center"/>
          </w:tcPr>
          <w:p w14:paraId="1A55AFB4">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rPr>
            </w:pPr>
            <w:r>
              <w:rPr>
                <w:rFonts w:hint="eastAsia" w:ascii="仿宋_GB2312" w:hAnsi="仿宋_GB2312" w:eastAsia="仿宋_GB2312" w:cs="仿宋_GB2312"/>
              </w:rPr>
              <w:t>生物标本库管理系统</w:t>
            </w:r>
          </w:p>
        </w:tc>
        <w:tc>
          <w:tcPr>
            <w:tcW w:w="1585" w:type="dxa"/>
            <w:shd w:val="clear" w:color="auto" w:fill="auto"/>
            <w:vAlign w:val="center"/>
          </w:tcPr>
          <w:p w14:paraId="05808C02">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样本捐献者基本信息登记</w:t>
            </w:r>
          </w:p>
        </w:tc>
        <w:tc>
          <w:tcPr>
            <w:tcW w:w="5765" w:type="dxa"/>
            <w:shd w:val="clear" w:color="auto" w:fill="auto"/>
            <w:vAlign w:val="center"/>
          </w:tcPr>
          <w:p w14:paraId="4E626FD0">
            <w:pPr>
              <w:pageBreakBefore w:val="0"/>
              <w:widowControl w:val="0"/>
              <w:kinsoku/>
              <w:wordWrap/>
              <w:overflowPunct/>
              <w:topLinePunct w:val="0"/>
              <w:autoSpaceDE/>
              <w:autoSpaceDN/>
              <w:bidi w:val="0"/>
              <w:adjustRightInd/>
              <w:snapToGrid/>
              <w:spacing w:line="312" w:lineRule="auto"/>
              <w:jc w:val="lef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可通过对接 HIS、LIS 扫码获取、外院文件导入、手动登记三种方式录入捐献者样本相关信息，对同名同性别同年龄的同一患者维持唯一序号，多次入院新增信息并累加随访频次。</w:t>
            </w:r>
          </w:p>
        </w:tc>
      </w:tr>
      <w:tr w14:paraId="274D2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4" w:type="dxa"/>
            <w:vMerge w:val="continue"/>
            <w:vAlign w:val="center"/>
          </w:tcPr>
          <w:p w14:paraId="7E2396DD">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p>
        </w:tc>
        <w:tc>
          <w:tcPr>
            <w:tcW w:w="1585" w:type="dxa"/>
            <w:vMerge w:val="continue"/>
            <w:vAlign w:val="center"/>
          </w:tcPr>
          <w:p w14:paraId="234CDE24">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rPr>
            </w:pPr>
          </w:p>
        </w:tc>
        <w:tc>
          <w:tcPr>
            <w:tcW w:w="1585" w:type="dxa"/>
            <w:shd w:val="clear" w:color="auto" w:fill="auto"/>
            <w:vAlign w:val="center"/>
          </w:tcPr>
          <w:p w14:paraId="45E37BC9">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样本的采集</w:t>
            </w:r>
          </w:p>
        </w:tc>
        <w:tc>
          <w:tcPr>
            <w:tcW w:w="5765" w:type="dxa"/>
            <w:shd w:val="clear" w:color="auto" w:fill="auto"/>
            <w:vAlign w:val="center"/>
          </w:tcPr>
          <w:p w14:paraId="1CB3769A">
            <w:pPr>
              <w:pageBreakBefore w:val="0"/>
              <w:widowControl w:val="0"/>
              <w:kinsoku/>
              <w:wordWrap/>
              <w:overflowPunct/>
              <w:topLinePunct w:val="0"/>
              <w:autoSpaceDE/>
              <w:autoSpaceDN/>
              <w:bidi w:val="0"/>
              <w:adjustRightInd/>
              <w:snapToGrid/>
              <w:spacing w:line="312" w:lineRule="auto"/>
              <w:jc w:val="lef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标本信息录入、审核、确认全流程，支持对接 HIS 获取信息批量打印条码、手工录入标本，提供自动 / 手动审核、出院及住院时长提醒、审核与处理列表切换功能，同时限制普通录入人员修改 HIS 已有数据、仅高权限可修正差错以保障数据统一。</w:t>
            </w:r>
          </w:p>
        </w:tc>
      </w:tr>
      <w:tr w14:paraId="3D11C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4" w:type="dxa"/>
            <w:vMerge w:val="continue"/>
            <w:vAlign w:val="center"/>
          </w:tcPr>
          <w:p w14:paraId="557BE2E5">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p>
        </w:tc>
        <w:tc>
          <w:tcPr>
            <w:tcW w:w="1585" w:type="dxa"/>
            <w:vMerge w:val="continue"/>
            <w:vAlign w:val="center"/>
          </w:tcPr>
          <w:p w14:paraId="2F87F086">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rPr>
            </w:pPr>
          </w:p>
        </w:tc>
        <w:tc>
          <w:tcPr>
            <w:tcW w:w="1585" w:type="dxa"/>
            <w:shd w:val="clear" w:color="auto" w:fill="auto"/>
            <w:vAlign w:val="center"/>
          </w:tcPr>
          <w:p w14:paraId="64D12FBE">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样本入库的管理</w:t>
            </w:r>
          </w:p>
        </w:tc>
        <w:tc>
          <w:tcPr>
            <w:tcW w:w="5765" w:type="dxa"/>
            <w:shd w:val="clear" w:color="auto" w:fill="auto"/>
            <w:vAlign w:val="center"/>
          </w:tcPr>
          <w:p w14:paraId="79FDE061">
            <w:pPr>
              <w:pageBreakBefore w:val="0"/>
              <w:widowControl w:val="0"/>
              <w:kinsoku/>
              <w:wordWrap/>
              <w:overflowPunct/>
              <w:topLinePunct w:val="0"/>
              <w:autoSpaceDE/>
              <w:autoSpaceDN/>
              <w:bidi w:val="0"/>
              <w:adjustRightInd/>
              <w:snapToGrid/>
              <w:spacing w:line="312" w:lineRule="auto"/>
              <w:jc w:val="lef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样本入库管理支持选定冰箱架号、扫描条码入库、查询与分配库位，兼具自动 / 手动编制标本编号、重复信息入库提醒、自动批量分配连续冻存位、按散装转整装规则手动分配库位、临时库暂存后迁移正式冰箱的全套入库管控能力。</w:t>
            </w:r>
          </w:p>
        </w:tc>
      </w:tr>
      <w:tr w14:paraId="0159B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4" w:type="dxa"/>
            <w:vMerge w:val="continue"/>
            <w:vAlign w:val="center"/>
          </w:tcPr>
          <w:p w14:paraId="175F60F9">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p>
        </w:tc>
        <w:tc>
          <w:tcPr>
            <w:tcW w:w="1585" w:type="dxa"/>
            <w:vMerge w:val="continue"/>
            <w:vAlign w:val="center"/>
          </w:tcPr>
          <w:p w14:paraId="2418EF73">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rPr>
            </w:pPr>
          </w:p>
        </w:tc>
        <w:tc>
          <w:tcPr>
            <w:tcW w:w="1585" w:type="dxa"/>
            <w:shd w:val="clear" w:color="auto" w:fill="auto"/>
            <w:vAlign w:val="center"/>
          </w:tcPr>
          <w:p w14:paraId="6E922D1D">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标本移库管理</w:t>
            </w:r>
          </w:p>
        </w:tc>
        <w:tc>
          <w:tcPr>
            <w:tcW w:w="5765" w:type="dxa"/>
            <w:shd w:val="clear" w:color="auto" w:fill="auto"/>
            <w:vAlign w:val="center"/>
          </w:tcPr>
          <w:p w14:paraId="3D010F07">
            <w:pPr>
              <w:pageBreakBefore w:val="0"/>
              <w:widowControl w:val="0"/>
              <w:kinsoku/>
              <w:wordWrap/>
              <w:overflowPunct/>
              <w:topLinePunct w:val="0"/>
              <w:autoSpaceDE/>
              <w:autoSpaceDN/>
              <w:bidi w:val="0"/>
              <w:adjustRightInd/>
              <w:snapToGrid/>
              <w:spacing w:line="312" w:lineRule="auto"/>
              <w:jc w:val="lef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涵盖标本盒合并、库位调整、盘点相关操作，支持手动编辑标本信息与存放位置、统计查询存储设备空余位、用颜色标识空余位预警及标本存放时长、高空置 / 布局混乱时自动整理虚拟库位，还可完成整盒迁出入、单标本位置互换的移库操作。</w:t>
            </w:r>
          </w:p>
        </w:tc>
      </w:tr>
      <w:tr w14:paraId="696C4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4" w:type="dxa"/>
            <w:vMerge w:val="continue"/>
            <w:vAlign w:val="center"/>
          </w:tcPr>
          <w:p w14:paraId="01F793A0">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p>
        </w:tc>
        <w:tc>
          <w:tcPr>
            <w:tcW w:w="1585" w:type="dxa"/>
            <w:vMerge w:val="continue"/>
            <w:vAlign w:val="center"/>
          </w:tcPr>
          <w:p w14:paraId="14B33505">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rPr>
            </w:pPr>
          </w:p>
        </w:tc>
        <w:tc>
          <w:tcPr>
            <w:tcW w:w="1585" w:type="dxa"/>
            <w:shd w:val="clear" w:color="auto" w:fill="auto"/>
            <w:vAlign w:val="center"/>
          </w:tcPr>
          <w:p w14:paraId="40942788">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标本的出库管</w:t>
            </w:r>
          </w:p>
        </w:tc>
        <w:tc>
          <w:tcPr>
            <w:tcW w:w="5765" w:type="dxa"/>
            <w:shd w:val="clear" w:color="auto" w:fill="auto"/>
            <w:vAlign w:val="center"/>
          </w:tcPr>
          <w:p w14:paraId="383D1C88">
            <w:pPr>
              <w:pageBreakBefore w:val="0"/>
              <w:widowControl w:val="0"/>
              <w:kinsoku/>
              <w:wordWrap/>
              <w:overflowPunct/>
              <w:topLinePunct w:val="0"/>
              <w:autoSpaceDE/>
              <w:autoSpaceDN/>
              <w:bidi w:val="0"/>
              <w:adjustRightInd/>
              <w:snapToGrid/>
              <w:spacing w:line="312" w:lineRule="auto"/>
              <w:jc w:val="lef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可完成标本出库、库位更新，支持条件筛选、XLS文件导入两种批量出库方式与特殊出库场景，标本每次出库会自动累加冻融次数。</w:t>
            </w:r>
          </w:p>
        </w:tc>
      </w:tr>
      <w:tr w14:paraId="0084A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4" w:type="dxa"/>
            <w:vMerge w:val="continue"/>
            <w:vAlign w:val="center"/>
          </w:tcPr>
          <w:p w14:paraId="2CE24568">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p>
        </w:tc>
        <w:tc>
          <w:tcPr>
            <w:tcW w:w="1585" w:type="dxa"/>
            <w:vMerge w:val="continue"/>
            <w:vAlign w:val="center"/>
          </w:tcPr>
          <w:p w14:paraId="22BEB8EA">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rPr>
            </w:pPr>
          </w:p>
        </w:tc>
        <w:tc>
          <w:tcPr>
            <w:tcW w:w="1585" w:type="dxa"/>
            <w:shd w:val="clear" w:color="auto" w:fill="auto"/>
            <w:vAlign w:val="center"/>
          </w:tcPr>
          <w:p w14:paraId="76EBA196">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样本使用申请人信</w:t>
            </w:r>
          </w:p>
        </w:tc>
        <w:tc>
          <w:tcPr>
            <w:tcW w:w="5765" w:type="dxa"/>
            <w:shd w:val="clear" w:color="auto" w:fill="auto"/>
            <w:vAlign w:val="center"/>
          </w:tcPr>
          <w:p w14:paraId="120E2561">
            <w:pPr>
              <w:pageBreakBefore w:val="0"/>
              <w:widowControl w:val="0"/>
              <w:kinsoku/>
              <w:wordWrap/>
              <w:overflowPunct/>
              <w:topLinePunct w:val="0"/>
              <w:autoSpaceDE/>
              <w:autoSpaceDN/>
              <w:bidi w:val="0"/>
              <w:adjustRightInd/>
              <w:snapToGrid/>
              <w:spacing w:line="312" w:lineRule="auto"/>
              <w:jc w:val="lef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支持电子化申请单录入审批、申请人全维度信息建档与出入库权限管控、附件上传、虚拟设备管理、多渠道申请提醒及审批结果双向通知，同时设置申请未通过样本信息隐藏、需完成上回出库质量反馈才可提交新申请的约束规则。</w:t>
            </w:r>
          </w:p>
        </w:tc>
      </w:tr>
      <w:tr w14:paraId="7858F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4" w:type="dxa"/>
            <w:vMerge w:val="continue"/>
            <w:vAlign w:val="center"/>
          </w:tcPr>
          <w:p w14:paraId="0329423A">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p>
        </w:tc>
        <w:tc>
          <w:tcPr>
            <w:tcW w:w="1585" w:type="dxa"/>
            <w:vMerge w:val="continue"/>
            <w:vAlign w:val="center"/>
          </w:tcPr>
          <w:p w14:paraId="282D66FC">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rPr>
            </w:pPr>
          </w:p>
        </w:tc>
        <w:tc>
          <w:tcPr>
            <w:tcW w:w="1585" w:type="dxa"/>
            <w:shd w:val="clear" w:color="auto" w:fill="auto"/>
            <w:vAlign w:val="center"/>
          </w:tcPr>
          <w:p w14:paraId="509CCA6A">
            <w:pPr>
              <w:pageBreakBefore w:val="0"/>
              <w:widowControl w:val="0"/>
              <w:kinsoku/>
              <w:wordWrap/>
              <w:overflowPunct/>
              <w:topLinePunct w:val="0"/>
              <w:autoSpaceDE/>
              <w:autoSpaceDN/>
              <w:bidi w:val="0"/>
              <w:adjustRightInd/>
              <w:snapToGrid/>
              <w:spacing w:line="312" w:lineRule="auto"/>
              <w:jc w:val="center"/>
              <w:textAlignment w:val="auto"/>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条码管理</w:t>
            </w:r>
          </w:p>
        </w:tc>
        <w:tc>
          <w:tcPr>
            <w:tcW w:w="5765" w:type="dxa"/>
            <w:shd w:val="clear" w:color="auto" w:fill="auto"/>
            <w:vAlign w:val="center"/>
          </w:tcPr>
          <w:p w14:paraId="4CAC6453">
            <w:pPr>
              <w:pageBreakBefore w:val="0"/>
              <w:widowControl w:val="0"/>
              <w:kinsoku/>
              <w:wordWrap/>
              <w:overflowPunct/>
              <w:topLinePunct w:val="0"/>
              <w:autoSpaceDE/>
              <w:autoSpaceDN/>
              <w:bidi w:val="0"/>
              <w:adjustRightInd/>
              <w:snapToGrid/>
              <w:spacing w:line="312" w:lineRule="auto"/>
              <w:jc w:val="lef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依托条形码标记存放组织样本的试管以管控标本流转与存放，对条码编号规则无严格限制，同时适配打印机软件接口，可直接在系统内完成条码打印。</w:t>
            </w:r>
          </w:p>
        </w:tc>
      </w:tr>
      <w:tr w14:paraId="112C3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4" w:type="dxa"/>
            <w:vMerge w:val="continue"/>
            <w:vAlign w:val="center"/>
          </w:tcPr>
          <w:p w14:paraId="0BC04F4F">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p>
        </w:tc>
        <w:tc>
          <w:tcPr>
            <w:tcW w:w="1585" w:type="dxa"/>
            <w:vMerge w:val="continue"/>
            <w:vAlign w:val="center"/>
          </w:tcPr>
          <w:p w14:paraId="57658F8C">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rPr>
            </w:pPr>
          </w:p>
        </w:tc>
        <w:tc>
          <w:tcPr>
            <w:tcW w:w="1585" w:type="dxa"/>
            <w:shd w:val="clear" w:color="auto" w:fill="auto"/>
            <w:vAlign w:val="center"/>
          </w:tcPr>
          <w:p w14:paraId="6017938E">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样本存贮的温度管</w:t>
            </w:r>
          </w:p>
        </w:tc>
        <w:tc>
          <w:tcPr>
            <w:tcW w:w="5765" w:type="dxa"/>
            <w:shd w:val="clear" w:color="auto" w:fill="auto"/>
            <w:vAlign w:val="center"/>
          </w:tcPr>
          <w:p w14:paraId="3E9B61B2">
            <w:pPr>
              <w:pageBreakBefore w:val="0"/>
              <w:widowControl w:val="0"/>
              <w:kinsoku/>
              <w:wordWrap/>
              <w:overflowPunct/>
              <w:topLinePunct w:val="0"/>
              <w:autoSpaceDE/>
              <w:autoSpaceDN/>
              <w:bidi w:val="0"/>
              <w:adjustRightInd/>
              <w:snapToGrid/>
              <w:spacing w:line="312" w:lineRule="auto"/>
              <w:jc w:val="lef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可采集存储设备温度、留存温度数据并触发温度异常告警，记录标本入柜、出柜、销毁全流程信息，支持自定义冰箱柜层与架子规格，同时监控冰箱存储容量，对环境温湿度、氧浓度、氮浓度实时监测并异常报警。</w:t>
            </w:r>
          </w:p>
        </w:tc>
      </w:tr>
      <w:tr w14:paraId="5A19E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4" w:type="dxa"/>
            <w:vMerge w:val="continue"/>
            <w:vAlign w:val="center"/>
          </w:tcPr>
          <w:p w14:paraId="163319D4">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p>
        </w:tc>
        <w:tc>
          <w:tcPr>
            <w:tcW w:w="1585" w:type="dxa"/>
            <w:vMerge w:val="continue"/>
            <w:vAlign w:val="center"/>
          </w:tcPr>
          <w:p w14:paraId="6E72B658">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rPr>
            </w:pPr>
          </w:p>
        </w:tc>
        <w:tc>
          <w:tcPr>
            <w:tcW w:w="1585" w:type="dxa"/>
            <w:shd w:val="clear" w:color="auto" w:fill="auto"/>
            <w:vAlign w:val="center"/>
          </w:tcPr>
          <w:p w14:paraId="568E5FAD">
            <w:pPr>
              <w:pageBreakBefore w:val="0"/>
              <w:widowControl w:val="0"/>
              <w:kinsoku/>
              <w:wordWrap/>
              <w:overflowPunct/>
              <w:topLinePunct w:val="0"/>
              <w:autoSpaceDE/>
              <w:autoSpaceDN/>
              <w:bidi w:val="0"/>
              <w:adjustRightInd/>
              <w:snapToGrid/>
              <w:spacing w:line="312" w:lineRule="auto"/>
              <w:jc w:val="center"/>
              <w:textAlignment w:val="auto"/>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标本的查询统计</w:t>
            </w:r>
          </w:p>
        </w:tc>
        <w:tc>
          <w:tcPr>
            <w:tcW w:w="5765" w:type="dxa"/>
            <w:shd w:val="clear" w:color="auto" w:fill="auto"/>
            <w:vAlign w:val="center"/>
          </w:tcPr>
          <w:p w14:paraId="18931776">
            <w:pPr>
              <w:pageBreakBefore w:val="0"/>
              <w:widowControl w:val="0"/>
              <w:kinsoku/>
              <w:wordWrap/>
              <w:overflowPunct/>
              <w:topLinePunct w:val="0"/>
              <w:autoSpaceDE/>
              <w:autoSpaceDN/>
              <w:bidi w:val="0"/>
              <w:adjustRightInd/>
              <w:snapToGrid/>
              <w:spacing w:line="312" w:lineRule="auto"/>
              <w:jc w:val="lef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支持自定义模糊多条件检索、查询条件记忆、双向位置与标本信息互查、分存储设备专项统计、复苏与预录入信息单独查询，可对查询结果执行编辑、复苏、复制、导出 Excel、打印并生成工作量柱状图，同时对特殊稀世标本设置高权限查询管控。</w:t>
            </w:r>
          </w:p>
        </w:tc>
      </w:tr>
      <w:tr w14:paraId="188B3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4" w:type="dxa"/>
            <w:vMerge w:val="continue"/>
            <w:tcBorders/>
            <w:vAlign w:val="center"/>
          </w:tcPr>
          <w:p w14:paraId="682C89C2">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p>
        </w:tc>
        <w:tc>
          <w:tcPr>
            <w:tcW w:w="1585" w:type="dxa"/>
            <w:vMerge w:val="continue"/>
            <w:tcBorders/>
            <w:vAlign w:val="center"/>
          </w:tcPr>
          <w:p w14:paraId="2625224F">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rPr>
            </w:pPr>
          </w:p>
        </w:tc>
        <w:tc>
          <w:tcPr>
            <w:tcW w:w="1585" w:type="dxa"/>
            <w:shd w:val="clear" w:color="auto" w:fill="auto"/>
            <w:vAlign w:val="center"/>
          </w:tcPr>
          <w:p w14:paraId="07BF2235">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标本库存警告提醒</w:t>
            </w:r>
          </w:p>
        </w:tc>
        <w:tc>
          <w:tcPr>
            <w:tcW w:w="5765" w:type="dxa"/>
            <w:shd w:val="clear" w:color="auto" w:fill="auto"/>
            <w:vAlign w:val="center"/>
          </w:tcPr>
          <w:p w14:paraId="0BFB21C9">
            <w:pPr>
              <w:pageBreakBefore w:val="0"/>
              <w:widowControl w:val="0"/>
              <w:kinsoku/>
              <w:wordWrap/>
              <w:overflowPunct/>
              <w:topLinePunct w:val="0"/>
              <w:autoSpaceDE/>
              <w:autoSpaceDN/>
              <w:bidi w:val="0"/>
              <w:adjustRightInd/>
              <w:snapToGrid/>
              <w:spacing w:line="312" w:lineRule="auto"/>
              <w:jc w:val="left"/>
              <w:textAlignment w:val="auto"/>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针对不同的标本单独设置最低库存和提前报警天数,设置完成后，软件实现自动提示。</w:t>
            </w:r>
          </w:p>
        </w:tc>
      </w:tr>
      <w:tr w14:paraId="4E9B7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4" w:type="dxa"/>
            <w:vMerge w:val="continue"/>
            <w:tcBorders/>
            <w:vAlign w:val="center"/>
          </w:tcPr>
          <w:p w14:paraId="4FC398D5">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p>
        </w:tc>
        <w:tc>
          <w:tcPr>
            <w:tcW w:w="1585" w:type="dxa"/>
            <w:vMerge w:val="continue"/>
            <w:tcBorders/>
            <w:vAlign w:val="center"/>
          </w:tcPr>
          <w:p w14:paraId="4A3CB763">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rPr>
            </w:pPr>
          </w:p>
        </w:tc>
        <w:tc>
          <w:tcPr>
            <w:tcW w:w="1585" w:type="dxa"/>
            <w:shd w:val="clear" w:color="auto" w:fill="auto"/>
            <w:vAlign w:val="center"/>
          </w:tcPr>
          <w:p w14:paraId="59DFD46E">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识别和追踪样本的信息管理</w:t>
            </w:r>
          </w:p>
        </w:tc>
        <w:tc>
          <w:tcPr>
            <w:tcW w:w="5765" w:type="dxa"/>
            <w:shd w:val="clear" w:color="auto" w:fill="auto"/>
            <w:vAlign w:val="center"/>
          </w:tcPr>
          <w:p w14:paraId="6F0D2583">
            <w:pPr>
              <w:pageBreakBefore w:val="0"/>
              <w:widowControl w:val="0"/>
              <w:kinsoku/>
              <w:wordWrap/>
              <w:overflowPunct/>
              <w:topLinePunct w:val="0"/>
              <w:autoSpaceDE/>
              <w:autoSpaceDN/>
              <w:bidi w:val="0"/>
              <w:adjustRightInd/>
              <w:snapToGrid/>
              <w:spacing w:line="312" w:lineRule="auto"/>
              <w:jc w:val="lef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通过为每份样本分配唯一标识，实现分装样本关联原始样本、记录样本从采集到储运、返还全流程流转以及存储位置变更，完成全链路溯源管控。</w:t>
            </w:r>
          </w:p>
        </w:tc>
      </w:tr>
      <w:tr w14:paraId="60654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4" w:type="dxa"/>
            <w:vMerge w:val="continue"/>
            <w:tcBorders/>
            <w:vAlign w:val="center"/>
          </w:tcPr>
          <w:p w14:paraId="64E060E3">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p>
        </w:tc>
        <w:tc>
          <w:tcPr>
            <w:tcW w:w="1585" w:type="dxa"/>
            <w:vMerge w:val="continue"/>
            <w:tcBorders/>
            <w:vAlign w:val="center"/>
          </w:tcPr>
          <w:p w14:paraId="16149BA4">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rPr>
            </w:pPr>
          </w:p>
        </w:tc>
        <w:tc>
          <w:tcPr>
            <w:tcW w:w="1585" w:type="dxa"/>
            <w:shd w:val="clear" w:color="auto" w:fill="auto"/>
            <w:vAlign w:val="center"/>
          </w:tcPr>
          <w:p w14:paraId="14E548EE">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标本的质量控制</w:t>
            </w:r>
          </w:p>
        </w:tc>
        <w:tc>
          <w:tcPr>
            <w:tcW w:w="5765" w:type="dxa"/>
            <w:shd w:val="clear" w:color="auto" w:fill="auto"/>
            <w:vAlign w:val="center"/>
          </w:tcPr>
          <w:p w14:paraId="13ED0599">
            <w:pPr>
              <w:pageBreakBefore w:val="0"/>
              <w:widowControl w:val="0"/>
              <w:kinsoku/>
              <w:wordWrap/>
              <w:overflowPunct/>
              <w:topLinePunct w:val="0"/>
              <w:autoSpaceDE/>
              <w:autoSpaceDN/>
              <w:bidi w:val="0"/>
              <w:adjustRightInd/>
              <w:snapToGrid/>
              <w:spacing w:line="312" w:lineRule="auto"/>
              <w:jc w:val="lef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包括样本采集分装、入库、取样、出库整个过程中对样本质量的监控，避免样本出现污染、降解等质量问题。</w:t>
            </w:r>
          </w:p>
        </w:tc>
      </w:tr>
      <w:tr w14:paraId="058F2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4" w:type="dxa"/>
            <w:vMerge w:val="continue"/>
            <w:tcBorders/>
            <w:vAlign w:val="center"/>
          </w:tcPr>
          <w:p w14:paraId="10E9B0AE">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p>
        </w:tc>
        <w:tc>
          <w:tcPr>
            <w:tcW w:w="1585" w:type="dxa"/>
            <w:vMerge w:val="continue"/>
            <w:tcBorders/>
            <w:vAlign w:val="center"/>
          </w:tcPr>
          <w:p w14:paraId="00C12382">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rPr>
            </w:pPr>
          </w:p>
        </w:tc>
        <w:tc>
          <w:tcPr>
            <w:tcW w:w="1585" w:type="dxa"/>
            <w:shd w:val="clear" w:color="auto" w:fill="auto"/>
            <w:vAlign w:val="center"/>
          </w:tcPr>
          <w:p w14:paraId="6EBEA0DC">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配套临床资料的管理</w:t>
            </w:r>
          </w:p>
        </w:tc>
        <w:tc>
          <w:tcPr>
            <w:tcW w:w="5765" w:type="dxa"/>
            <w:shd w:val="clear" w:color="auto" w:fill="auto"/>
            <w:vAlign w:val="center"/>
          </w:tcPr>
          <w:p w14:paraId="3DD90DAA">
            <w:pPr>
              <w:pageBreakBefore w:val="0"/>
              <w:widowControl w:val="0"/>
              <w:kinsoku/>
              <w:wordWrap/>
              <w:overflowPunct/>
              <w:topLinePunct w:val="0"/>
              <w:autoSpaceDE/>
              <w:autoSpaceDN/>
              <w:bidi w:val="0"/>
              <w:adjustRightInd/>
              <w:snapToGrid/>
              <w:spacing w:line="312" w:lineRule="auto"/>
              <w:jc w:val="lef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配套临床资料管理用于留存完整患者临床资料，保障样本可支撑临床科研筛选分析，建立患者症状与基因、蛋白表达的关联，保障样本科研价值。</w:t>
            </w:r>
          </w:p>
        </w:tc>
      </w:tr>
      <w:tr w14:paraId="60A45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4" w:type="dxa"/>
            <w:vMerge w:val="continue"/>
            <w:tcBorders/>
            <w:vAlign w:val="center"/>
          </w:tcPr>
          <w:p w14:paraId="4E931253">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lang w:val="en-US" w:eastAsia="zh-CN"/>
              </w:rPr>
            </w:pPr>
          </w:p>
        </w:tc>
        <w:tc>
          <w:tcPr>
            <w:tcW w:w="1585" w:type="dxa"/>
            <w:vMerge w:val="continue"/>
            <w:tcBorders/>
            <w:vAlign w:val="center"/>
          </w:tcPr>
          <w:p w14:paraId="12FA8A2A">
            <w:pPr>
              <w:pageBreakBefore w:val="0"/>
              <w:widowControl w:val="0"/>
              <w:kinsoku/>
              <w:wordWrap/>
              <w:overflowPunct/>
              <w:topLinePunct w:val="0"/>
              <w:autoSpaceDE/>
              <w:autoSpaceDN/>
              <w:bidi w:val="0"/>
              <w:adjustRightInd/>
              <w:snapToGrid/>
              <w:spacing w:line="312" w:lineRule="auto"/>
              <w:jc w:val="center"/>
              <w:textAlignment w:val="auto"/>
              <w:rPr>
                <w:rFonts w:hint="eastAsia" w:ascii="仿宋_GB2312" w:hAnsi="仿宋_GB2312" w:eastAsia="仿宋_GB2312" w:cs="仿宋_GB2312"/>
              </w:rPr>
            </w:pPr>
          </w:p>
        </w:tc>
        <w:tc>
          <w:tcPr>
            <w:tcW w:w="1585" w:type="dxa"/>
            <w:shd w:val="clear" w:color="auto" w:fill="auto"/>
            <w:vAlign w:val="center"/>
          </w:tcPr>
          <w:p w14:paraId="27626A1E">
            <w:pPr>
              <w:pageBreakBefore w:val="0"/>
              <w:widowControl w:val="0"/>
              <w:kinsoku/>
              <w:wordWrap/>
              <w:overflowPunct/>
              <w:topLinePunct w:val="0"/>
              <w:autoSpaceDE/>
              <w:autoSpaceDN/>
              <w:bidi w:val="0"/>
              <w:adjustRightInd/>
              <w:snapToGrid/>
              <w:spacing w:line="312" w:lineRule="auto"/>
              <w:jc w:val="center"/>
              <w:textAlignment w:val="auto"/>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保存箱空间利用率</w:t>
            </w:r>
          </w:p>
        </w:tc>
        <w:tc>
          <w:tcPr>
            <w:tcW w:w="5765" w:type="dxa"/>
            <w:shd w:val="clear" w:color="auto" w:fill="auto"/>
            <w:vAlign w:val="center"/>
          </w:tcPr>
          <w:p w14:paraId="33BA63AF">
            <w:pPr>
              <w:pageBreakBefore w:val="0"/>
              <w:widowControl w:val="0"/>
              <w:kinsoku/>
              <w:wordWrap/>
              <w:overflowPunct/>
              <w:topLinePunct w:val="0"/>
              <w:autoSpaceDE/>
              <w:autoSpaceDN/>
              <w:bidi w:val="0"/>
              <w:adjustRightInd/>
              <w:snapToGrid/>
              <w:spacing w:line="312" w:lineRule="auto"/>
              <w:jc w:val="lef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保存箱空间利用率相关功能支持多条件检索病例、扫码调取标本详情、查看单病例标本存放与使用余量信息，依托库位规划管理支撑标本出入库，实现存储空间高效管控利用。</w:t>
            </w:r>
          </w:p>
        </w:tc>
      </w:tr>
    </w:tbl>
    <w:p w14:paraId="532525F2">
      <w:pPr>
        <w:pStyle w:val="2"/>
        <w:pageBreakBefore w:val="0"/>
        <w:widowControl w:val="0"/>
        <w:kinsoku/>
        <w:wordWrap/>
        <w:overflowPunct/>
        <w:topLinePunct w:val="0"/>
        <w:autoSpaceDE/>
        <w:autoSpaceDN/>
        <w:bidi w:val="0"/>
        <w:adjustRightInd/>
        <w:snapToGrid/>
        <w:spacing w:after="0" w:line="312" w:lineRule="auto"/>
        <w:textAlignment w:val="auto"/>
        <w:rPr>
          <w:rFonts w:hint="eastAsia" w:ascii="仿宋_GB2312" w:hAnsi="仿宋_GB2312" w:eastAsia="仿宋_GB2312" w:cs="仿宋_GB2312"/>
          <w:b/>
          <w:bCs/>
          <w:color w:val="auto"/>
          <w:sz w:val="28"/>
          <w:lang w:val="en-US"/>
        </w:rPr>
      </w:pPr>
      <w:r>
        <w:rPr>
          <w:rFonts w:hint="eastAsia" w:ascii="仿宋_GB2312" w:hAnsi="仿宋_GB2312" w:eastAsia="仿宋_GB2312" w:cs="仿宋_GB2312"/>
          <w:b/>
          <w:bCs/>
          <w:color w:val="auto"/>
          <w:sz w:val="28"/>
          <w:lang w:val="en-US"/>
        </w:rPr>
        <w:t>三、对接口及系统改造的要求</w:t>
      </w:r>
    </w:p>
    <w:p w14:paraId="51A3C21C">
      <w:pPr>
        <w:pageBreakBefore w:val="0"/>
        <w:widowControl w:val="0"/>
        <w:kinsoku/>
        <w:wordWrap/>
        <w:overflowPunct/>
        <w:topLinePunct w:val="0"/>
        <w:autoSpaceDE/>
        <w:autoSpaceDN/>
        <w:bidi w:val="0"/>
        <w:adjustRightInd/>
        <w:snapToGrid/>
        <w:spacing w:line="312" w:lineRule="auto"/>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ab/>
      </w:r>
      <w:r>
        <w:rPr>
          <w:rFonts w:hint="eastAsia" w:ascii="仿宋_GB2312" w:hAnsi="仿宋_GB2312" w:eastAsia="仿宋_GB2312" w:cs="仿宋_GB2312"/>
          <w:b/>
          <w:bCs/>
          <w:color w:val="auto"/>
          <w:sz w:val="24"/>
          <w:szCs w:val="24"/>
          <w:lang w:val="en-US" w:eastAsia="zh-CN"/>
        </w:rPr>
        <w:t>维保期</w:t>
      </w:r>
      <w:r>
        <w:rPr>
          <w:rFonts w:hint="eastAsia" w:ascii="仿宋_GB2312" w:hAnsi="仿宋_GB2312" w:eastAsia="仿宋_GB2312" w:cs="仿宋_GB2312"/>
          <w:b/>
          <w:bCs/>
          <w:color w:val="auto"/>
          <w:sz w:val="24"/>
          <w:szCs w:val="24"/>
        </w:rPr>
        <w:t>和续保期内免费实现以下要求：</w:t>
      </w:r>
    </w:p>
    <w:p w14:paraId="6286447B">
      <w:pPr>
        <w:pStyle w:val="2"/>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仿宋_GB2312" w:hAnsi="仿宋_GB2312" w:eastAsia="仿宋_GB2312" w:cs="仿宋_GB2312"/>
          <w:color w:val="auto"/>
          <w:sz w:val="24"/>
          <w:lang w:val="en-US"/>
        </w:rPr>
      </w:pPr>
      <w:r>
        <w:rPr>
          <w:rFonts w:hint="eastAsia" w:ascii="仿宋_GB2312" w:hAnsi="仿宋_GB2312" w:eastAsia="仿宋_GB2312" w:cs="仿宋_GB2312"/>
          <w:color w:val="auto"/>
          <w:sz w:val="24"/>
          <w:lang w:val="en-US"/>
        </w:rPr>
        <w:t>3.1提供全面的接口技术，与第三方系统共享数据和功能，这些接口技术包括中间件技术接口、WEBSEVICE通用接口、数据库级接口、文件文本接口等。</w:t>
      </w:r>
    </w:p>
    <w:p w14:paraId="7977E2CA">
      <w:pPr>
        <w:pStyle w:val="2"/>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仿宋_GB2312" w:hAnsi="仿宋_GB2312" w:eastAsia="仿宋_GB2312" w:cs="仿宋_GB2312"/>
          <w:color w:val="000000" w:themeColor="text1"/>
          <w:sz w:val="24"/>
          <w:highlight w:val="none"/>
          <w:lang w:val="en-US"/>
          <w14:textFill>
            <w14:solidFill>
              <w14:schemeClr w14:val="tx1"/>
            </w14:solidFill>
          </w14:textFill>
        </w:rPr>
      </w:pPr>
      <w:r>
        <w:rPr>
          <w:rFonts w:hint="eastAsia" w:ascii="仿宋_GB2312" w:hAnsi="仿宋_GB2312" w:eastAsia="仿宋_GB2312" w:cs="仿宋_GB2312"/>
          <w:color w:val="000000" w:themeColor="text1"/>
          <w:sz w:val="24"/>
          <w:highlight w:val="none"/>
          <w:lang w:val="en-US"/>
          <w14:textFill>
            <w14:solidFill>
              <w14:schemeClr w14:val="tx1"/>
            </w14:solidFill>
          </w14:textFill>
        </w:rPr>
        <w:t>3.2提供与医院第三方系统统一接口的维护与管理，与HIS、电子病历、LIS、PACS、心电系统、体检系统、集成平台、智慧运营平台、成本管理系统、排班系统、人力资源管理系统、财务管理系统、互联网医院、OA平台、</w:t>
      </w: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SPD耗材管理系统、</w:t>
      </w:r>
      <w:r>
        <w:rPr>
          <w:rFonts w:hint="eastAsia" w:ascii="仿宋_GB2312" w:hAnsi="仿宋_GB2312" w:eastAsia="仿宋_GB2312" w:cs="仿宋_GB2312"/>
          <w:color w:val="000000" w:themeColor="text1"/>
          <w:sz w:val="24"/>
          <w:highlight w:val="none"/>
          <w:lang w:val="en-US"/>
          <w14:textFill>
            <w14:solidFill>
              <w14:schemeClr w14:val="tx1"/>
            </w14:solidFill>
          </w14:textFill>
        </w:rPr>
        <w:t>自助服务平台、DRG管理、绩效管理、电子发票、短信平台、财务域、资产域、数据资产平台等其他所有医院相关业务系统（包括以上医院系统但不仅限于以上系统）进行免费接口对接，实现数据交换。</w:t>
      </w:r>
    </w:p>
    <w:p w14:paraId="53F0A851">
      <w:pPr>
        <w:pStyle w:val="2"/>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仿宋_GB2312" w:hAnsi="仿宋_GB2312" w:eastAsia="仿宋_GB2312" w:cs="仿宋_GB2312"/>
          <w:color w:val="auto"/>
          <w:sz w:val="24"/>
          <w:lang w:val="en-US"/>
        </w:rPr>
      </w:pPr>
      <w:r>
        <w:rPr>
          <w:rFonts w:hint="eastAsia" w:ascii="仿宋_GB2312" w:hAnsi="仿宋_GB2312" w:eastAsia="仿宋_GB2312" w:cs="仿宋_GB2312"/>
          <w:color w:val="auto"/>
          <w:sz w:val="24"/>
          <w:lang w:val="en-US"/>
        </w:rPr>
        <w:t>3.3满足医院电子病历系统功能应用水平分级评价达到6级以上评审、医院信息互联互通标准化成熟度测评达到</w:t>
      </w:r>
      <w:r>
        <w:rPr>
          <w:rFonts w:hint="eastAsia" w:ascii="仿宋_GB2312" w:hAnsi="仿宋_GB2312" w:eastAsia="仿宋_GB2312" w:cs="仿宋_GB2312"/>
          <w:color w:val="auto"/>
          <w:sz w:val="24"/>
          <w:lang w:val="en-US" w:eastAsia="zh-CN"/>
        </w:rPr>
        <w:t>五</w:t>
      </w:r>
      <w:r>
        <w:rPr>
          <w:rFonts w:hint="eastAsia" w:ascii="仿宋_GB2312" w:hAnsi="仿宋_GB2312" w:eastAsia="仿宋_GB2312" w:cs="仿宋_GB2312"/>
          <w:color w:val="auto"/>
          <w:sz w:val="24"/>
          <w:lang w:val="en-US"/>
        </w:rPr>
        <w:t>级</w:t>
      </w:r>
      <w:r>
        <w:rPr>
          <w:rFonts w:hint="eastAsia" w:ascii="仿宋_GB2312" w:hAnsi="仿宋_GB2312" w:eastAsia="仿宋_GB2312" w:cs="仿宋_GB2312"/>
          <w:color w:val="auto"/>
          <w:sz w:val="24"/>
          <w:lang w:val="en-US" w:eastAsia="zh-CN"/>
        </w:rPr>
        <w:t>乙</w:t>
      </w:r>
      <w:r>
        <w:rPr>
          <w:rFonts w:hint="eastAsia" w:ascii="仿宋_GB2312" w:hAnsi="仿宋_GB2312" w:eastAsia="仿宋_GB2312" w:cs="仿宋_GB2312"/>
          <w:color w:val="auto"/>
          <w:sz w:val="24"/>
          <w:lang w:val="en-US"/>
        </w:rPr>
        <w:t>等以上水平评审、信息系统安全等级保护三级测评、三甲医院评审、医院智慧服务分级评估标准体系达到4级以上相关的功能要求、医院智慧管理分级评估标准体系达到4级以上相关的功能要求、网络攻防演练中的安全防护要求以及医院其他需要评审的信息化技术改造服务要求；</w:t>
      </w:r>
    </w:p>
    <w:p w14:paraId="6EA67C6A">
      <w:pPr>
        <w:pStyle w:val="2"/>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仿宋_GB2312" w:hAnsi="仿宋_GB2312" w:eastAsia="仿宋_GB2312" w:cs="仿宋_GB2312"/>
          <w:color w:val="auto"/>
          <w:sz w:val="24"/>
          <w:lang w:val="en-US"/>
        </w:rPr>
      </w:pPr>
      <w:r>
        <w:rPr>
          <w:rFonts w:hint="eastAsia" w:ascii="仿宋_GB2312" w:hAnsi="仿宋_GB2312" w:eastAsia="仿宋_GB2312" w:cs="仿宋_GB2312"/>
          <w:color w:val="auto"/>
          <w:sz w:val="24"/>
          <w:lang w:val="en-US"/>
        </w:rPr>
        <w:t>3.4提供软件免费升级及个性化修改服务，免费实现院方的个性化需求；软件自身错误类问题提供永久性免费修改服务；</w:t>
      </w:r>
    </w:p>
    <w:p w14:paraId="3211BEAA">
      <w:pPr>
        <w:pStyle w:val="11"/>
        <w:spacing w:line="360" w:lineRule="auto"/>
        <w:ind w:left="0" w:leftChars="0" w:firstLine="420" w:firstLineChars="0"/>
        <w:rPr>
          <w:rFonts w:hint="eastAsia" w:ascii="仿宋_GB2312" w:hAnsi="仿宋_GB2312" w:eastAsia="仿宋_GB2312" w:cs="仿宋_GB2312"/>
          <w:color w:val="auto"/>
          <w:sz w:val="24"/>
          <w:lang w:val="en-US"/>
        </w:rPr>
      </w:pPr>
      <w:r>
        <w:rPr>
          <w:rFonts w:hint="eastAsia" w:ascii="仿宋_GB2312" w:hAnsi="仿宋_GB2312" w:eastAsia="仿宋_GB2312" w:cs="仿宋_GB2312"/>
          <w:color w:val="auto"/>
          <w:sz w:val="24"/>
          <w:lang w:val="en-US"/>
        </w:rPr>
        <w:t>3.5免费提供医院新增业务信息系统的对接、免费实现医院上级管理部门要求的系统接口对接要求。</w:t>
      </w:r>
    </w:p>
    <w:p w14:paraId="1DF04AA8">
      <w:pPr>
        <w:pStyle w:val="11"/>
        <w:spacing w:line="360" w:lineRule="auto"/>
        <w:ind w:left="0" w:leftChars="0" w:firstLine="420" w:firstLineChars="0"/>
        <w:rPr>
          <w:rFonts w:hint="eastAsia" w:ascii="仿宋_GB2312" w:hAnsi="仿宋_GB2312" w:eastAsia="仿宋_GB2312" w:cs="仿宋_GB2312"/>
          <w:color w:val="auto"/>
          <w:sz w:val="24"/>
          <w:lang w:val="en-US"/>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若医院更换已对接的业务系统、乙方须免费提供与新业务系统的对接及联调服务。</w:t>
      </w:r>
    </w:p>
    <w:p w14:paraId="3A68B36D">
      <w:pPr>
        <w:pStyle w:val="2"/>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仿宋_GB2312" w:hAnsi="仿宋_GB2312" w:eastAsia="仿宋_GB2312" w:cs="仿宋_GB2312"/>
          <w:color w:val="auto"/>
          <w:sz w:val="24"/>
          <w:highlight w:val="none"/>
          <w:lang w:val="en-US" w:eastAsia="zh-CN"/>
        </w:rPr>
      </w:pPr>
      <w:r>
        <w:rPr>
          <w:rFonts w:hint="eastAsia" w:ascii="仿宋_GB2312" w:hAnsi="仿宋_GB2312" w:eastAsia="仿宋_GB2312" w:cs="仿宋_GB2312"/>
          <w:color w:val="auto"/>
          <w:sz w:val="24"/>
          <w:highlight w:val="none"/>
          <w:lang w:val="en-US" w:eastAsia="zh-CN"/>
        </w:rPr>
        <w:t>3.7项目软硬件系统不限定用户数、并发数、不限定医疗集团内部及院区使用。</w:t>
      </w:r>
    </w:p>
    <w:p w14:paraId="55F8AA03">
      <w:pPr>
        <w:pStyle w:val="3"/>
        <w:pageBreakBefore w:val="0"/>
        <w:widowControl w:val="0"/>
        <w:numPr>
          <w:ilvl w:val="0"/>
          <w:numId w:val="0"/>
        </w:numPr>
        <w:kinsoku/>
        <w:wordWrap/>
        <w:overflowPunct/>
        <w:topLinePunct w:val="0"/>
        <w:autoSpaceDE/>
        <w:autoSpaceDN/>
        <w:bidi w:val="0"/>
        <w:adjustRightInd/>
        <w:snapToGrid/>
        <w:spacing w:before="0" w:after="0" w:line="312" w:lineRule="auto"/>
        <w:textAlignment w:val="auto"/>
        <w:rPr>
          <w:rFonts w:hint="eastAsia" w:ascii="仿宋_GB2312" w:hAnsi="仿宋_GB2312" w:eastAsia="仿宋_GB2312" w:cs="仿宋_GB2312"/>
          <w:bCs w:val="0"/>
          <w:sz w:val="32"/>
          <w:szCs w:val="32"/>
        </w:rPr>
      </w:pPr>
      <w:r>
        <w:rPr>
          <w:rFonts w:hint="eastAsia" w:ascii="仿宋_GB2312" w:hAnsi="仿宋_GB2312" w:eastAsia="仿宋_GB2312" w:cs="仿宋_GB2312"/>
          <w:bCs w:val="0"/>
          <w:sz w:val="32"/>
          <w:szCs w:val="32"/>
        </w:rPr>
        <w:t>四、项目实施要求</w:t>
      </w:r>
    </w:p>
    <w:p w14:paraId="3D34FA8E">
      <w:pPr>
        <w:pStyle w:val="2"/>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仿宋_GB2312" w:hAnsi="仿宋_GB2312" w:eastAsia="仿宋_GB2312" w:cs="仿宋_GB2312"/>
          <w:color w:val="auto"/>
          <w:sz w:val="24"/>
          <w:lang w:val="en-US"/>
        </w:rPr>
      </w:pPr>
      <w:r>
        <w:rPr>
          <w:rFonts w:hint="eastAsia" w:ascii="仿宋_GB2312" w:hAnsi="仿宋_GB2312" w:eastAsia="仿宋_GB2312" w:cs="仿宋_GB2312"/>
          <w:color w:val="auto"/>
          <w:sz w:val="24"/>
          <w:lang w:val="en-US"/>
        </w:rPr>
        <w:t>4.1驻场、实施工期要求：合同签订后，7个工作日内项目实施人员必须进场</w:t>
      </w:r>
      <w:r>
        <w:rPr>
          <w:rFonts w:hint="eastAsia" w:ascii="仿宋_GB2312" w:hAnsi="仿宋_GB2312" w:eastAsia="仿宋_GB2312" w:cs="仿宋_GB2312"/>
          <w:color w:val="auto"/>
          <w:sz w:val="24"/>
          <w:lang w:val="en-US" w:eastAsia="zh-CN"/>
        </w:rPr>
        <w:t>，系统需在3</w:t>
      </w:r>
      <w:r>
        <w:rPr>
          <w:rFonts w:hint="eastAsia" w:ascii="仿宋_GB2312" w:hAnsi="仿宋_GB2312" w:eastAsia="仿宋_GB2312" w:cs="仿宋_GB2312"/>
          <w:color w:val="auto"/>
          <w:sz w:val="24"/>
          <w:lang w:val="en-US"/>
        </w:rPr>
        <w:t>个月内完成项目实施上线</w:t>
      </w:r>
      <w:r>
        <w:rPr>
          <w:rFonts w:hint="eastAsia" w:ascii="仿宋_GB2312" w:hAnsi="仿宋_GB2312" w:eastAsia="仿宋_GB2312" w:cs="仿宋_GB2312"/>
          <w:color w:val="auto"/>
          <w:sz w:val="24"/>
          <w:lang w:val="en-US" w:eastAsia="zh-CN"/>
        </w:rPr>
        <w:t>，请分别列出每个系统实施的工作计划及周期</w:t>
      </w:r>
      <w:r>
        <w:rPr>
          <w:rFonts w:hint="eastAsia" w:ascii="仿宋_GB2312" w:hAnsi="仿宋_GB2312" w:eastAsia="仿宋_GB2312" w:cs="仿宋_GB2312"/>
          <w:color w:val="auto"/>
          <w:sz w:val="24"/>
          <w:lang w:val="en-US"/>
        </w:rPr>
        <w:t>。</w:t>
      </w:r>
    </w:p>
    <w:p w14:paraId="28218E22">
      <w:pPr>
        <w:pStyle w:val="2"/>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仿宋_GB2312" w:hAnsi="仿宋_GB2312" w:eastAsia="仿宋_GB2312" w:cs="仿宋_GB2312"/>
          <w:color w:val="auto"/>
          <w:sz w:val="24"/>
          <w:lang w:val="en-US"/>
        </w:rPr>
      </w:pPr>
      <w:r>
        <w:rPr>
          <w:rFonts w:hint="eastAsia" w:ascii="仿宋_GB2312" w:hAnsi="仿宋_GB2312" w:eastAsia="仿宋_GB2312" w:cs="仿宋_GB2312"/>
          <w:color w:val="auto"/>
          <w:sz w:val="24"/>
          <w:lang w:val="en-US"/>
        </w:rPr>
        <w:t>4.2</w:t>
      </w:r>
      <w:r>
        <w:rPr>
          <w:rFonts w:hint="eastAsia" w:ascii="仿宋_GB2312" w:hAnsi="仿宋_GB2312" w:eastAsia="仿宋_GB2312" w:cs="仿宋_GB2312"/>
          <w:color w:val="auto"/>
          <w:sz w:val="24"/>
          <w:lang w:val="en-US" w:eastAsia="zh-CN"/>
        </w:rPr>
        <w:t>驻场</w:t>
      </w:r>
      <w:r>
        <w:rPr>
          <w:rFonts w:hint="eastAsia" w:ascii="仿宋_GB2312" w:hAnsi="仿宋_GB2312" w:eastAsia="仿宋_GB2312" w:cs="仿宋_GB2312"/>
          <w:color w:val="auto"/>
          <w:sz w:val="24"/>
          <w:lang w:val="en-US"/>
        </w:rPr>
        <w:t>人员要求：</w:t>
      </w:r>
    </w:p>
    <w:p w14:paraId="7F1C6CFD">
      <w:pPr>
        <w:pStyle w:val="2"/>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仿宋_GB2312" w:hAnsi="仿宋_GB2312" w:eastAsia="仿宋_GB2312" w:cs="仿宋_GB2312"/>
          <w:color w:val="auto"/>
          <w:sz w:val="24"/>
          <w:lang w:val="en-US" w:eastAsia="zh-CN"/>
        </w:rPr>
      </w:pPr>
      <w:r>
        <w:rPr>
          <w:rFonts w:hint="eastAsia" w:ascii="仿宋_GB2312" w:hAnsi="仿宋_GB2312" w:eastAsia="仿宋_GB2312" w:cs="仿宋_GB2312"/>
          <w:color w:val="auto"/>
          <w:sz w:val="24"/>
          <w:lang w:val="en-US" w:eastAsia="zh-CN"/>
        </w:rPr>
        <w:t>实施工程师：</w:t>
      </w:r>
      <w:r>
        <w:rPr>
          <w:rFonts w:hint="eastAsia" w:ascii="仿宋_GB2312" w:hAnsi="仿宋_GB2312" w:eastAsia="仿宋_GB2312" w:cs="仿宋_GB2312"/>
          <w:color w:val="auto"/>
          <w:sz w:val="24"/>
          <w:lang w:val="en-US"/>
        </w:rPr>
        <w:t>项目驻场实施</w:t>
      </w:r>
      <w:r>
        <w:rPr>
          <w:rFonts w:hint="eastAsia" w:ascii="仿宋_GB2312" w:hAnsi="仿宋_GB2312" w:eastAsia="仿宋_GB2312" w:cs="仿宋_GB2312"/>
          <w:color w:val="auto"/>
          <w:sz w:val="24"/>
          <w:lang w:val="en-US" w:eastAsia="zh-CN"/>
        </w:rPr>
        <w:t>工程师</w:t>
      </w:r>
      <w:r>
        <w:rPr>
          <w:rFonts w:hint="eastAsia" w:ascii="仿宋_GB2312" w:hAnsi="仿宋_GB2312" w:eastAsia="仿宋_GB2312" w:cs="仿宋_GB2312"/>
          <w:color w:val="auto"/>
          <w:sz w:val="24"/>
          <w:lang w:val="en-US"/>
        </w:rPr>
        <w:t>需有2年以上</w:t>
      </w:r>
      <w:r>
        <w:rPr>
          <w:rFonts w:hint="eastAsia" w:ascii="仿宋_GB2312" w:hAnsi="仿宋_GB2312" w:eastAsia="仿宋_GB2312" w:cs="仿宋_GB2312"/>
          <w:color w:val="auto"/>
          <w:sz w:val="24"/>
          <w:lang w:val="en-US" w:eastAsia="zh-CN"/>
        </w:rPr>
        <w:t>本厂商</w:t>
      </w:r>
      <w:r>
        <w:rPr>
          <w:rFonts w:hint="eastAsia" w:ascii="仿宋_GB2312" w:hAnsi="仿宋_GB2312" w:eastAsia="仿宋_GB2312" w:cs="仿宋_GB2312"/>
          <w:color w:val="auto"/>
          <w:sz w:val="24"/>
          <w:lang w:val="en-US"/>
        </w:rPr>
        <w:t>同等项目实施经验</w:t>
      </w:r>
      <w:r>
        <w:rPr>
          <w:rFonts w:hint="eastAsia" w:ascii="仿宋_GB2312" w:hAnsi="仿宋_GB2312" w:eastAsia="仿宋_GB2312" w:cs="仿宋_GB2312"/>
          <w:color w:val="auto"/>
          <w:sz w:val="24"/>
          <w:lang w:val="en-US" w:eastAsia="zh-CN"/>
        </w:rPr>
        <w:t>。</w:t>
      </w:r>
      <w:r>
        <w:rPr>
          <w:rFonts w:hint="eastAsia" w:ascii="仿宋_GB2312" w:hAnsi="仿宋_GB2312" w:eastAsia="仿宋_GB2312" w:cs="仿宋_GB2312"/>
          <w:color w:val="auto"/>
          <w:sz w:val="24"/>
          <w:lang w:val="en-US"/>
        </w:rPr>
        <w:t>项目实施</w:t>
      </w:r>
      <w:r>
        <w:rPr>
          <w:rFonts w:hint="eastAsia" w:ascii="仿宋_GB2312" w:hAnsi="仿宋_GB2312" w:eastAsia="仿宋_GB2312" w:cs="仿宋_GB2312"/>
          <w:color w:val="auto"/>
          <w:sz w:val="24"/>
          <w:lang w:val="en-US" w:eastAsia="zh-CN"/>
        </w:rPr>
        <w:t>阶段</w:t>
      </w:r>
      <w:r>
        <w:rPr>
          <w:rFonts w:hint="eastAsia" w:ascii="仿宋_GB2312" w:hAnsi="仿宋_GB2312" w:eastAsia="仿宋_GB2312" w:cs="仿宋_GB2312"/>
          <w:color w:val="auto"/>
          <w:sz w:val="24"/>
          <w:lang w:val="en-US"/>
        </w:rPr>
        <w:t>，</w:t>
      </w:r>
      <w:r>
        <w:rPr>
          <w:rFonts w:hint="eastAsia" w:ascii="仿宋_GB2312" w:hAnsi="仿宋_GB2312" w:eastAsia="仿宋_GB2312" w:cs="仿宋_GB2312"/>
          <w:color w:val="auto"/>
          <w:sz w:val="24"/>
          <w:lang w:val="en-US" w:eastAsia="zh-CN"/>
        </w:rPr>
        <w:t>驻场</w:t>
      </w:r>
      <w:r>
        <w:rPr>
          <w:rFonts w:hint="eastAsia" w:ascii="仿宋_GB2312" w:hAnsi="仿宋_GB2312" w:eastAsia="仿宋_GB2312" w:cs="仿宋_GB2312"/>
          <w:color w:val="auto"/>
          <w:sz w:val="24"/>
          <w:lang w:val="en-US"/>
        </w:rPr>
        <w:t>实施</w:t>
      </w:r>
      <w:r>
        <w:rPr>
          <w:rFonts w:hint="eastAsia" w:ascii="仿宋_GB2312" w:hAnsi="仿宋_GB2312" w:eastAsia="仿宋_GB2312" w:cs="仿宋_GB2312"/>
          <w:color w:val="auto"/>
          <w:sz w:val="24"/>
          <w:lang w:val="en-US" w:eastAsia="zh-CN"/>
        </w:rPr>
        <w:t>工程师</w:t>
      </w:r>
      <w:r>
        <w:rPr>
          <w:rFonts w:hint="eastAsia" w:ascii="仿宋_GB2312" w:hAnsi="仿宋_GB2312" w:eastAsia="仿宋_GB2312" w:cs="仿宋_GB2312"/>
          <w:color w:val="auto"/>
          <w:sz w:val="24"/>
          <w:lang w:val="en-US"/>
        </w:rPr>
        <w:t>不得少</w:t>
      </w:r>
      <w:r>
        <w:rPr>
          <w:rFonts w:hint="eastAsia" w:ascii="仿宋_GB2312" w:hAnsi="仿宋_GB2312" w:eastAsia="仿宋_GB2312" w:cs="仿宋_GB2312"/>
          <w:color w:val="auto"/>
          <w:sz w:val="24"/>
          <w:lang w:val="en-US" w:eastAsia="zh-CN"/>
        </w:rPr>
        <w:t>于1名。</w:t>
      </w:r>
    </w:p>
    <w:p w14:paraId="0D6B03AE">
      <w:pPr>
        <w:pStyle w:val="2"/>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仿宋_GB2312" w:hAnsi="仿宋_GB2312" w:eastAsia="仿宋_GB2312" w:cs="仿宋_GB2312"/>
          <w:color w:val="auto"/>
          <w:sz w:val="24"/>
          <w:lang w:val="en-US" w:eastAsia="zh-CN"/>
        </w:rPr>
      </w:pPr>
      <w:r>
        <w:rPr>
          <w:rFonts w:hint="eastAsia" w:ascii="仿宋_GB2312" w:hAnsi="仿宋_GB2312" w:eastAsia="仿宋_GB2312" w:cs="仿宋_GB2312"/>
          <w:color w:val="auto"/>
          <w:sz w:val="24"/>
          <w:lang w:val="en-US"/>
        </w:rPr>
        <w:t>如需更换</w:t>
      </w:r>
      <w:r>
        <w:rPr>
          <w:rFonts w:hint="eastAsia" w:ascii="仿宋_GB2312" w:hAnsi="仿宋_GB2312" w:eastAsia="仿宋_GB2312" w:cs="仿宋_GB2312"/>
          <w:color w:val="auto"/>
          <w:sz w:val="24"/>
          <w:lang w:val="en-US" w:eastAsia="zh-CN"/>
        </w:rPr>
        <w:t>实施工程师</w:t>
      </w:r>
      <w:r>
        <w:rPr>
          <w:rFonts w:hint="eastAsia" w:ascii="仿宋_GB2312" w:hAnsi="仿宋_GB2312" w:eastAsia="仿宋_GB2312" w:cs="仿宋_GB2312"/>
          <w:color w:val="auto"/>
          <w:sz w:val="24"/>
          <w:lang w:val="en-US"/>
        </w:rPr>
        <w:t>，</w:t>
      </w:r>
      <w:r>
        <w:rPr>
          <w:rFonts w:hint="eastAsia" w:ascii="仿宋_GB2312" w:hAnsi="仿宋_GB2312" w:eastAsia="仿宋_GB2312" w:cs="仿宋_GB2312"/>
          <w:color w:val="auto"/>
          <w:sz w:val="24"/>
          <w:lang w:val="en-US" w:eastAsia="zh-CN"/>
        </w:rPr>
        <w:t>厂商</w:t>
      </w:r>
      <w:r>
        <w:rPr>
          <w:rFonts w:hint="eastAsia" w:ascii="仿宋_GB2312" w:hAnsi="仿宋_GB2312" w:eastAsia="仿宋_GB2312" w:cs="仿宋_GB2312"/>
          <w:color w:val="auto"/>
          <w:sz w:val="24"/>
          <w:lang w:val="en-US"/>
        </w:rPr>
        <w:t>需提交书面申请，经院方同意才可更换。</w:t>
      </w:r>
    </w:p>
    <w:p w14:paraId="083493AD">
      <w:pPr>
        <w:pStyle w:val="2"/>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仿宋_GB2312" w:hAnsi="仿宋_GB2312" w:eastAsia="仿宋_GB2312" w:cs="仿宋_GB2312"/>
          <w:color w:val="auto"/>
          <w:sz w:val="24"/>
          <w:lang w:val="en-US" w:eastAsia="zh-CN"/>
        </w:rPr>
      </w:pPr>
      <w:r>
        <w:rPr>
          <w:rFonts w:hint="eastAsia" w:ascii="仿宋_GB2312" w:hAnsi="仿宋_GB2312" w:eastAsia="仿宋_GB2312" w:cs="仿宋_GB2312"/>
          <w:color w:val="auto"/>
          <w:sz w:val="24"/>
          <w:lang w:val="en-US" w:eastAsia="zh-CN"/>
        </w:rPr>
        <w:t>竞标文件中需提供软件提供商项目驻场人员清单，清单中标明驻场人员详细信息，如姓名、联系方式、技术职称、社保证明（不少于半年）等。</w:t>
      </w:r>
    </w:p>
    <w:p w14:paraId="0CB14FF6">
      <w:pPr>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val="en-US" w:eastAsia="zh-CN"/>
        </w:rPr>
        <w:t>4.3</w:t>
      </w:r>
      <w:r>
        <w:rPr>
          <w:rFonts w:hint="eastAsia" w:ascii="仿宋_GB2312" w:hAnsi="仿宋_GB2312" w:eastAsia="仿宋_GB2312" w:cs="仿宋_GB2312"/>
          <w:color w:val="auto"/>
          <w:sz w:val="24"/>
          <w:szCs w:val="24"/>
        </w:rPr>
        <w:t>因厂商与院方存在对需求理解有差异的可能性，要求所有软件功能需求的响应以院方意见为准</w:t>
      </w:r>
      <w:r>
        <w:rPr>
          <w:rFonts w:hint="eastAsia" w:ascii="仿宋_GB2312" w:hAnsi="仿宋_GB2312" w:eastAsia="仿宋_GB2312" w:cs="仿宋_GB2312"/>
          <w:color w:val="auto"/>
          <w:sz w:val="24"/>
          <w:szCs w:val="24"/>
          <w:lang w:eastAsia="zh-CN"/>
        </w:rPr>
        <w:t>。</w:t>
      </w:r>
    </w:p>
    <w:p w14:paraId="69AD9FBF">
      <w:pPr>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4.4培训要求：</w:t>
      </w:r>
    </w:p>
    <w:p w14:paraId="53176099">
      <w:pPr>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hint="eastAsia" w:ascii="仿宋_GB2312" w:hAnsi="仿宋_GB2312" w:eastAsia="仿宋_GB2312" w:cs="仿宋_GB2312"/>
          <w:lang w:val="en-US"/>
        </w:rPr>
      </w:pPr>
      <w:r>
        <w:rPr>
          <w:rFonts w:hint="eastAsia" w:ascii="仿宋_GB2312" w:hAnsi="仿宋_GB2312" w:eastAsia="仿宋_GB2312" w:cs="仿宋_GB2312"/>
          <w:color w:val="auto"/>
          <w:sz w:val="24"/>
          <w:szCs w:val="24"/>
          <w:lang w:val="en-US" w:eastAsia="zh-CN"/>
        </w:rPr>
        <w:t>培训应至少包括但不限于：软硬件系统的安装、部署、维护方法、系统的功能使用培训。</w:t>
      </w:r>
    </w:p>
    <w:p w14:paraId="2107F2DF">
      <w:pPr>
        <w:pStyle w:val="3"/>
        <w:pageBreakBefore w:val="0"/>
        <w:widowControl w:val="0"/>
        <w:numPr>
          <w:ilvl w:val="0"/>
          <w:numId w:val="0"/>
        </w:numPr>
        <w:kinsoku/>
        <w:wordWrap/>
        <w:overflowPunct/>
        <w:topLinePunct w:val="0"/>
        <w:autoSpaceDE/>
        <w:autoSpaceDN/>
        <w:bidi w:val="0"/>
        <w:adjustRightInd/>
        <w:snapToGrid/>
        <w:spacing w:before="0" w:after="0" w:line="312" w:lineRule="auto"/>
        <w:textAlignment w:val="auto"/>
        <w:rPr>
          <w:rFonts w:hint="eastAsia" w:ascii="仿宋_GB2312" w:hAnsi="仿宋_GB2312" w:eastAsia="仿宋_GB2312" w:cs="仿宋_GB2312"/>
          <w:bCs w:val="0"/>
          <w:sz w:val="32"/>
          <w:szCs w:val="32"/>
        </w:rPr>
      </w:pPr>
      <w:r>
        <w:rPr>
          <w:rFonts w:hint="eastAsia" w:ascii="仿宋_GB2312" w:hAnsi="仿宋_GB2312" w:eastAsia="仿宋_GB2312" w:cs="仿宋_GB2312"/>
          <w:bCs w:val="0"/>
          <w:sz w:val="32"/>
          <w:szCs w:val="32"/>
        </w:rPr>
        <w:t>五、</w:t>
      </w:r>
      <w:r>
        <w:rPr>
          <w:rFonts w:hint="eastAsia" w:ascii="仿宋_GB2312" w:hAnsi="仿宋_GB2312" w:eastAsia="仿宋_GB2312" w:cs="仿宋_GB2312"/>
          <w:bCs w:val="0"/>
          <w:sz w:val="32"/>
          <w:szCs w:val="32"/>
          <w:lang w:eastAsia="zh-CN"/>
        </w:rPr>
        <w:t>售后</w:t>
      </w:r>
      <w:r>
        <w:rPr>
          <w:rFonts w:hint="eastAsia" w:ascii="仿宋_GB2312" w:hAnsi="仿宋_GB2312" w:eastAsia="仿宋_GB2312" w:cs="仿宋_GB2312"/>
          <w:bCs w:val="0"/>
          <w:sz w:val="32"/>
          <w:szCs w:val="32"/>
        </w:rPr>
        <w:t>服务及其他要求</w:t>
      </w:r>
    </w:p>
    <w:p w14:paraId="3904D927">
      <w:pPr>
        <w:pageBreakBefore w:val="0"/>
        <w:widowControl w:val="0"/>
        <w:kinsoku/>
        <w:wordWrap/>
        <w:overflowPunct/>
        <w:topLinePunct w:val="0"/>
        <w:autoSpaceDE/>
        <w:autoSpaceDN/>
        <w:bidi w:val="0"/>
        <w:adjustRightInd/>
        <w:snapToGrid/>
        <w:spacing w:line="312" w:lineRule="auto"/>
        <w:ind w:firstLine="42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5.1自本项目整体最终验收之日起，所有产品要求提供</w:t>
      </w:r>
      <w:r>
        <w:rPr>
          <w:rFonts w:hint="eastAsia" w:ascii="仿宋_GB2312" w:hAnsi="仿宋_GB2312" w:eastAsia="仿宋_GB2312" w:cs="仿宋_GB2312"/>
          <w:color w:val="auto"/>
          <w:sz w:val="24"/>
          <w:szCs w:val="24"/>
        </w:rPr>
        <w:t>三年</w:t>
      </w:r>
      <w:r>
        <w:rPr>
          <w:rFonts w:hint="eastAsia" w:ascii="仿宋_GB2312" w:hAnsi="仿宋_GB2312" w:eastAsia="仿宋_GB2312" w:cs="仿宋_GB2312"/>
          <w:sz w:val="24"/>
          <w:szCs w:val="24"/>
        </w:rPr>
        <w:t>的免费</w:t>
      </w:r>
      <w:r>
        <w:rPr>
          <w:rFonts w:hint="eastAsia" w:ascii="仿宋_GB2312" w:hAnsi="仿宋_GB2312" w:eastAsia="仿宋_GB2312" w:cs="仿宋_GB2312"/>
          <w:sz w:val="24"/>
          <w:szCs w:val="24"/>
          <w:lang w:eastAsia="zh-CN"/>
        </w:rPr>
        <w:t>质</w:t>
      </w:r>
      <w:r>
        <w:rPr>
          <w:rFonts w:hint="eastAsia" w:ascii="仿宋_GB2312" w:hAnsi="仿宋_GB2312" w:eastAsia="仿宋_GB2312" w:cs="仿宋_GB2312"/>
          <w:sz w:val="24"/>
          <w:szCs w:val="24"/>
        </w:rPr>
        <w:t>保服务。含软硬件维护和系统软件升级</w:t>
      </w:r>
      <w:r>
        <w:rPr>
          <w:rFonts w:hint="eastAsia" w:ascii="仿宋_GB2312" w:hAnsi="仿宋_GB2312" w:eastAsia="仿宋_GB2312" w:cs="仿宋_GB2312"/>
          <w:sz w:val="24"/>
          <w:szCs w:val="24"/>
          <w:lang w:eastAsia="zh-CN"/>
        </w:rPr>
        <w:t>、系统</w:t>
      </w:r>
      <w:r>
        <w:rPr>
          <w:rFonts w:hint="eastAsia" w:ascii="仿宋_GB2312" w:hAnsi="仿宋_GB2312" w:eastAsia="仿宋_GB2312" w:cs="仿宋_GB2312"/>
          <w:sz w:val="24"/>
          <w:szCs w:val="24"/>
          <w:lang w:val="en-US" w:eastAsia="zh-CN"/>
        </w:rPr>
        <w:t>BUG及漏洞修复</w:t>
      </w:r>
      <w:r>
        <w:rPr>
          <w:rFonts w:hint="eastAsia" w:ascii="仿宋_GB2312" w:hAnsi="仿宋_GB2312" w:eastAsia="仿宋_GB2312" w:cs="仿宋_GB2312"/>
          <w:sz w:val="24"/>
          <w:szCs w:val="24"/>
        </w:rPr>
        <w:t>、技术支持服务、系统管理及操作培训</w:t>
      </w:r>
      <w:r>
        <w:rPr>
          <w:rFonts w:hint="eastAsia" w:ascii="仿宋_GB2312" w:hAnsi="仿宋_GB2312" w:eastAsia="仿宋_GB2312" w:cs="仿宋_GB2312"/>
          <w:sz w:val="24"/>
          <w:szCs w:val="24"/>
          <w:lang w:eastAsia="zh-CN"/>
        </w:rPr>
        <w:t>服务</w:t>
      </w:r>
      <w:r>
        <w:rPr>
          <w:rFonts w:hint="eastAsia" w:ascii="仿宋_GB2312" w:hAnsi="仿宋_GB2312" w:eastAsia="仿宋_GB2312" w:cs="仿宋_GB2312"/>
          <w:sz w:val="24"/>
          <w:szCs w:val="24"/>
        </w:rPr>
        <w:t>，免费提供系统个性化修改需求。请详细说明售后服务的内容。</w:t>
      </w:r>
    </w:p>
    <w:p w14:paraId="571D71E7">
      <w:pPr>
        <w:pageBreakBefore w:val="0"/>
        <w:widowControl w:val="0"/>
        <w:kinsoku/>
        <w:wordWrap/>
        <w:overflowPunct/>
        <w:topLinePunct w:val="0"/>
        <w:autoSpaceDE/>
        <w:autoSpaceDN/>
        <w:bidi w:val="0"/>
        <w:adjustRightInd/>
        <w:snapToGrid/>
        <w:spacing w:line="312" w:lineRule="auto"/>
        <w:ind w:firstLine="420"/>
        <w:jc w:val="left"/>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5.2安装调试要求：免费送货上门、安装调试、提供完善的设备及软件系统使用中文操作手册、图纸、网络详细拓扑图、系统配置、功能配置、设备配置及互联记录</w:t>
      </w:r>
      <w:r>
        <w:rPr>
          <w:rFonts w:hint="eastAsia" w:ascii="仿宋_GB2312" w:hAnsi="仿宋_GB2312" w:eastAsia="仿宋_GB2312" w:cs="仿宋_GB2312"/>
          <w:sz w:val="24"/>
          <w:szCs w:val="24"/>
          <w:lang w:eastAsia="zh-CN"/>
        </w:rPr>
        <w:t>。</w:t>
      </w:r>
    </w:p>
    <w:p w14:paraId="45AF5AA6">
      <w:pPr>
        <w:pageBreakBefore w:val="0"/>
        <w:widowControl w:val="0"/>
        <w:kinsoku/>
        <w:wordWrap/>
        <w:overflowPunct/>
        <w:topLinePunct w:val="0"/>
        <w:autoSpaceDE/>
        <w:autoSpaceDN/>
        <w:bidi w:val="0"/>
        <w:adjustRightInd/>
        <w:snapToGrid/>
        <w:spacing w:line="312" w:lineRule="auto"/>
        <w:ind w:firstLine="420"/>
        <w:jc w:val="left"/>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5.3原厂技术人员免费提供</w:t>
      </w:r>
      <w:r>
        <w:rPr>
          <w:rFonts w:hint="eastAsia" w:ascii="仿宋_GB2312" w:hAnsi="仿宋_GB2312" w:eastAsia="仿宋_GB2312" w:cs="仿宋_GB2312"/>
          <w:color w:val="auto"/>
          <w:sz w:val="24"/>
          <w:szCs w:val="24"/>
          <w:lang w:eastAsia="zh-CN"/>
        </w:rPr>
        <w:t>售后</w:t>
      </w:r>
      <w:r>
        <w:rPr>
          <w:rFonts w:hint="eastAsia" w:ascii="仿宋_GB2312" w:hAnsi="仿宋_GB2312" w:eastAsia="仿宋_GB2312" w:cs="仿宋_GB2312"/>
          <w:color w:val="auto"/>
          <w:sz w:val="24"/>
          <w:szCs w:val="24"/>
        </w:rPr>
        <w:t>服务</w:t>
      </w:r>
      <w:r>
        <w:rPr>
          <w:rFonts w:hint="eastAsia" w:ascii="仿宋_GB2312" w:hAnsi="仿宋_GB2312" w:eastAsia="仿宋_GB2312" w:cs="仿宋_GB2312"/>
          <w:color w:val="auto"/>
          <w:sz w:val="24"/>
          <w:szCs w:val="24"/>
          <w:lang w:eastAsia="zh-CN"/>
        </w:rPr>
        <w:t>，包</w:t>
      </w:r>
      <w:r>
        <w:rPr>
          <w:rFonts w:hint="eastAsia" w:ascii="仿宋_GB2312" w:hAnsi="仿宋_GB2312" w:eastAsia="仿宋_GB2312" w:cs="仿宋_GB2312"/>
          <w:color w:val="auto"/>
          <w:sz w:val="24"/>
          <w:szCs w:val="24"/>
        </w:rPr>
        <w:t>含电话支持、现场响应、远程操作、网上客服中心等多种方式服务，应做到7×24小时全天候电话或微信等常用联系方式响应。</w:t>
      </w:r>
      <w:bookmarkStart w:id="1" w:name="_Toc507405798"/>
      <w:r>
        <w:rPr>
          <w:rFonts w:hint="eastAsia" w:ascii="仿宋_GB2312" w:hAnsi="仿宋_GB2312" w:eastAsia="仿宋_GB2312" w:cs="仿宋_GB2312"/>
          <w:color w:val="auto"/>
          <w:sz w:val="24"/>
          <w:szCs w:val="24"/>
        </w:rPr>
        <w:t>当出现故障时，接到故障通知后，原厂技术人员应在30分钟内响应，远程技术支持无法解决的，6小时内需到达现场处理修复，并调查分析事故原因，如现场仍不能解决问题，需24小时内免费提供同档次或更高档次的备用设备解决问题。</w:t>
      </w:r>
    </w:p>
    <w:p w14:paraId="5726DA66">
      <w:pPr>
        <w:pageBreakBefore w:val="0"/>
        <w:widowControl w:val="0"/>
        <w:kinsoku/>
        <w:wordWrap/>
        <w:overflowPunct/>
        <w:topLinePunct w:val="0"/>
        <w:autoSpaceDE/>
        <w:autoSpaceDN/>
        <w:bidi w:val="0"/>
        <w:adjustRightInd/>
        <w:snapToGrid/>
        <w:spacing w:line="312" w:lineRule="auto"/>
        <w:ind w:firstLine="42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5.4供应商提供原厂技术人员定期</w:t>
      </w:r>
      <w:r>
        <w:rPr>
          <w:rFonts w:hint="eastAsia" w:ascii="仿宋_GB2312" w:hAnsi="仿宋_GB2312" w:eastAsia="仿宋_GB2312" w:cs="仿宋_GB2312"/>
          <w:sz w:val="24"/>
          <w:szCs w:val="24"/>
          <w:lang w:eastAsia="zh-CN"/>
        </w:rPr>
        <w:t>巡检</w:t>
      </w:r>
      <w:r>
        <w:rPr>
          <w:rFonts w:hint="eastAsia" w:ascii="仿宋_GB2312" w:hAnsi="仿宋_GB2312" w:eastAsia="仿宋_GB2312" w:cs="仿宋_GB2312"/>
          <w:sz w:val="24"/>
          <w:szCs w:val="24"/>
        </w:rPr>
        <w:t>服务，定期通过电话或其他方式访问用户，了解产品使用情况及网络安全情况</w:t>
      </w:r>
      <w:r>
        <w:rPr>
          <w:rFonts w:hint="eastAsia" w:ascii="仿宋_GB2312" w:hAnsi="仿宋_GB2312" w:eastAsia="仿宋_GB2312" w:cs="仿宋_GB2312"/>
          <w:sz w:val="24"/>
          <w:szCs w:val="24"/>
          <w:lang w:eastAsia="zh-CN"/>
        </w:rPr>
        <w:t>：按院方要求巡检（国家法定节假日前巡检或按院方需求时间巡检），每季度巡检不得少于一次</w:t>
      </w:r>
      <w:r>
        <w:rPr>
          <w:rFonts w:hint="eastAsia" w:ascii="仿宋_GB2312" w:hAnsi="仿宋_GB2312" w:eastAsia="仿宋_GB2312" w:cs="仿宋_GB2312"/>
          <w:sz w:val="24"/>
          <w:szCs w:val="24"/>
        </w:rPr>
        <w:t>，并形成巡检报告</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内容涉及此</w:t>
      </w:r>
      <w:r>
        <w:rPr>
          <w:rFonts w:hint="eastAsia" w:ascii="仿宋_GB2312" w:hAnsi="仿宋_GB2312" w:eastAsia="仿宋_GB2312" w:cs="仿宋_GB2312"/>
          <w:sz w:val="24"/>
          <w:szCs w:val="24"/>
          <w:lang w:eastAsia="zh-CN"/>
        </w:rPr>
        <w:t>产品</w:t>
      </w:r>
      <w:r>
        <w:rPr>
          <w:rFonts w:hint="eastAsia" w:ascii="仿宋_GB2312" w:hAnsi="仿宋_GB2312" w:eastAsia="仿宋_GB2312" w:cs="仿宋_GB2312"/>
          <w:sz w:val="24"/>
          <w:szCs w:val="24"/>
          <w:lang w:val="en-US" w:eastAsia="zh-CN"/>
        </w:rPr>
        <w:t>服务器\</w:t>
      </w:r>
      <w:r>
        <w:rPr>
          <w:rFonts w:hint="eastAsia" w:ascii="仿宋_GB2312" w:hAnsi="仿宋_GB2312" w:eastAsia="仿宋_GB2312" w:cs="仿宋_GB2312"/>
          <w:sz w:val="24"/>
          <w:szCs w:val="24"/>
        </w:rPr>
        <w:t>相关设备</w:t>
      </w:r>
      <w:r>
        <w:rPr>
          <w:rFonts w:hint="eastAsia" w:ascii="仿宋_GB2312" w:hAnsi="仿宋_GB2312" w:eastAsia="仿宋_GB2312" w:cs="仿宋_GB2312"/>
          <w:sz w:val="24"/>
          <w:szCs w:val="24"/>
          <w:lang w:eastAsia="zh-CN"/>
        </w:rPr>
        <w:t>的</w:t>
      </w:r>
      <w:r>
        <w:rPr>
          <w:rFonts w:hint="eastAsia" w:ascii="仿宋_GB2312" w:hAnsi="仿宋_GB2312" w:eastAsia="仿宋_GB2312" w:cs="仿宋_GB2312"/>
          <w:sz w:val="24"/>
          <w:szCs w:val="24"/>
        </w:rPr>
        <w:t>运行情况）反馈给我院。</w:t>
      </w:r>
    </w:p>
    <w:p w14:paraId="62BF007D">
      <w:pPr>
        <w:pStyle w:val="11"/>
        <w:spacing w:line="360" w:lineRule="auto"/>
        <w:ind w:left="0" w:leftChars="0" w:firstLine="420" w:firstLineChars="0"/>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5.5免费系统改造，支持信创电脑和服务器。</w:t>
      </w:r>
    </w:p>
    <w:p w14:paraId="45F0AF8D">
      <w:pPr>
        <w:pStyle w:val="2"/>
        <w:pageBreakBefore w:val="0"/>
        <w:widowControl w:val="0"/>
        <w:kinsoku/>
        <w:wordWrap/>
        <w:overflowPunct/>
        <w:topLinePunct w:val="0"/>
        <w:autoSpaceDE/>
        <w:autoSpaceDN/>
        <w:bidi w:val="0"/>
        <w:adjustRightInd/>
        <w:snapToGrid/>
        <w:spacing w:after="0" w:line="312" w:lineRule="auto"/>
        <w:textAlignment w:val="auto"/>
        <w:rPr>
          <w:rFonts w:hint="eastAsia" w:ascii="仿宋_GB2312" w:hAnsi="仿宋_GB2312" w:eastAsia="仿宋_GB2312" w:cs="仿宋_GB2312"/>
          <w:b/>
          <w:bCs/>
          <w:color w:val="auto"/>
          <w:sz w:val="28"/>
          <w:lang w:val="en-US"/>
        </w:rPr>
      </w:pPr>
      <w:r>
        <w:rPr>
          <w:rFonts w:hint="eastAsia" w:ascii="仿宋_GB2312" w:hAnsi="仿宋_GB2312" w:eastAsia="仿宋_GB2312" w:cs="仿宋_GB2312"/>
          <w:b/>
          <w:bCs/>
          <w:color w:val="auto"/>
          <w:sz w:val="28"/>
          <w:lang w:val="en-US"/>
        </w:rPr>
        <w:t>六、违约责任</w:t>
      </w:r>
    </w:p>
    <w:p w14:paraId="6D7CC2A9">
      <w:pPr>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6.1投标方所提供的</w:t>
      </w:r>
      <w:r>
        <w:rPr>
          <w:rFonts w:hint="eastAsia" w:ascii="仿宋_GB2312" w:hAnsi="仿宋_GB2312" w:eastAsia="仿宋_GB2312" w:cs="仿宋_GB2312"/>
          <w:color w:val="auto"/>
          <w:sz w:val="24"/>
          <w:szCs w:val="24"/>
          <w:lang w:val="en-US" w:eastAsia="zh-CN"/>
        </w:rPr>
        <w:t>软件</w:t>
      </w:r>
      <w:r>
        <w:rPr>
          <w:rFonts w:hint="eastAsia" w:ascii="仿宋_GB2312" w:hAnsi="仿宋_GB2312" w:eastAsia="仿宋_GB2312" w:cs="仿宋_GB2312"/>
          <w:color w:val="auto"/>
          <w:sz w:val="24"/>
          <w:szCs w:val="24"/>
        </w:rPr>
        <w:t>规格、技术标准、材料等质量不合格的，应及时更换，更换不及时的按逾期</w:t>
      </w:r>
      <w:r>
        <w:rPr>
          <w:rFonts w:hint="eastAsia" w:ascii="仿宋_GB2312" w:hAnsi="仿宋_GB2312" w:eastAsia="仿宋_GB2312" w:cs="仿宋_GB2312"/>
          <w:color w:val="auto"/>
          <w:sz w:val="24"/>
          <w:szCs w:val="24"/>
          <w:lang w:val="en-US" w:eastAsia="zh-CN"/>
        </w:rPr>
        <w:t>交付</w:t>
      </w:r>
      <w:r>
        <w:rPr>
          <w:rFonts w:hint="eastAsia" w:ascii="仿宋_GB2312" w:hAnsi="仿宋_GB2312" w:eastAsia="仿宋_GB2312" w:cs="仿宋_GB2312"/>
          <w:color w:val="auto"/>
          <w:sz w:val="24"/>
          <w:szCs w:val="24"/>
        </w:rPr>
        <w:t>处罚；因质量问题我院不同意接收，投标方应向我院支付违约货款额5%违约金并赔偿我院经济损失。</w:t>
      </w:r>
    </w:p>
    <w:p w14:paraId="6F3B95D3">
      <w:pPr>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6.2</w:t>
      </w:r>
      <w:r>
        <w:rPr>
          <w:rFonts w:hint="eastAsia" w:ascii="仿宋_GB2312" w:hAnsi="仿宋_GB2312" w:eastAsia="仿宋_GB2312" w:cs="仿宋_GB2312"/>
          <w:color w:val="auto"/>
          <w:sz w:val="24"/>
          <w:szCs w:val="24"/>
          <w:lang w:eastAsia="zh-CN"/>
        </w:rPr>
        <w:t>若</w:t>
      </w:r>
      <w:r>
        <w:rPr>
          <w:rFonts w:hint="eastAsia" w:ascii="仿宋_GB2312" w:hAnsi="仿宋_GB2312" w:eastAsia="仿宋_GB2312" w:cs="仿宋_GB2312"/>
          <w:color w:val="auto"/>
          <w:sz w:val="24"/>
          <w:szCs w:val="24"/>
        </w:rPr>
        <w:t>投标方提供的</w:t>
      </w:r>
      <w:r>
        <w:rPr>
          <w:rFonts w:hint="eastAsia" w:ascii="仿宋_GB2312" w:hAnsi="仿宋_GB2312" w:eastAsia="仿宋_GB2312" w:cs="仿宋_GB2312"/>
          <w:color w:val="auto"/>
          <w:sz w:val="24"/>
          <w:szCs w:val="24"/>
          <w:lang w:eastAsia="zh-CN"/>
        </w:rPr>
        <w:t>产品或软件</w:t>
      </w:r>
      <w:r>
        <w:rPr>
          <w:rFonts w:hint="eastAsia" w:ascii="仿宋_GB2312" w:hAnsi="仿宋_GB2312" w:eastAsia="仿宋_GB2312" w:cs="仿宋_GB2312"/>
          <w:color w:val="auto"/>
          <w:sz w:val="24"/>
          <w:szCs w:val="24"/>
        </w:rPr>
        <w:t>侵犯了第三方合法权益而引发的任何纠纷或诉讼，均由投标方负责交涉并承担全部责任。</w:t>
      </w:r>
    </w:p>
    <w:p w14:paraId="5C9C73C2">
      <w:pPr>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rPr>
        <w:t>6.</w:t>
      </w:r>
      <w:r>
        <w:rPr>
          <w:rFonts w:hint="eastAsia" w:ascii="仿宋_GB2312" w:hAnsi="仿宋_GB2312" w:eastAsia="仿宋_GB2312" w:cs="仿宋_GB2312"/>
          <w:color w:val="auto"/>
          <w:sz w:val="24"/>
          <w:szCs w:val="24"/>
          <w:lang w:val="en-US" w:eastAsia="zh-CN"/>
        </w:rPr>
        <w:t>3</w:t>
      </w:r>
      <w:r>
        <w:rPr>
          <w:rFonts w:hint="eastAsia" w:ascii="仿宋_GB2312" w:hAnsi="仿宋_GB2312" w:eastAsia="仿宋_GB2312" w:cs="仿宋_GB2312"/>
          <w:color w:val="auto"/>
          <w:sz w:val="24"/>
          <w:szCs w:val="24"/>
        </w:rPr>
        <w:t>投标方逾期</w:t>
      </w:r>
      <w:r>
        <w:rPr>
          <w:rFonts w:hint="eastAsia" w:ascii="仿宋_GB2312" w:hAnsi="仿宋_GB2312" w:eastAsia="仿宋_GB2312" w:cs="仿宋_GB2312"/>
          <w:color w:val="auto"/>
          <w:sz w:val="24"/>
          <w:szCs w:val="24"/>
          <w:lang w:val="en-US" w:eastAsia="zh-CN"/>
        </w:rPr>
        <w:t>交付</w:t>
      </w:r>
      <w:r>
        <w:rPr>
          <w:rFonts w:hint="eastAsia" w:ascii="仿宋_GB2312" w:hAnsi="仿宋_GB2312" w:eastAsia="仿宋_GB2312" w:cs="仿宋_GB2312"/>
          <w:color w:val="auto"/>
          <w:sz w:val="24"/>
          <w:szCs w:val="24"/>
        </w:rPr>
        <w:t>的，每天向</w:t>
      </w:r>
      <w:r>
        <w:rPr>
          <w:rFonts w:hint="eastAsia" w:ascii="仿宋_GB2312" w:hAnsi="仿宋_GB2312" w:eastAsia="仿宋_GB2312" w:cs="仿宋_GB2312"/>
          <w:color w:val="auto"/>
          <w:sz w:val="24"/>
          <w:szCs w:val="24"/>
          <w:lang w:eastAsia="zh-CN"/>
        </w:rPr>
        <w:t>甲方</w:t>
      </w:r>
      <w:r>
        <w:rPr>
          <w:rFonts w:hint="eastAsia" w:ascii="仿宋_GB2312" w:hAnsi="仿宋_GB2312" w:eastAsia="仿宋_GB2312" w:cs="仿宋_GB2312"/>
          <w:color w:val="auto"/>
          <w:sz w:val="24"/>
          <w:szCs w:val="24"/>
        </w:rPr>
        <w:t>偿付违约货款额3‰违约金，但违约金累计不得超过违约货款额 5% ，超过30天对方有权解除合同，违约方承担因此给对方造成的经济损失</w:t>
      </w:r>
      <w:r>
        <w:rPr>
          <w:rFonts w:hint="eastAsia" w:ascii="仿宋_GB2312" w:hAnsi="仿宋_GB2312" w:eastAsia="仿宋_GB2312" w:cs="仿宋_GB2312"/>
          <w:color w:val="auto"/>
          <w:sz w:val="24"/>
          <w:szCs w:val="24"/>
          <w:lang w:eastAsia="zh-CN"/>
        </w:rPr>
        <w:t>。</w:t>
      </w:r>
    </w:p>
    <w:p w14:paraId="47EF4FF5">
      <w:pPr>
        <w:pStyle w:val="2"/>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仿宋_GB2312" w:hAnsi="仿宋_GB2312" w:eastAsia="仿宋_GB2312" w:cs="仿宋_GB2312"/>
          <w:color w:val="auto"/>
          <w:sz w:val="24"/>
          <w:lang w:val="en-US" w:eastAsia="zh-CN"/>
        </w:rPr>
      </w:pPr>
      <w:r>
        <w:rPr>
          <w:rFonts w:hint="eastAsia" w:ascii="仿宋_GB2312" w:hAnsi="仿宋_GB2312" w:eastAsia="仿宋_GB2312" w:cs="仿宋_GB2312"/>
          <w:color w:val="auto"/>
          <w:sz w:val="24"/>
          <w:lang w:val="en-US"/>
        </w:rPr>
        <w:t>6.</w:t>
      </w:r>
      <w:r>
        <w:rPr>
          <w:rFonts w:hint="eastAsia" w:ascii="仿宋_GB2312" w:hAnsi="仿宋_GB2312" w:eastAsia="仿宋_GB2312" w:cs="仿宋_GB2312"/>
          <w:color w:val="auto"/>
          <w:sz w:val="24"/>
          <w:lang w:val="en-US" w:eastAsia="zh-CN"/>
        </w:rPr>
        <w:t>4</w:t>
      </w:r>
      <w:r>
        <w:rPr>
          <w:rFonts w:hint="eastAsia" w:ascii="仿宋_GB2312" w:hAnsi="仿宋_GB2312" w:eastAsia="仿宋_GB2312" w:cs="仿宋_GB2312"/>
          <w:color w:val="auto"/>
          <w:sz w:val="24"/>
          <w:lang w:val="en-US"/>
        </w:rPr>
        <w:t>售后服务违约</w:t>
      </w:r>
      <w:r>
        <w:rPr>
          <w:rFonts w:hint="eastAsia" w:ascii="仿宋_GB2312" w:hAnsi="仿宋_GB2312" w:eastAsia="仿宋_GB2312" w:cs="仿宋_GB2312"/>
          <w:color w:val="auto"/>
          <w:sz w:val="24"/>
          <w:lang w:val="en-US" w:eastAsia="zh-CN"/>
        </w:rPr>
        <w:t>：</w:t>
      </w:r>
    </w:p>
    <w:p w14:paraId="5296D60F">
      <w:pPr>
        <w:pStyle w:val="2"/>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仿宋_GB2312" w:hAnsi="仿宋_GB2312" w:eastAsia="仿宋_GB2312" w:cs="仿宋_GB2312"/>
          <w:color w:val="auto"/>
          <w:sz w:val="24"/>
          <w:lang w:val="en-US"/>
        </w:rPr>
      </w:pPr>
      <w:r>
        <w:rPr>
          <w:rFonts w:hint="eastAsia" w:ascii="仿宋_GB2312" w:hAnsi="仿宋_GB2312" w:eastAsia="仿宋_GB2312" w:cs="仿宋_GB2312"/>
          <w:color w:val="auto"/>
          <w:sz w:val="24"/>
          <w:highlight w:val="none"/>
          <w:lang w:val="en-US"/>
        </w:rPr>
        <w:t>6.</w:t>
      </w:r>
      <w:r>
        <w:rPr>
          <w:rFonts w:hint="eastAsia" w:ascii="仿宋_GB2312" w:hAnsi="仿宋_GB2312" w:eastAsia="仿宋_GB2312" w:cs="仿宋_GB2312"/>
          <w:color w:val="auto"/>
          <w:sz w:val="24"/>
          <w:highlight w:val="none"/>
          <w:lang w:val="en-US" w:eastAsia="zh-CN"/>
        </w:rPr>
        <w:t>4</w:t>
      </w:r>
      <w:r>
        <w:rPr>
          <w:rFonts w:hint="eastAsia" w:ascii="仿宋_GB2312" w:hAnsi="仿宋_GB2312" w:eastAsia="仿宋_GB2312" w:cs="仿宋_GB2312"/>
          <w:color w:val="auto"/>
          <w:sz w:val="24"/>
          <w:highlight w:val="none"/>
          <w:lang w:val="en-US"/>
        </w:rPr>
        <w:t>.1每缺少1次巡检记录，投标方应向</w:t>
      </w:r>
      <w:r>
        <w:rPr>
          <w:rFonts w:hint="eastAsia" w:ascii="仿宋_GB2312" w:hAnsi="仿宋_GB2312" w:eastAsia="仿宋_GB2312" w:cs="仿宋_GB2312"/>
          <w:color w:val="auto"/>
          <w:sz w:val="24"/>
          <w:highlight w:val="none"/>
          <w:lang w:val="en-US" w:eastAsia="zh-CN"/>
        </w:rPr>
        <w:t>甲方</w:t>
      </w:r>
      <w:r>
        <w:rPr>
          <w:rFonts w:hint="eastAsia" w:ascii="仿宋_GB2312" w:hAnsi="仿宋_GB2312" w:eastAsia="仿宋_GB2312" w:cs="仿宋_GB2312"/>
          <w:color w:val="auto"/>
          <w:sz w:val="24"/>
          <w:highlight w:val="none"/>
          <w:lang w:val="en-US"/>
        </w:rPr>
        <w:t>支付违约金5000元；</w:t>
      </w:r>
    </w:p>
    <w:p w14:paraId="399E95F0">
      <w:pPr>
        <w:pStyle w:val="2"/>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仿宋_GB2312" w:hAnsi="仿宋_GB2312" w:eastAsia="仿宋_GB2312" w:cs="仿宋_GB2312"/>
          <w:color w:val="auto"/>
          <w:sz w:val="24"/>
          <w:lang w:val="en-US"/>
        </w:rPr>
      </w:pPr>
      <w:r>
        <w:rPr>
          <w:rFonts w:hint="eastAsia" w:ascii="仿宋_GB2312" w:hAnsi="仿宋_GB2312" w:eastAsia="仿宋_GB2312" w:cs="仿宋_GB2312"/>
          <w:color w:val="auto"/>
          <w:sz w:val="24"/>
          <w:lang w:val="en-US"/>
        </w:rPr>
        <w:t>6.</w:t>
      </w:r>
      <w:r>
        <w:rPr>
          <w:rFonts w:hint="eastAsia" w:ascii="仿宋_GB2312" w:hAnsi="仿宋_GB2312" w:eastAsia="仿宋_GB2312" w:cs="仿宋_GB2312"/>
          <w:color w:val="auto"/>
          <w:sz w:val="24"/>
          <w:lang w:val="en-US" w:eastAsia="zh-CN"/>
        </w:rPr>
        <w:t>4</w:t>
      </w:r>
      <w:r>
        <w:rPr>
          <w:rFonts w:hint="eastAsia" w:ascii="仿宋_GB2312" w:hAnsi="仿宋_GB2312" w:eastAsia="仿宋_GB2312" w:cs="仿宋_GB2312"/>
          <w:color w:val="auto"/>
          <w:sz w:val="24"/>
          <w:lang w:val="en-US"/>
        </w:rPr>
        <w:t>.</w:t>
      </w:r>
      <w:r>
        <w:rPr>
          <w:rFonts w:hint="eastAsia" w:ascii="仿宋_GB2312" w:hAnsi="仿宋_GB2312" w:eastAsia="仿宋_GB2312" w:cs="仿宋_GB2312"/>
          <w:color w:val="auto"/>
          <w:sz w:val="24"/>
          <w:lang w:val="en-US" w:eastAsia="zh-CN"/>
        </w:rPr>
        <w:t>2</w:t>
      </w:r>
      <w:r>
        <w:rPr>
          <w:rFonts w:hint="eastAsia" w:ascii="仿宋_GB2312" w:hAnsi="仿宋_GB2312" w:eastAsia="仿宋_GB2312" w:cs="仿宋_GB2312"/>
          <w:color w:val="auto"/>
          <w:sz w:val="24"/>
          <w:lang w:val="en-US"/>
        </w:rPr>
        <w:t> 投标方未按本技术要求和响应文件中规定的其他服务承诺提供售后服务的，每次投标方应按合同合计金额的5% 向</w:t>
      </w:r>
      <w:r>
        <w:rPr>
          <w:rFonts w:hint="eastAsia" w:ascii="仿宋_GB2312" w:hAnsi="仿宋_GB2312" w:eastAsia="仿宋_GB2312" w:cs="仿宋_GB2312"/>
          <w:color w:val="auto"/>
          <w:sz w:val="24"/>
          <w:lang w:val="en-US" w:eastAsia="zh-CN"/>
        </w:rPr>
        <w:t>甲方</w:t>
      </w:r>
      <w:r>
        <w:rPr>
          <w:rFonts w:hint="eastAsia" w:ascii="仿宋_GB2312" w:hAnsi="仿宋_GB2312" w:eastAsia="仿宋_GB2312" w:cs="仿宋_GB2312"/>
          <w:color w:val="auto"/>
          <w:sz w:val="24"/>
          <w:lang w:val="en-US"/>
        </w:rPr>
        <w:t>支付违约金。</w:t>
      </w:r>
    </w:p>
    <w:p w14:paraId="1FA00B71">
      <w:pPr>
        <w:pStyle w:val="2"/>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仿宋_GB2312" w:hAnsi="仿宋_GB2312" w:eastAsia="仿宋_GB2312" w:cs="仿宋_GB2312"/>
          <w:color w:val="auto"/>
          <w:sz w:val="24"/>
          <w:lang w:val="en-US"/>
        </w:rPr>
      </w:pPr>
      <w:r>
        <w:rPr>
          <w:rFonts w:hint="eastAsia" w:ascii="仿宋_GB2312" w:hAnsi="仿宋_GB2312" w:eastAsia="仿宋_GB2312" w:cs="仿宋_GB2312"/>
          <w:color w:val="auto"/>
          <w:sz w:val="24"/>
        </w:rPr>
        <w:t>6.</w:t>
      </w:r>
      <w:r>
        <w:rPr>
          <w:rFonts w:hint="eastAsia" w:ascii="仿宋_GB2312" w:hAnsi="仿宋_GB2312" w:eastAsia="仿宋_GB2312" w:cs="仿宋_GB2312"/>
          <w:color w:val="auto"/>
          <w:sz w:val="24"/>
          <w:lang w:val="en-US" w:eastAsia="zh-CN"/>
        </w:rPr>
        <w:t>5</w:t>
      </w:r>
      <w:r>
        <w:rPr>
          <w:rFonts w:hint="eastAsia" w:ascii="仿宋_GB2312" w:hAnsi="仿宋_GB2312" w:eastAsia="仿宋_GB2312" w:cs="仿宋_GB2312"/>
          <w:color w:val="auto"/>
          <w:sz w:val="24"/>
        </w:rPr>
        <w:t>合同签订后7个工作日内进场实施，每个模块计划实施周期需在合同内写明。因</w:t>
      </w:r>
      <w:r>
        <w:rPr>
          <w:rFonts w:hint="eastAsia" w:ascii="仿宋_GB2312" w:hAnsi="仿宋_GB2312" w:eastAsia="仿宋_GB2312" w:cs="仿宋_GB2312"/>
          <w:color w:val="auto"/>
          <w:sz w:val="24"/>
          <w:lang w:eastAsia="zh-CN"/>
        </w:rPr>
        <w:t>软件提供商</w:t>
      </w:r>
      <w:r>
        <w:rPr>
          <w:rFonts w:hint="eastAsia" w:ascii="仿宋_GB2312" w:hAnsi="仿宋_GB2312" w:eastAsia="仿宋_GB2312" w:cs="仿宋_GB2312"/>
          <w:color w:val="auto"/>
          <w:sz w:val="24"/>
        </w:rPr>
        <w:t>原因逾期不进场实施的，需按每天向院方支付合同款金额3‰作为违约金</w:t>
      </w:r>
      <w:r>
        <w:rPr>
          <w:rFonts w:hint="eastAsia" w:ascii="仿宋_GB2312" w:hAnsi="仿宋_GB2312" w:eastAsia="仿宋_GB2312" w:cs="仿宋_GB2312"/>
          <w:color w:val="auto"/>
          <w:sz w:val="24"/>
          <w:lang w:eastAsia="zh-CN"/>
        </w:rPr>
        <w:t>，</w:t>
      </w:r>
      <w:r>
        <w:rPr>
          <w:rFonts w:hint="eastAsia" w:ascii="仿宋_GB2312" w:hAnsi="仿宋_GB2312" w:eastAsia="仿宋_GB2312" w:cs="仿宋_GB2312"/>
          <w:color w:val="auto"/>
          <w:sz w:val="24"/>
        </w:rPr>
        <w:t>超过30天，</w:t>
      </w:r>
      <w:r>
        <w:rPr>
          <w:rFonts w:hint="eastAsia" w:ascii="仿宋_GB2312" w:hAnsi="仿宋_GB2312" w:eastAsia="仿宋_GB2312" w:cs="仿宋_GB2312"/>
          <w:color w:val="auto"/>
          <w:sz w:val="24"/>
          <w:lang w:eastAsia="zh-CN"/>
        </w:rPr>
        <w:t>甲方</w:t>
      </w:r>
      <w:r>
        <w:rPr>
          <w:rFonts w:hint="eastAsia" w:ascii="仿宋_GB2312" w:hAnsi="仿宋_GB2312" w:eastAsia="仿宋_GB2312" w:cs="仿宋_GB2312"/>
          <w:color w:val="auto"/>
          <w:sz w:val="24"/>
        </w:rPr>
        <w:t>有权解除合同，</w:t>
      </w:r>
      <w:r>
        <w:rPr>
          <w:rFonts w:hint="eastAsia" w:ascii="仿宋_GB2312" w:hAnsi="仿宋_GB2312" w:eastAsia="仿宋_GB2312" w:cs="仿宋_GB2312"/>
          <w:color w:val="auto"/>
          <w:sz w:val="24"/>
          <w:lang w:eastAsia="zh-CN"/>
        </w:rPr>
        <w:t>乙方</w:t>
      </w:r>
      <w:r>
        <w:rPr>
          <w:rFonts w:hint="eastAsia" w:ascii="仿宋_GB2312" w:hAnsi="仿宋_GB2312" w:eastAsia="仿宋_GB2312" w:cs="仿宋_GB2312"/>
          <w:color w:val="auto"/>
          <w:sz w:val="24"/>
        </w:rPr>
        <w:t>需承担因此给院方造成的经济损失；</w:t>
      </w:r>
      <w:r>
        <w:rPr>
          <w:rFonts w:hint="eastAsia" w:ascii="仿宋_GB2312" w:hAnsi="仿宋_GB2312" w:eastAsia="仿宋_GB2312" w:cs="仿宋_GB2312"/>
          <w:color w:val="auto"/>
          <w:sz w:val="24"/>
          <w:lang w:val="en-US"/>
        </w:rPr>
        <w:t>不能按照合同约定上线期限完成，需要书面申请说明原因，得到医院书面同意后最多延期一个月，否则（或者延期一个月后）按每超期7天（一周）从总合同金额扣除5%的违约金。扣除比例达到总合同金额的50%及以上的，视为</w:t>
      </w:r>
      <w:r>
        <w:rPr>
          <w:rFonts w:hint="eastAsia" w:ascii="仿宋_GB2312" w:hAnsi="仿宋_GB2312" w:eastAsia="仿宋_GB2312" w:cs="仿宋_GB2312"/>
          <w:color w:val="auto"/>
          <w:sz w:val="24"/>
          <w:lang w:val="en-US" w:eastAsia="zh-CN"/>
        </w:rPr>
        <w:t>乙方</w:t>
      </w:r>
      <w:r>
        <w:rPr>
          <w:rFonts w:hint="eastAsia" w:ascii="仿宋_GB2312" w:hAnsi="仿宋_GB2312" w:eastAsia="仿宋_GB2312" w:cs="仿宋_GB2312"/>
          <w:color w:val="auto"/>
          <w:sz w:val="24"/>
          <w:lang w:val="en-US"/>
        </w:rPr>
        <w:t>违约，</w:t>
      </w:r>
      <w:r>
        <w:rPr>
          <w:rFonts w:hint="eastAsia" w:ascii="仿宋_GB2312" w:hAnsi="仿宋_GB2312" w:eastAsia="仿宋_GB2312" w:cs="仿宋_GB2312"/>
          <w:color w:val="auto"/>
          <w:sz w:val="24"/>
          <w:lang w:val="en-US" w:eastAsia="zh-CN"/>
        </w:rPr>
        <w:t>甲方</w:t>
      </w:r>
      <w:r>
        <w:rPr>
          <w:rFonts w:hint="eastAsia" w:ascii="仿宋_GB2312" w:hAnsi="仿宋_GB2312" w:eastAsia="仿宋_GB2312" w:cs="仿宋_GB2312"/>
          <w:color w:val="auto"/>
          <w:sz w:val="24"/>
          <w:lang w:val="en-US"/>
        </w:rPr>
        <w:t>有权单方面解除合同，并要求</w:t>
      </w:r>
      <w:r>
        <w:rPr>
          <w:rFonts w:hint="eastAsia" w:ascii="仿宋_GB2312" w:hAnsi="仿宋_GB2312" w:eastAsia="仿宋_GB2312" w:cs="仿宋_GB2312"/>
          <w:color w:val="auto"/>
          <w:sz w:val="24"/>
          <w:lang w:val="en-US" w:eastAsia="zh-CN"/>
        </w:rPr>
        <w:t>乙方</w:t>
      </w:r>
      <w:r>
        <w:rPr>
          <w:rFonts w:hint="eastAsia" w:ascii="仿宋_GB2312" w:hAnsi="仿宋_GB2312" w:eastAsia="仿宋_GB2312" w:cs="仿宋_GB2312"/>
          <w:color w:val="auto"/>
          <w:sz w:val="24"/>
          <w:lang w:val="en-US"/>
        </w:rPr>
        <w:t>退回所有医院已支付款项，同时</w:t>
      </w:r>
      <w:r>
        <w:rPr>
          <w:rFonts w:hint="eastAsia" w:ascii="仿宋_GB2312" w:hAnsi="仿宋_GB2312" w:eastAsia="仿宋_GB2312" w:cs="仿宋_GB2312"/>
          <w:color w:val="auto"/>
          <w:sz w:val="24"/>
          <w:lang w:val="en-US" w:eastAsia="zh-CN"/>
        </w:rPr>
        <w:t>按</w:t>
      </w:r>
      <w:r>
        <w:rPr>
          <w:rFonts w:hint="eastAsia" w:ascii="仿宋_GB2312" w:hAnsi="仿宋_GB2312" w:eastAsia="仿宋_GB2312" w:cs="仿宋_GB2312"/>
          <w:color w:val="auto"/>
          <w:sz w:val="24"/>
          <w:lang w:val="en-US"/>
        </w:rPr>
        <w:t>合同总金额的20%</w:t>
      </w:r>
      <w:r>
        <w:rPr>
          <w:rFonts w:hint="eastAsia" w:ascii="仿宋_GB2312" w:hAnsi="仿宋_GB2312" w:eastAsia="仿宋_GB2312" w:cs="仿宋_GB2312"/>
          <w:color w:val="auto"/>
          <w:sz w:val="24"/>
          <w:lang w:val="en-US" w:eastAsia="zh-CN"/>
        </w:rPr>
        <w:t>作为</w:t>
      </w:r>
      <w:r>
        <w:rPr>
          <w:rFonts w:hint="eastAsia" w:ascii="仿宋_GB2312" w:hAnsi="仿宋_GB2312" w:eastAsia="仿宋_GB2312" w:cs="仿宋_GB2312"/>
          <w:color w:val="auto"/>
          <w:sz w:val="24"/>
          <w:lang w:val="en-US"/>
        </w:rPr>
        <w:t>违约金</w:t>
      </w:r>
      <w:r>
        <w:rPr>
          <w:rFonts w:hint="eastAsia" w:ascii="仿宋_GB2312" w:hAnsi="仿宋_GB2312" w:eastAsia="仿宋_GB2312" w:cs="仿宋_GB2312"/>
          <w:color w:val="auto"/>
          <w:sz w:val="24"/>
          <w:lang w:val="en-US" w:eastAsia="zh-CN"/>
        </w:rPr>
        <w:t>支付给甲方</w:t>
      </w:r>
      <w:r>
        <w:rPr>
          <w:rFonts w:hint="eastAsia" w:ascii="仿宋_GB2312" w:hAnsi="仿宋_GB2312" w:eastAsia="仿宋_GB2312" w:cs="仿宋_GB2312"/>
          <w:color w:val="auto"/>
          <w:sz w:val="24"/>
          <w:lang w:val="en-US"/>
        </w:rPr>
        <w:t>。</w:t>
      </w:r>
    </w:p>
    <w:p w14:paraId="7A634520">
      <w:pPr>
        <w:pStyle w:val="2"/>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仿宋_GB2312" w:hAnsi="仿宋_GB2312" w:eastAsia="仿宋_GB2312" w:cs="仿宋_GB2312"/>
          <w:color w:val="auto"/>
          <w:sz w:val="24"/>
          <w:lang w:val="en-US"/>
        </w:rPr>
      </w:pPr>
      <w:r>
        <w:rPr>
          <w:rFonts w:hint="eastAsia" w:ascii="仿宋_GB2312" w:hAnsi="仿宋_GB2312" w:eastAsia="仿宋_GB2312" w:cs="仿宋_GB2312"/>
          <w:color w:val="auto"/>
          <w:sz w:val="24"/>
          <w:lang w:val="en-US"/>
        </w:rPr>
        <w:t>6.</w:t>
      </w:r>
      <w:r>
        <w:rPr>
          <w:rFonts w:hint="eastAsia" w:ascii="仿宋_GB2312" w:hAnsi="仿宋_GB2312" w:eastAsia="仿宋_GB2312" w:cs="仿宋_GB2312"/>
          <w:color w:val="auto"/>
          <w:sz w:val="24"/>
          <w:lang w:val="en-US" w:eastAsia="zh-CN"/>
        </w:rPr>
        <w:t>6</w:t>
      </w:r>
      <w:r>
        <w:rPr>
          <w:rFonts w:hint="eastAsia" w:ascii="仿宋_GB2312" w:hAnsi="仿宋_GB2312" w:eastAsia="仿宋_GB2312" w:cs="仿宋_GB2312"/>
          <w:color w:val="auto"/>
          <w:sz w:val="24"/>
          <w:lang w:val="en-US"/>
        </w:rPr>
        <w:t>任何一方违反本技术要求中“保密、廉洁条款”要求的，应承担相应的违约责任并赔偿由此造成的损失，损失累计金额超过合同款项的5%的，损失方同时有权终止合同并收回已付款项。</w:t>
      </w:r>
    </w:p>
    <w:p w14:paraId="1146B6B0">
      <w:pPr>
        <w:pStyle w:val="2"/>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仿宋_GB2312" w:hAnsi="仿宋_GB2312" w:eastAsia="仿宋_GB2312" w:cs="仿宋_GB2312"/>
          <w:color w:val="auto"/>
          <w:sz w:val="24"/>
          <w:lang w:val="en-US"/>
        </w:rPr>
      </w:pPr>
      <w:r>
        <w:rPr>
          <w:rFonts w:hint="eastAsia" w:ascii="仿宋_GB2312" w:hAnsi="仿宋_GB2312" w:eastAsia="仿宋_GB2312" w:cs="仿宋_GB2312"/>
          <w:color w:val="auto"/>
          <w:sz w:val="24"/>
          <w:lang w:val="en-US"/>
        </w:rPr>
        <w:t>6.</w:t>
      </w:r>
      <w:r>
        <w:rPr>
          <w:rFonts w:hint="eastAsia" w:ascii="仿宋_GB2312" w:hAnsi="仿宋_GB2312" w:eastAsia="仿宋_GB2312" w:cs="仿宋_GB2312"/>
          <w:color w:val="auto"/>
          <w:sz w:val="24"/>
          <w:lang w:val="en-US" w:eastAsia="zh-CN"/>
        </w:rPr>
        <w:t>7厂商</w:t>
      </w:r>
      <w:r>
        <w:rPr>
          <w:rFonts w:hint="eastAsia" w:ascii="仿宋_GB2312" w:hAnsi="仿宋_GB2312" w:eastAsia="仿宋_GB2312" w:cs="仿宋_GB2312"/>
          <w:color w:val="auto"/>
          <w:sz w:val="24"/>
          <w:lang w:val="en-US"/>
        </w:rPr>
        <w:t>方未按本技术要求和响应文件中规定的其他服务承诺提供售后服务的，按损失情况，每次应按合同合计金额的0.1‰-0.1%</w:t>
      </w:r>
      <w:r>
        <w:rPr>
          <w:rFonts w:hint="eastAsia" w:ascii="仿宋_GB2312" w:hAnsi="仿宋_GB2312" w:eastAsia="仿宋_GB2312" w:cs="仿宋_GB2312"/>
          <w:color w:val="auto"/>
          <w:sz w:val="24"/>
          <w:lang w:val="en-US" w:eastAsia="zh-CN"/>
        </w:rPr>
        <w:t>由乙方</w:t>
      </w:r>
      <w:r>
        <w:rPr>
          <w:rFonts w:hint="eastAsia" w:ascii="仿宋_GB2312" w:hAnsi="仿宋_GB2312" w:eastAsia="仿宋_GB2312" w:cs="仿宋_GB2312"/>
          <w:color w:val="auto"/>
          <w:sz w:val="24"/>
          <w:lang w:val="en-US"/>
        </w:rPr>
        <w:t>向甲方支付违约金，损失累计金额超过合同款项的5%的，损失方同时有权终止合同并收回已付款项。</w:t>
      </w:r>
    </w:p>
    <w:p w14:paraId="2F6ACA21">
      <w:pPr>
        <w:pStyle w:val="2"/>
        <w:pageBreakBefore w:val="0"/>
        <w:widowControl w:val="0"/>
        <w:kinsoku/>
        <w:wordWrap/>
        <w:overflowPunct/>
        <w:topLinePunct w:val="0"/>
        <w:autoSpaceDE/>
        <w:autoSpaceDN/>
        <w:bidi w:val="0"/>
        <w:adjustRightInd/>
        <w:snapToGrid/>
        <w:spacing w:after="0" w:line="312" w:lineRule="auto"/>
        <w:ind w:firstLine="420" w:firstLineChars="0"/>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6.8厂商不得在提供的硬件及软件系统中设置包括且不限于如：软硬件加密狗、加密软件、时间锁、授权码等限制硬件及软件系统正常运行的措施，</w:t>
      </w:r>
      <w:r>
        <w:rPr>
          <w:rFonts w:hint="eastAsia" w:ascii="仿宋_GB2312" w:hAnsi="仿宋_GB2312" w:eastAsia="仿宋_GB2312" w:cs="仿宋_GB2312"/>
          <w:kern w:val="2"/>
          <w:sz w:val="24"/>
          <w:lang w:val="en-US"/>
        </w:rPr>
        <w:t>如有特殊需要必须提交纸质文件说明，经过我院签字同意才可设置</w:t>
      </w:r>
      <w:r>
        <w:rPr>
          <w:rFonts w:hint="eastAsia" w:ascii="仿宋_GB2312" w:hAnsi="仿宋_GB2312" w:eastAsia="仿宋_GB2312" w:cs="仿宋_GB2312"/>
          <w:kern w:val="2"/>
          <w:sz w:val="24"/>
          <w:lang w:val="en-US" w:eastAsia="zh-CN"/>
        </w:rPr>
        <w:t>，</w:t>
      </w:r>
      <w:r>
        <w:rPr>
          <w:rFonts w:hint="eastAsia" w:ascii="仿宋_GB2312" w:hAnsi="仿宋_GB2312" w:eastAsia="仿宋_GB2312" w:cs="仿宋_GB2312"/>
          <w:color w:val="auto"/>
          <w:kern w:val="2"/>
          <w:sz w:val="24"/>
          <w:szCs w:val="24"/>
          <w:lang w:val="en-US" w:eastAsia="zh-CN" w:bidi="ar-SA"/>
        </w:rPr>
        <w:t>否则视为乙方违约，乙方需要支付医院违约金100000元（壹拾万元），在此基础上医院有权要求乙方退回甲方已支付的所有款项。如对医院造成损失的，甲方有权要求乙方赔偿。</w:t>
      </w:r>
    </w:p>
    <w:p w14:paraId="34DA8FE8">
      <w:pPr>
        <w:pStyle w:val="2"/>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6.9厂商驻场工程师人员变更必须得到医院书面同意，否则视为乙方违约，甲方有权按5000元/人/次从合同总款中扣除。</w:t>
      </w:r>
    </w:p>
    <w:p w14:paraId="00405B3F">
      <w:pPr>
        <w:pStyle w:val="2"/>
        <w:pageBreakBefore w:val="0"/>
        <w:widowControl w:val="0"/>
        <w:kinsoku/>
        <w:wordWrap/>
        <w:overflowPunct/>
        <w:topLinePunct w:val="0"/>
        <w:autoSpaceDE/>
        <w:autoSpaceDN/>
        <w:bidi w:val="0"/>
        <w:adjustRightInd/>
        <w:snapToGrid/>
        <w:spacing w:after="0" w:line="312" w:lineRule="auto"/>
        <w:ind w:firstLine="420"/>
        <w:textAlignment w:val="auto"/>
        <w:rPr>
          <w:rFonts w:hint="eastAsia" w:ascii="仿宋_GB2312" w:hAnsi="仿宋_GB2312" w:eastAsia="仿宋_GB2312" w:cs="仿宋_GB2312"/>
          <w:color w:val="auto"/>
          <w:sz w:val="24"/>
          <w:lang w:val="en-US" w:eastAsia="zh-CN"/>
        </w:rPr>
      </w:pPr>
      <w:r>
        <w:rPr>
          <w:rFonts w:hint="eastAsia" w:ascii="仿宋_GB2312" w:hAnsi="仿宋_GB2312" w:eastAsia="仿宋_GB2312" w:cs="仿宋_GB2312"/>
          <w:color w:val="auto"/>
          <w:sz w:val="24"/>
          <w:lang w:val="en-US" w:eastAsia="zh-CN"/>
        </w:rPr>
        <w:t>6.10如合同乙方非软件提供商，软件提供商需承担连带责任，即本技术参数中对乙方的所有约束要求、违约条件均等同于对软件提供商的要求，甲方在追究乙方违约责任的同时可以同步追究软件提供商同等责任，乙方在投标时必须提供软件提供商的售后服务承诺书原件（须加盖软件提供商公章）。</w:t>
      </w:r>
    </w:p>
    <w:bookmarkEnd w:id="1"/>
    <w:p w14:paraId="684E2FF0">
      <w:pPr>
        <w:pStyle w:val="2"/>
        <w:pageBreakBefore w:val="0"/>
        <w:widowControl w:val="0"/>
        <w:kinsoku/>
        <w:wordWrap/>
        <w:overflowPunct/>
        <w:topLinePunct w:val="0"/>
        <w:autoSpaceDE/>
        <w:autoSpaceDN/>
        <w:bidi w:val="0"/>
        <w:adjustRightInd/>
        <w:snapToGrid/>
        <w:spacing w:after="0" w:line="312" w:lineRule="auto"/>
        <w:textAlignment w:val="auto"/>
        <w:rPr>
          <w:rFonts w:hint="eastAsia" w:ascii="仿宋_GB2312" w:hAnsi="仿宋_GB2312" w:eastAsia="仿宋_GB2312" w:cs="仿宋_GB2312"/>
          <w:b/>
          <w:bCs/>
          <w:color w:val="auto"/>
          <w:sz w:val="28"/>
          <w:lang w:val="en-US"/>
        </w:rPr>
      </w:pPr>
      <w:bookmarkStart w:id="2" w:name="_Toc507405799"/>
      <w:bookmarkStart w:id="3" w:name="_Toc507405800"/>
      <w:r>
        <w:rPr>
          <w:rFonts w:hint="eastAsia" w:ascii="仿宋_GB2312" w:hAnsi="仿宋_GB2312" w:eastAsia="仿宋_GB2312" w:cs="仿宋_GB2312"/>
          <w:b/>
          <w:bCs/>
          <w:color w:val="auto"/>
          <w:sz w:val="28"/>
          <w:lang w:val="en-US"/>
        </w:rPr>
        <w:t>七、保密、廉洁协议</w:t>
      </w:r>
    </w:p>
    <w:p w14:paraId="23C86E91">
      <w:pPr>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7.1 双方保证对从另一方取得且无法自公开渠道获得的商业秘密(技术信息、经营信息及其他商业秘密)予以保密。未经该商业秘密的提供方同意，一方不得向任何第三方泄露该商业秘密的全部或部分内容，但法律、法规另有规定或双方另有约定的除外。任何一方违反保密义务的，应承担相应的违约责任并赔偿由此造成的损失。</w:t>
      </w:r>
    </w:p>
    <w:p w14:paraId="7A2CC919">
      <w:pPr>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7.2 双方不得以任何方式向第三方泄露本项目的软件技术、设计方案以及功能配置等内容。</w:t>
      </w:r>
    </w:p>
    <w:p w14:paraId="14DD3DC2">
      <w:pPr>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7.3不以任何方式向第三方泄露在本协议开发实施过程中获取的经济、技术、数据以及双方其他非公开的信息。</w:t>
      </w:r>
    </w:p>
    <w:p w14:paraId="40D7295F">
      <w:pPr>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7.4 不从事商业贿赂行为，遵守廉洁协议或相关规定。甲方发现乙方有违反廉洁协议或相关规定采用不正当手段进行不正当竞争行为的，或被有关部门生效文书认定有行贿或者受贿行为的，甲方有权解除该业务合同，由此给甲方造成的损失以及发生的一切费用均由乙方承担，甲方有权对乙方实施商业贿赂不良记录，列入“黑名单”，并三年内取消其业务往来资格。</w:t>
      </w:r>
    </w:p>
    <w:p w14:paraId="4867EAA3">
      <w:pPr>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7.5保密期限自本合同生效之日起永久有效，如乙方需解除保密协议需向甲方提出书面申请，双方协商同意签字确认后方可解除。</w:t>
      </w:r>
    </w:p>
    <w:p w14:paraId="5D0C49F2">
      <w:pPr>
        <w:pStyle w:val="2"/>
        <w:pageBreakBefore w:val="0"/>
        <w:widowControl w:val="0"/>
        <w:kinsoku/>
        <w:wordWrap/>
        <w:overflowPunct/>
        <w:topLinePunct w:val="0"/>
        <w:autoSpaceDE/>
        <w:autoSpaceDN/>
        <w:bidi w:val="0"/>
        <w:adjustRightInd/>
        <w:snapToGrid/>
        <w:spacing w:after="0" w:line="312" w:lineRule="auto"/>
        <w:textAlignment w:val="auto"/>
        <w:rPr>
          <w:rFonts w:hint="eastAsia" w:ascii="仿宋_GB2312" w:hAnsi="仿宋_GB2312" w:eastAsia="仿宋_GB2312" w:cs="仿宋_GB2312"/>
          <w:color w:val="auto"/>
          <w:lang w:val="en-US"/>
        </w:rPr>
      </w:pPr>
    </w:p>
    <w:p w14:paraId="3BF6732B">
      <w:pPr>
        <w:pStyle w:val="2"/>
        <w:pageBreakBefore w:val="0"/>
        <w:widowControl w:val="0"/>
        <w:kinsoku/>
        <w:wordWrap/>
        <w:overflowPunct/>
        <w:topLinePunct w:val="0"/>
        <w:autoSpaceDE/>
        <w:autoSpaceDN/>
        <w:bidi w:val="0"/>
        <w:adjustRightInd/>
        <w:snapToGrid/>
        <w:spacing w:after="0" w:line="312" w:lineRule="auto"/>
        <w:textAlignment w:val="auto"/>
        <w:rPr>
          <w:rFonts w:hint="eastAsia" w:ascii="仿宋_GB2312" w:hAnsi="仿宋_GB2312" w:eastAsia="仿宋_GB2312" w:cs="仿宋_GB2312"/>
          <w:b/>
          <w:bCs/>
          <w:color w:val="auto"/>
          <w:sz w:val="28"/>
          <w:lang w:val="en-US"/>
        </w:rPr>
      </w:pPr>
      <w:r>
        <w:rPr>
          <w:rFonts w:hint="eastAsia" w:ascii="仿宋_GB2312" w:hAnsi="仿宋_GB2312" w:eastAsia="仿宋_GB2312" w:cs="仿宋_GB2312"/>
          <w:b/>
          <w:bCs/>
          <w:color w:val="auto"/>
          <w:sz w:val="28"/>
          <w:lang w:val="en-US"/>
        </w:rPr>
        <w:t>八、报价</w:t>
      </w:r>
    </w:p>
    <w:p w14:paraId="15EC1098">
      <w:pPr>
        <w:pStyle w:val="2"/>
        <w:pageBreakBefore w:val="0"/>
        <w:widowControl w:val="0"/>
        <w:kinsoku/>
        <w:wordWrap/>
        <w:overflowPunct/>
        <w:topLinePunct w:val="0"/>
        <w:autoSpaceDE/>
        <w:autoSpaceDN/>
        <w:bidi w:val="0"/>
        <w:adjustRightInd/>
        <w:snapToGrid/>
        <w:spacing w:after="0" w:line="312" w:lineRule="auto"/>
        <w:ind w:firstLine="420" w:firstLineChars="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8.1</w:t>
      </w:r>
      <w:r>
        <w:rPr>
          <w:rFonts w:hint="eastAsia" w:ascii="仿宋_GB2312" w:hAnsi="仿宋_GB2312" w:eastAsia="仿宋_GB2312" w:cs="仿宋_GB2312"/>
          <w:color w:val="auto"/>
          <w:sz w:val="24"/>
          <w:szCs w:val="24"/>
        </w:rPr>
        <w:t>竞标文件</w:t>
      </w:r>
      <w:r>
        <w:rPr>
          <w:rFonts w:hint="eastAsia" w:ascii="仿宋_GB2312" w:hAnsi="仿宋_GB2312" w:eastAsia="仿宋_GB2312" w:cs="仿宋_GB2312"/>
          <w:color w:val="auto"/>
          <w:sz w:val="24"/>
          <w:szCs w:val="24"/>
          <w:lang w:eastAsia="zh-CN"/>
        </w:rPr>
        <w:t>提供技术偏离表、服务偏离表</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eastAsia="zh-CN"/>
        </w:rPr>
        <w:t>并标明详细的技术和服务内容。</w:t>
      </w:r>
      <w:r>
        <w:rPr>
          <w:rFonts w:hint="eastAsia" w:ascii="仿宋_GB2312" w:hAnsi="仿宋_GB2312" w:eastAsia="仿宋_GB2312" w:cs="仿宋_GB2312"/>
          <w:color w:val="auto"/>
          <w:sz w:val="24"/>
          <w:szCs w:val="24"/>
        </w:rPr>
        <w:t>竞标文件按系统模块报价，报价表价格包含系统软硬件费用、产品安装、调试实施、培训费用、产品升级费用</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接口费（包括第三方厂家的接口费）等费用，以及明示所有责任、义务和一切风险。</w:t>
      </w:r>
    </w:p>
    <w:p w14:paraId="422DD613">
      <w:pPr>
        <w:pStyle w:val="2"/>
        <w:pageBreakBefore w:val="0"/>
        <w:widowControl w:val="0"/>
        <w:kinsoku/>
        <w:wordWrap/>
        <w:overflowPunct/>
        <w:topLinePunct w:val="0"/>
        <w:autoSpaceDE/>
        <w:autoSpaceDN/>
        <w:bidi w:val="0"/>
        <w:adjustRightInd/>
        <w:snapToGrid/>
        <w:spacing w:after="0" w:line="312" w:lineRule="auto"/>
        <w:ind w:firstLine="420" w:firstLineChars="0"/>
        <w:textAlignment w:val="auto"/>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val="en-US" w:eastAsia="zh-CN"/>
        </w:rPr>
        <w:t>8.2</w:t>
      </w:r>
      <w:r>
        <w:rPr>
          <w:rFonts w:hint="eastAsia" w:ascii="仿宋_GB2312" w:hAnsi="仿宋_GB2312" w:eastAsia="仿宋_GB2312" w:cs="仿宋_GB2312"/>
          <w:color w:val="auto"/>
          <w:sz w:val="24"/>
          <w:szCs w:val="24"/>
          <w:lang w:eastAsia="zh-CN"/>
        </w:rPr>
        <w:t>竞标文件需提供</w:t>
      </w:r>
      <w:r>
        <w:rPr>
          <w:rFonts w:hint="eastAsia" w:ascii="仿宋_GB2312" w:hAnsi="仿宋_GB2312" w:eastAsia="仿宋_GB2312" w:cs="仿宋_GB2312"/>
          <w:sz w:val="24"/>
          <w:szCs w:val="24"/>
          <w:lang w:eastAsia="zh-CN"/>
        </w:rPr>
        <w:t>维保期</w:t>
      </w:r>
      <w:r>
        <w:rPr>
          <w:rFonts w:hint="eastAsia" w:ascii="仿宋_GB2312" w:hAnsi="仿宋_GB2312" w:eastAsia="仿宋_GB2312" w:cs="仿宋_GB2312"/>
          <w:sz w:val="24"/>
          <w:szCs w:val="24"/>
        </w:rPr>
        <w:t>方案及</w:t>
      </w:r>
      <w:r>
        <w:rPr>
          <w:rFonts w:hint="eastAsia" w:ascii="仿宋_GB2312" w:hAnsi="仿宋_GB2312" w:eastAsia="仿宋_GB2312" w:cs="仿宋_GB2312"/>
          <w:sz w:val="24"/>
          <w:szCs w:val="24"/>
          <w:lang w:eastAsia="zh-CN"/>
        </w:rPr>
        <w:t>报价</w:t>
      </w:r>
      <w:r>
        <w:rPr>
          <w:rFonts w:hint="eastAsia" w:ascii="仿宋_GB2312" w:hAnsi="仿宋_GB2312" w:eastAsia="仿宋_GB2312" w:cs="仿宋_GB2312"/>
          <w:color w:val="auto"/>
          <w:sz w:val="24"/>
          <w:szCs w:val="24"/>
          <w:lang w:eastAsia="zh-CN"/>
        </w:rPr>
        <w:t>。</w:t>
      </w:r>
    </w:p>
    <w:p w14:paraId="2257C7F6">
      <w:pPr>
        <w:pStyle w:val="3"/>
        <w:pageBreakBefore w:val="0"/>
        <w:widowControl w:val="0"/>
        <w:numPr>
          <w:ilvl w:val="0"/>
          <w:numId w:val="0"/>
        </w:numPr>
        <w:kinsoku/>
        <w:wordWrap/>
        <w:overflowPunct/>
        <w:topLinePunct w:val="0"/>
        <w:autoSpaceDE/>
        <w:autoSpaceDN/>
        <w:bidi w:val="0"/>
        <w:adjustRightInd/>
        <w:snapToGrid/>
        <w:spacing w:before="0" w:after="0" w:line="312" w:lineRule="auto"/>
        <w:textAlignment w:val="auto"/>
        <w:rPr>
          <w:rFonts w:hint="eastAsia" w:ascii="仿宋_GB2312" w:hAnsi="仿宋_GB2312" w:eastAsia="仿宋_GB2312" w:cs="仿宋_GB2312"/>
          <w:bCs w:val="0"/>
          <w:sz w:val="32"/>
          <w:szCs w:val="32"/>
        </w:rPr>
      </w:pPr>
      <w:r>
        <w:rPr>
          <w:rFonts w:hint="eastAsia" w:ascii="仿宋_GB2312" w:hAnsi="仿宋_GB2312" w:eastAsia="仿宋_GB2312" w:cs="仿宋_GB2312"/>
          <w:bCs w:val="0"/>
          <w:sz w:val="32"/>
          <w:szCs w:val="32"/>
        </w:rPr>
        <w:t>九、付款方式</w:t>
      </w:r>
      <w:bookmarkEnd w:id="2"/>
    </w:p>
    <w:p w14:paraId="54BFA3A1">
      <w:pPr>
        <w:pStyle w:val="11"/>
        <w:spacing w:line="360" w:lineRule="auto"/>
        <w:ind w:left="0" w:leftChars="0" w:firstLine="614" w:firstLineChars="256"/>
        <w:jc w:val="both"/>
        <w:rPr>
          <w:rFonts w:hint="eastAsia" w:ascii="仿宋_GB2312" w:hAnsi="仿宋_GB2312" w:eastAsia="仿宋_GB2312" w:cs="仿宋_GB2312"/>
          <w:color w:val="auto"/>
          <w:sz w:val="24"/>
          <w:lang w:val="en-US"/>
        </w:rPr>
      </w:pPr>
      <w:r>
        <w:rPr>
          <w:rFonts w:hint="eastAsia" w:ascii="仿宋_GB2312" w:hAnsi="仿宋_GB2312" w:eastAsia="仿宋_GB2312" w:cs="仿宋_GB2312"/>
          <w:sz w:val="24"/>
          <w:szCs w:val="24"/>
        </w:rPr>
        <w:t>项目双方签订</w:t>
      </w:r>
      <w:r>
        <w:rPr>
          <w:rFonts w:hint="eastAsia" w:ascii="仿宋_GB2312" w:hAnsi="仿宋_GB2312" w:eastAsia="仿宋_GB2312" w:cs="仿宋_GB2312"/>
          <w:color w:val="auto"/>
          <w:sz w:val="24"/>
          <w:szCs w:val="24"/>
        </w:rPr>
        <w:t>合同，</w:t>
      </w:r>
      <w:r>
        <w:rPr>
          <w:rFonts w:hint="eastAsia" w:ascii="仿宋_GB2312" w:hAnsi="仿宋_GB2312" w:eastAsia="仿宋_GB2312" w:cs="仿宋_GB2312"/>
          <w:color w:val="auto"/>
          <w:sz w:val="24"/>
          <w:szCs w:val="24"/>
          <w:lang w:val="en-US" w:eastAsia="zh-CN"/>
        </w:rPr>
        <w:t>项目上线稳定运行1个月后，</w:t>
      </w:r>
      <w:r>
        <w:rPr>
          <w:rFonts w:hint="eastAsia" w:ascii="仿宋_GB2312" w:hAnsi="仿宋_GB2312" w:eastAsia="仿宋_GB2312" w:cs="仿宋_GB2312"/>
          <w:color w:val="auto"/>
          <w:sz w:val="24"/>
          <w:szCs w:val="24"/>
        </w:rPr>
        <w:t>启动</w:t>
      </w:r>
      <w:r>
        <w:rPr>
          <w:rFonts w:hint="eastAsia" w:ascii="仿宋_GB2312" w:hAnsi="仿宋_GB2312" w:eastAsia="仿宋_GB2312" w:cs="仿宋_GB2312"/>
          <w:color w:val="auto"/>
          <w:sz w:val="24"/>
          <w:szCs w:val="24"/>
          <w:lang w:eastAsia="zh-CN"/>
        </w:rPr>
        <w:t>系统上线</w:t>
      </w:r>
      <w:r>
        <w:rPr>
          <w:rFonts w:hint="eastAsia" w:ascii="仿宋_GB2312" w:hAnsi="仿宋_GB2312" w:eastAsia="仿宋_GB2312" w:cs="仿宋_GB2312"/>
          <w:color w:val="auto"/>
          <w:sz w:val="24"/>
          <w:szCs w:val="24"/>
        </w:rPr>
        <w:t>验收</w:t>
      </w:r>
      <w:r>
        <w:rPr>
          <w:rFonts w:hint="eastAsia" w:ascii="仿宋_GB2312" w:hAnsi="仿宋_GB2312" w:eastAsia="仿宋_GB2312" w:cs="仿宋_GB2312"/>
          <w:color w:val="auto"/>
          <w:sz w:val="24"/>
          <w:szCs w:val="24"/>
          <w:lang w:eastAsia="zh-CN"/>
        </w:rPr>
        <w:t>，上线验收合格后，</w:t>
      </w:r>
      <w:r>
        <w:rPr>
          <w:rFonts w:hint="eastAsia" w:ascii="仿宋_GB2312" w:hAnsi="仿宋_GB2312" w:eastAsia="仿宋_GB2312" w:cs="仿宋_GB2312"/>
          <w:color w:val="auto"/>
          <w:sz w:val="24"/>
          <w:szCs w:val="24"/>
        </w:rPr>
        <w:t>用户支付合同款项的30%；合同</w:t>
      </w:r>
      <w:r>
        <w:rPr>
          <w:rFonts w:hint="eastAsia" w:ascii="仿宋_GB2312" w:hAnsi="仿宋_GB2312" w:eastAsia="仿宋_GB2312" w:cs="仿宋_GB2312"/>
          <w:color w:val="auto"/>
          <w:sz w:val="24"/>
          <w:szCs w:val="24"/>
          <w:lang w:eastAsia="zh-CN"/>
        </w:rPr>
        <w:t>中所有功能及模块</w:t>
      </w:r>
      <w:r>
        <w:rPr>
          <w:rFonts w:hint="eastAsia" w:ascii="仿宋_GB2312" w:hAnsi="仿宋_GB2312" w:eastAsia="仿宋_GB2312" w:cs="仿宋_GB2312"/>
          <w:color w:val="auto"/>
          <w:sz w:val="24"/>
          <w:szCs w:val="24"/>
        </w:rPr>
        <w:t>实施完毕，</w:t>
      </w:r>
      <w:r>
        <w:rPr>
          <w:rFonts w:hint="eastAsia" w:ascii="仿宋_GB2312" w:hAnsi="仿宋_GB2312" w:eastAsia="仿宋_GB2312" w:cs="仿宋_GB2312"/>
          <w:color w:val="auto"/>
          <w:sz w:val="24"/>
          <w:szCs w:val="24"/>
          <w:lang w:eastAsia="zh-CN"/>
        </w:rPr>
        <w:t>系统</w:t>
      </w:r>
      <w:r>
        <w:rPr>
          <w:rFonts w:hint="eastAsia" w:ascii="仿宋_GB2312" w:hAnsi="仿宋_GB2312" w:eastAsia="仿宋_GB2312" w:cs="仿宋_GB2312"/>
          <w:color w:val="auto"/>
          <w:sz w:val="24"/>
          <w:szCs w:val="24"/>
        </w:rPr>
        <w:t>上线稳定运行3个月后，启动</w:t>
      </w:r>
      <w:r>
        <w:rPr>
          <w:rFonts w:hint="eastAsia" w:ascii="仿宋_GB2312" w:hAnsi="仿宋_GB2312" w:eastAsia="仿宋_GB2312" w:cs="仿宋_GB2312"/>
          <w:color w:val="auto"/>
          <w:sz w:val="24"/>
          <w:szCs w:val="24"/>
          <w:lang w:eastAsia="zh-CN"/>
        </w:rPr>
        <w:t>项目</w:t>
      </w:r>
      <w:r>
        <w:rPr>
          <w:rFonts w:hint="eastAsia" w:ascii="仿宋_GB2312" w:hAnsi="仿宋_GB2312" w:eastAsia="仿宋_GB2312" w:cs="仿宋_GB2312"/>
          <w:color w:val="auto"/>
          <w:sz w:val="24"/>
          <w:szCs w:val="24"/>
        </w:rPr>
        <w:t>验收，验收合格后</w:t>
      </w:r>
      <w:r>
        <w:rPr>
          <w:rFonts w:hint="eastAsia" w:ascii="仿宋_GB2312" w:hAnsi="仿宋_GB2312" w:eastAsia="仿宋_GB2312" w:cs="仿宋_GB2312"/>
          <w:color w:val="auto"/>
          <w:sz w:val="24"/>
          <w:szCs w:val="24"/>
          <w:lang w:eastAsia="zh-CN"/>
        </w:rPr>
        <w:t>甲方支付</w:t>
      </w:r>
      <w:r>
        <w:rPr>
          <w:rFonts w:hint="eastAsia" w:ascii="仿宋_GB2312" w:hAnsi="仿宋_GB2312" w:eastAsia="仿宋_GB2312" w:cs="仿宋_GB2312"/>
          <w:color w:val="auto"/>
          <w:sz w:val="24"/>
          <w:szCs w:val="24"/>
        </w:rPr>
        <w:t>合同款项的60%，自验收合格之日起，</w:t>
      </w:r>
      <w:bookmarkEnd w:id="3"/>
      <w:r>
        <w:rPr>
          <w:rFonts w:hint="eastAsia" w:ascii="仿宋_GB2312" w:hAnsi="仿宋_GB2312" w:eastAsia="仿宋_GB2312" w:cs="仿宋_GB2312"/>
          <w:color w:val="auto"/>
          <w:sz w:val="24"/>
          <w:szCs w:val="24"/>
          <w:lang w:val="en-US" w:eastAsia="zh-CN"/>
        </w:rPr>
        <w:t>稳定运行1年后，甲方支付合同款项的10%（不计利息）。</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D84B87"/>
    <w:multiLevelType w:val="multilevel"/>
    <w:tmpl w:val="14D84B87"/>
    <w:lvl w:ilvl="0" w:tentative="0">
      <w:start w:val="1"/>
      <w:numFmt w:val="chineseCountingThousand"/>
      <w:pStyle w:val="3"/>
      <w:lvlText w:val="%1"/>
      <w:lvlJc w:val="left"/>
      <w:pPr>
        <w:ind w:left="425" w:hanging="425"/>
      </w:pPr>
      <w:rPr>
        <w:rFonts w:hint="eastAsia"/>
      </w:rPr>
    </w:lvl>
    <w:lvl w:ilvl="1" w:tentative="0">
      <w:start w:val="1"/>
      <w:numFmt w:val="chineseCountingThousand"/>
      <w:lvlText w:val="(%2)"/>
      <w:lvlJc w:val="left"/>
      <w:pPr>
        <w:ind w:left="850" w:hanging="567"/>
      </w:pPr>
      <w:rPr>
        <w:rFonts w:hint="eastAsia"/>
      </w:rPr>
    </w:lvl>
    <w:lvl w:ilvl="2" w:tentative="0">
      <w:start w:val="1"/>
      <w:numFmt w:val="decimal"/>
      <w:lvlText w:val="%3."/>
      <w:lvlJc w:val="left"/>
      <w:pPr>
        <w:ind w:left="1356" w:hanging="567"/>
      </w:pPr>
      <w:rPr>
        <w:rFonts w:hint="eastAsia"/>
      </w:rPr>
    </w:lvl>
    <w:lvl w:ilvl="3" w:tentative="0">
      <w:start w:val="1"/>
      <w:numFmt w:val="decimal"/>
      <w:isLgl/>
      <w:lvlText w:val="%1.%2.%3.%4"/>
      <w:lvlJc w:val="left"/>
      <w:pPr>
        <w:ind w:left="1984" w:hanging="708"/>
      </w:pPr>
      <w:rPr>
        <w:rFonts w:hint="eastAsia"/>
      </w:rPr>
    </w:lvl>
    <w:lvl w:ilvl="4" w:tentative="0">
      <w:start w:val="1"/>
      <w:numFmt w:val="decimal"/>
      <w:isLgl/>
      <w:lvlText w:val="%1.%2.%3.%4.%5"/>
      <w:lvlJc w:val="left"/>
      <w:pPr>
        <w:ind w:left="2551" w:hanging="850"/>
      </w:pPr>
      <w:rPr>
        <w:rFonts w:hint="eastAsia"/>
      </w:rPr>
    </w:lvl>
    <w:lvl w:ilvl="5" w:tentative="0">
      <w:start w:val="1"/>
      <w:numFmt w:val="decimal"/>
      <w:isLgl/>
      <w:lvlText w:val="%1.%2.%3.%4.%5.%6"/>
      <w:lvlJc w:val="left"/>
      <w:pPr>
        <w:ind w:left="3260" w:hanging="1134"/>
      </w:pPr>
      <w:rPr>
        <w:rFonts w:hint="eastAsia"/>
      </w:rPr>
    </w:lvl>
    <w:lvl w:ilvl="6" w:tentative="0">
      <w:start w:val="1"/>
      <w:numFmt w:val="decimal"/>
      <w:isLgl/>
      <w:lvlText w:val="%1.%2.%3.%4.%5.%6.%7"/>
      <w:lvlJc w:val="left"/>
      <w:pPr>
        <w:ind w:left="3827" w:hanging="1276"/>
      </w:pPr>
      <w:rPr>
        <w:rFonts w:hint="eastAsia"/>
      </w:rPr>
    </w:lvl>
    <w:lvl w:ilvl="7" w:tentative="0">
      <w:start w:val="1"/>
      <w:numFmt w:val="decimal"/>
      <w:isLgl/>
      <w:lvlText w:val="%1.%2.%3.%4.%5.%6.%7.%8"/>
      <w:lvlJc w:val="left"/>
      <w:pPr>
        <w:ind w:left="4394" w:hanging="1418"/>
      </w:pPr>
      <w:rPr>
        <w:rFonts w:hint="eastAsia"/>
      </w:rPr>
    </w:lvl>
    <w:lvl w:ilvl="8" w:tentative="0">
      <w:start w:val="1"/>
      <w:numFmt w:val="decimal"/>
      <w:isLgl/>
      <w:lvlText w:val="%1.%2.%3.%4.%5.%6.%7.%8.%9"/>
      <w:lvlJc w:val="left"/>
      <w:pPr>
        <w:ind w:left="5102" w:hanging="1700"/>
      </w:pPr>
      <w:rPr>
        <w:rFonts w:hint="eastAsia"/>
      </w:rPr>
    </w:lvl>
  </w:abstractNum>
  <w:abstractNum w:abstractNumId="1">
    <w:nsid w:val="23EC5C6F"/>
    <w:multiLevelType w:val="multilevel"/>
    <w:tmpl w:val="23EC5C6F"/>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E2410"/>
    <w:rsid w:val="001A11FC"/>
    <w:rsid w:val="001A1C12"/>
    <w:rsid w:val="002A29C0"/>
    <w:rsid w:val="00306E6E"/>
    <w:rsid w:val="003E62DF"/>
    <w:rsid w:val="00435C7C"/>
    <w:rsid w:val="00481560"/>
    <w:rsid w:val="00491534"/>
    <w:rsid w:val="004D3BA6"/>
    <w:rsid w:val="005D449A"/>
    <w:rsid w:val="006A3CAE"/>
    <w:rsid w:val="006C202C"/>
    <w:rsid w:val="008C322F"/>
    <w:rsid w:val="009F4C1B"/>
    <w:rsid w:val="00A140D3"/>
    <w:rsid w:val="00B759E0"/>
    <w:rsid w:val="00D5380E"/>
    <w:rsid w:val="00DC1FBB"/>
    <w:rsid w:val="00E61AD4"/>
    <w:rsid w:val="00F13AA1"/>
    <w:rsid w:val="00F9257D"/>
    <w:rsid w:val="016025FC"/>
    <w:rsid w:val="01E200EE"/>
    <w:rsid w:val="02641C78"/>
    <w:rsid w:val="036077C1"/>
    <w:rsid w:val="038608DA"/>
    <w:rsid w:val="047A30BD"/>
    <w:rsid w:val="05A54A82"/>
    <w:rsid w:val="067B18B8"/>
    <w:rsid w:val="0681237C"/>
    <w:rsid w:val="06DF14B2"/>
    <w:rsid w:val="071B4E08"/>
    <w:rsid w:val="072E01FC"/>
    <w:rsid w:val="07CD02C0"/>
    <w:rsid w:val="07D67A7B"/>
    <w:rsid w:val="08741252"/>
    <w:rsid w:val="0A3927A2"/>
    <w:rsid w:val="0A791D80"/>
    <w:rsid w:val="0B1E3309"/>
    <w:rsid w:val="0BA650B0"/>
    <w:rsid w:val="0C3B69E4"/>
    <w:rsid w:val="0CF44C71"/>
    <w:rsid w:val="0EC341CA"/>
    <w:rsid w:val="0EE77EB9"/>
    <w:rsid w:val="0F2A1F3D"/>
    <w:rsid w:val="105A46BB"/>
    <w:rsid w:val="109B068D"/>
    <w:rsid w:val="112137C2"/>
    <w:rsid w:val="12D135BD"/>
    <w:rsid w:val="12D1790A"/>
    <w:rsid w:val="12D90B2E"/>
    <w:rsid w:val="13A4281C"/>
    <w:rsid w:val="14782DB8"/>
    <w:rsid w:val="14AF00BD"/>
    <w:rsid w:val="153D4F2B"/>
    <w:rsid w:val="165C1DAE"/>
    <w:rsid w:val="16EB42BE"/>
    <w:rsid w:val="16ED2D59"/>
    <w:rsid w:val="174D1CA9"/>
    <w:rsid w:val="17536FF6"/>
    <w:rsid w:val="17541870"/>
    <w:rsid w:val="17813E66"/>
    <w:rsid w:val="1846212A"/>
    <w:rsid w:val="19151124"/>
    <w:rsid w:val="192D6E10"/>
    <w:rsid w:val="1A251034"/>
    <w:rsid w:val="1AA944D3"/>
    <w:rsid w:val="1ABE27D0"/>
    <w:rsid w:val="1B5C436C"/>
    <w:rsid w:val="1B91509A"/>
    <w:rsid w:val="1C654B13"/>
    <w:rsid w:val="1C6F65CE"/>
    <w:rsid w:val="1D9262D5"/>
    <w:rsid w:val="1DBC4C07"/>
    <w:rsid w:val="1E414E81"/>
    <w:rsid w:val="21B856E5"/>
    <w:rsid w:val="21DE339D"/>
    <w:rsid w:val="21E43B26"/>
    <w:rsid w:val="22293C01"/>
    <w:rsid w:val="223B5680"/>
    <w:rsid w:val="224243ED"/>
    <w:rsid w:val="233B4088"/>
    <w:rsid w:val="237D224F"/>
    <w:rsid w:val="23A72D1A"/>
    <w:rsid w:val="240D7F6A"/>
    <w:rsid w:val="24DA1462"/>
    <w:rsid w:val="251F0377"/>
    <w:rsid w:val="25624527"/>
    <w:rsid w:val="25D43FBF"/>
    <w:rsid w:val="26AA16D4"/>
    <w:rsid w:val="27220A72"/>
    <w:rsid w:val="272D6C19"/>
    <w:rsid w:val="284C2F0D"/>
    <w:rsid w:val="28C25271"/>
    <w:rsid w:val="28D472A8"/>
    <w:rsid w:val="290632D5"/>
    <w:rsid w:val="29E74DB9"/>
    <w:rsid w:val="2A0C2A72"/>
    <w:rsid w:val="2AC96EBF"/>
    <w:rsid w:val="2ADF46D8"/>
    <w:rsid w:val="2B157704"/>
    <w:rsid w:val="2BA52CF3"/>
    <w:rsid w:val="2C6E439E"/>
    <w:rsid w:val="2C732934"/>
    <w:rsid w:val="2C8F073A"/>
    <w:rsid w:val="2CA67011"/>
    <w:rsid w:val="2E516CA5"/>
    <w:rsid w:val="2E55261B"/>
    <w:rsid w:val="2FC024F2"/>
    <w:rsid w:val="313905F0"/>
    <w:rsid w:val="31AF08B2"/>
    <w:rsid w:val="32FC18D5"/>
    <w:rsid w:val="334453A4"/>
    <w:rsid w:val="344352E2"/>
    <w:rsid w:val="34906983"/>
    <w:rsid w:val="34A02F04"/>
    <w:rsid w:val="367D4F11"/>
    <w:rsid w:val="36B36B59"/>
    <w:rsid w:val="36E8167B"/>
    <w:rsid w:val="37C5786B"/>
    <w:rsid w:val="37E8067A"/>
    <w:rsid w:val="38487F1B"/>
    <w:rsid w:val="38733E92"/>
    <w:rsid w:val="394A0895"/>
    <w:rsid w:val="395C56DE"/>
    <w:rsid w:val="39A20CFD"/>
    <w:rsid w:val="3A6B617C"/>
    <w:rsid w:val="3A965B44"/>
    <w:rsid w:val="3B450A85"/>
    <w:rsid w:val="3B4F3BCB"/>
    <w:rsid w:val="3BCC7EB5"/>
    <w:rsid w:val="3D3C4A52"/>
    <w:rsid w:val="3D655CAD"/>
    <w:rsid w:val="3DC3562A"/>
    <w:rsid w:val="3DCF123E"/>
    <w:rsid w:val="3E3103B1"/>
    <w:rsid w:val="3FC733A8"/>
    <w:rsid w:val="3FFE146B"/>
    <w:rsid w:val="413D18AA"/>
    <w:rsid w:val="41971DBD"/>
    <w:rsid w:val="42886D23"/>
    <w:rsid w:val="435B43F6"/>
    <w:rsid w:val="43607C5E"/>
    <w:rsid w:val="439D6AAA"/>
    <w:rsid w:val="43AE0137"/>
    <w:rsid w:val="43CC4B30"/>
    <w:rsid w:val="440C2CE7"/>
    <w:rsid w:val="44511123"/>
    <w:rsid w:val="44636B41"/>
    <w:rsid w:val="44973170"/>
    <w:rsid w:val="4513234C"/>
    <w:rsid w:val="452B604A"/>
    <w:rsid w:val="455A3219"/>
    <w:rsid w:val="457173F8"/>
    <w:rsid w:val="45A34DF4"/>
    <w:rsid w:val="46843C64"/>
    <w:rsid w:val="47AE7CCF"/>
    <w:rsid w:val="47FA24B7"/>
    <w:rsid w:val="480C0CC5"/>
    <w:rsid w:val="48554C50"/>
    <w:rsid w:val="49146939"/>
    <w:rsid w:val="49C017DB"/>
    <w:rsid w:val="4A560560"/>
    <w:rsid w:val="4A565917"/>
    <w:rsid w:val="4AE65862"/>
    <w:rsid w:val="4B3519D1"/>
    <w:rsid w:val="4B507869"/>
    <w:rsid w:val="4BC845F3"/>
    <w:rsid w:val="4BF413EA"/>
    <w:rsid w:val="4C9B3AB5"/>
    <w:rsid w:val="4D5A127B"/>
    <w:rsid w:val="4E524648"/>
    <w:rsid w:val="4E640AFC"/>
    <w:rsid w:val="4E697BF2"/>
    <w:rsid w:val="4E74636C"/>
    <w:rsid w:val="4E8D5680"/>
    <w:rsid w:val="4F640350"/>
    <w:rsid w:val="4F8C1172"/>
    <w:rsid w:val="50743E4F"/>
    <w:rsid w:val="507D710A"/>
    <w:rsid w:val="50844495"/>
    <w:rsid w:val="508670F0"/>
    <w:rsid w:val="509500A9"/>
    <w:rsid w:val="50A873B9"/>
    <w:rsid w:val="50C52CA1"/>
    <w:rsid w:val="50E7551B"/>
    <w:rsid w:val="50F32112"/>
    <w:rsid w:val="510C73A7"/>
    <w:rsid w:val="51516E38"/>
    <w:rsid w:val="525F7333"/>
    <w:rsid w:val="52C26DA5"/>
    <w:rsid w:val="52C84CF5"/>
    <w:rsid w:val="530E2837"/>
    <w:rsid w:val="5349426B"/>
    <w:rsid w:val="543320FB"/>
    <w:rsid w:val="54361EC0"/>
    <w:rsid w:val="54E82BB7"/>
    <w:rsid w:val="551F6F5A"/>
    <w:rsid w:val="55B43D13"/>
    <w:rsid w:val="55EB160A"/>
    <w:rsid w:val="562C3FA0"/>
    <w:rsid w:val="56864135"/>
    <w:rsid w:val="57094DA1"/>
    <w:rsid w:val="585573E7"/>
    <w:rsid w:val="59875AED"/>
    <w:rsid w:val="59EA1396"/>
    <w:rsid w:val="5A334C18"/>
    <w:rsid w:val="5BDC2E1B"/>
    <w:rsid w:val="5C2974BB"/>
    <w:rsid w:val="5C4B79F0"/>
    <w:rsid w:val="5C6164F3"/>
    <w:rsid w:val="5C7B2C6F"/>
    <w:rsid w:val="5CEB45ED"/>
    <w:rsid w:val="5EB804F7"/>
    <w:rsid w:val="5EEF047E"/>
    <w:rsid w:val="606A2F3D"/>
    <w:rsid w:val="607B2E53"/>
    <w:rsid w:val="62196213"/>
    <w:rsid w:val="626A7D5A"/>
    <w:rsid w:val="627C10CE"/>
    <w:rsid w:val="62BD60DC"/>
    <w:rsid w:val="638B5099"/>
    <w:rsid w:val="63EF6D4C"/>
    <w:rsid w:val="641F55CF"/>
    <w:rsid w:val="64E8140A"/>
    <w:rsid w:val="65843857"/>
    <w:rsid w:val="65E529C8"/>
    <w:rsid w:val="65EF576E"/>
    <w:rsid w:val="66377EC1"/>
    <w:rsid w:val="664136E5"/>
    <w:rsid w:val="66EC10AB"/>
    <w:rsid w:val="67234BE8"/>
    <w:rsid w:val="675A37D7"/>
    <w:rsid w:val="67C37F93"/>
    <w:rsid w:val="68565E67"/>
    <w:rsid w:val="686C39B1"/>
    <w:rsid w:val="68B72934"/>
    <w:rsid w:val="69750D2C"/>
    <w:rsid w:val="69A9737D"/>
    <w:rsid w:val="6A5B6461"/>
    <w:rsid w:val="6AEB0E59"/>
    <w:rsid w:val="6B817AEE"/>
    <w:rsid w:val="6B9E401E"/>
    <w:rsid w:val="6C1A6998"/>
    <w:rsid w:val="6E1B45FE"/>
    <w:rsid w:val="6EA16277"/>
    <w:rsid w:val="6FB40F38"/>
    <w:rsid w:val="70984E6B"/>
    <w:rsid w:val="711C77D0"/>
    <w:rsid w:val="71AD1D19"/>
    <w:rsid w:val="72370E5F"/>
    <w:rsid w:val="728D2BFB"/>
    <w:rsid w:val="73051406"/>
    <w:rsid w:val="73C874D8"/>
    <w:rsid w:val="73ED0541"/>
    <w:rsid w:val="73F71B2F"/>
    <w:rsid w:val="7524075C"/>
    <w:rsid w:val="754955A8"/>
    <w:rsid w:val="75B36158"/>
    <w:rsid w:val="768C47F6"/>
    <w:rsid w:val="76C07BAD"/>
    <w:rsid w:val="76C64F98"/>
    <w:rsid w:val="780A196C"/>
    <w:rsid w:val="788D434B"/>
    <w:rsid w:val="791F31F5"/>
    <w:rsid w:val="79792DFF"/>
    <w:rsid w:val="79B9785D"/>
    <w:rsid w:val="7AB427B8"/>
    <w:rsid w:val="7AF44B79"/>
    <w:rsid w:val="7AFE508C"/>
    <w:rsid w:val="7B7F10E2"/>
    <w:rsid w:val="7B8223C5"/>
    <w:rsid w:val="7C705C4D"/>
    <w:rsid w:val="7CA04A56"/>
    <w:rsid w:val="7DE92023"/>
    <w:rsid w:val="7ECE1CDB"/>
    <w:rsid w:val="7ED45A9B"/>
    <w:rsid w:val="7F1650EA"/>
    <w:rsid w:val="7F556756"/>
    <w:rsid w:val="7F690815"/>
    <w:rsid w:val="7F774919"/>
    <w:rsid w:val="7F895F01"/>
    <w:rsid w:val="7FF40C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keepNext/>
      <w:keepLines/>
      <w:numPr>
        <w:ilvl w:val="0"/>
        <w:numId w:val="1"/>
      </w:numPr>
      <w:spacing w:before="340" w:after="330" w:line="578" w:lineRule="auto"/>
      <w:outlineLvl w:val="0"/>
    </w:pPr>
    <w:rPr>
      <w:b/>
      <w:bCs/>
      <w:kern w:val="44"/>
      <w:sz w:val="44"/>
      <w:szCs w:val="44"/>
    </w:rPr>
  </w:style>
  <w:style w:type="paragraph" w:styleId="4">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rPr>
      <w:rFonts w:ascii="Times New Roman" w:hAnsi="Times New Roman"/>
      <w:kern w:val="0"/>
      <w:sz w:val="20"/>
      <w:szCs w:val="24"/>
      <w:lang w:val="zh-CN"/>
    </w:rPr>
  </w:style>
  <w:style w:type="paragraph" w:styleId="5">
    <w:name w:val="Body Text Indent 2"/>
    <w:basedOn w:val="1"/>
    <w:qFormat/>
    <w:uiPriority w:val="0"/>
    <w:pPr>
      <w:ind w:firstLine="630"/>
    </w:pPr>
    <w:rPr>
      <w:sz w:val="32"/>
      <w:szCs w:val="20"/>
    </w:rPr>
  </w:style>
  <w:style w:type="paragraph" w:styleId="6">
    <w:name w:val="footer"/>
    <w:basedOn w:val="1"/>
    <w:link w:val="14"/>
    <w:qFormat/>
    <w:uiPriority w:val="0"/>
    <w:pPr>
      <w:tabs>
        <w:tab w:val="center" w:pos="4153"/>
        <w:tab w:val="right" w:pos="8306"/>
      </w:tabs>
      <w:snapToGrid w:val="0"/>
      <w:jc w:val="left"/>
    </w:pPr>
    <w:rPr>
      <w:sz w:val="18"/>
      <w:szCs w:val="18"/>
    </w:rPr>
  </w:style>
  <w:style w:type="paragraph" w:styleId="7">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1">
    <w:name w:val="List Paragraph"/>
    <w:basedOn w:val="1"/>
    <w:qFormat/>
    <w:uiPriority w:val="34"/>
    <w:pPr>
      <w:ind w:firstLine="420" w:firstLineChars="200"/>
    </w:pPr>
  </w:style>
  <w:style w:type="paragraph" w:customStyle="1" w:styleId="12">
    <w:name w:val="p15"/>
    <w:basedOn w:val="1"/>
    <w:qFormat/>
    <w:uiPriority w:val="0"/>
    <w:pPr>
      <w:widowControl/>
      <w:ind w:firstLine="420"/>
    </w:pPr>
    <w:rPr>
      <w:kern w:val="0"/>
      <w:szCs w:val="21"/>
    </w:rPr>
  </w:style>
  <w:style w:type="character" w:customStyle="1" w:styleId="13">
    <w:name w:val="页眉 字符"/>
    <w:basedOn w:val="10"/>
    <w:link w:val="7"/>
    <w:qFormat/>
    <w:uiPriority w:val="0"/>
    <w:rPr>
      <w:rFonts w:asciiTheme="minorHAnsi" w:hAnsiTheme="minorHAnsi" w:eastAsiaTheme="minorEastAsia" w:cstheme="minorBidi"/>
      <w:kern w:val="2"/>
      <w:sz w:val="18"/>
      <w:szCs w:val="18"/>
    </w:rPr>
  </w:style>
  <w:style w:type="character" w:customStyle="1" w:styleId="14">
    <w:name w:val="页脚 字符"/>
    <w:basedOn w:val="10"/>
    <w:link w:val="6"/>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8</Pages>
  <Words>4757</Words>
  <Characters>4912</Characters>
  <Lines>26</Lines>
  <Paragraphs>7</Paragraphs>
  <TotalTime>6</TotalTime>
  <ScaleCrop>false</ScaleCrop>
  <LinksUpToDate>false</LinksUpToDate>
  <CharactersWithSpaces>4923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2021-09-14T03:36:00Z</dcterms:created>
  <dc:creator>LGYY-USER</dc:creator>
  <cp:lastModifiedBy>不为什么</cp:lastModifiedBy>
  <dcterms:modified xsi:type="dcterms:W3CDTF">2026-07-21T03:53:50Z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eyJoZGlkIjoiYmRlNGQ1ZjU3MjI2Mjc5OGQyNmEwZjVkN2FlOTUyMGQiLCJ1c2VySWQiOiI4MjU2MjIwOTUifQ==</vt:lpwstr>
  </property>
  <property fmtid="{D5CDD505-2E9C-101B-9397-08002B2CF9AE}" pid="4" name="ICV">
    <vt:lpwstr>55CED46598C243D6A5B59F9C486E00A2_13</vt:lpwstr>
  </property>
</Properties>
</file>