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F71B8B" w14:textId="7472E84A" w:rsidR="006A25B1" w:rsidRDefault="0004145E">
      <w:pPr>
        <w:keepNext/>
        <w:keepLines/>
        <w:spacing w:line="312" w:lineRule="auto"/>
        <w:jc w:val="center"/>
        <w:rPr>
          <w:rFonts w:ascii="宋体" w:eastAsia="宋体" w:hAnsi="宋体" w:cs="微软雅黑"/>
          <w:b/>
          <w:bCs/>
          <w:kern w:val="44"/>
          <w:sz w:val="30"/>
          <w:szCs w:val="30"/>
        </w:rPr>
      </w:pPr>
      <w:bookmarkStart w:id="0" w:name="_Toc344816509"/>
      <w:r>
        <w:rPr>
          <w:rFonts w:ascii="宋体" w:eastAsia="宋体" w:hAnsi="宋体" w:cs="微软雅黑" w:hint="eastAsia"/>
          <w:b/>
          <w:bCs/>
          <w:kern w:val="44"/>
          <w:sz w:val="30"/>
          <w:szCs w:val="30"/>
        </w:rPr>
        <w:t>柳州市</w:t>
      </w:r>
      <w:r>
        <w:rPr>
          <w:rFonts w:ascii="宋体" w:eastAsia="宋体" w:hAnsi="宋体" w:cs="微软雅黑"/>
          <w:b/>
          <w:bCs/>
          <w:kern w:val="44"/>
          <w:sz w:val="30"/>
          <w:szCs w:val="30"/>
        </w:rPr>
        <w:t>工人医院</w:t>
      </w:r>
      <w:r w:rsidRPr="00A1456E">
        <w:rPr>
          <w:rFonts w:ascii="宋体" w:eastAsia="宋体" w:hAnsi="宋体" w:cs="微软雅黑" w:hint="eastAsia"/>
          <w:b/>
          <w:bCs/>
          <w:kern w:val="44"/>
          <w:sz w:val="30"/>
          <w:szCs w:val="30"/>
        </w:rPr>
        <w:t>数字病理AI诊断系统</w:t>
      </w:r>
      <w:r>
        <w:rPr>
          <w:rFonts w:ascii="宋体" w:eastAsia="宋体" w:hAnsi="宋体" w:cs="微软雅黑" w:hint="eastAsia"/>
          <w:b/>
          <w:bCs/>
          <w:kern w:val="44"/>
          <w:sz w:val="30"/>
          <w:szCs w:val="30"/>
        </w:rPr>
        <w:t>技术参数要求</w:t>
      </w:r>
    </w:p>
    <w:p w14:paraId="38F93FF6" w14:textId="77777777" w:rsidR="006A25B1" w:rsidRDefault="006A25B1">
      <w:pPr>
        <w:keepNext/>
        <w:keepLines/>
        <w:spacing w:line="312" w:lineRule="auto"/>
        <w:ind w:leftChars="200" w:left="420"/>
        <w:jc w:val="left"/>
        <w:rPr>
          <w:rFonts w:ascii="宋体" w:eastAsia="宋体" w:hAnsi="宋体" w:cs="微软雅黑"/>
          <w:b/>
          <w:bCs/>
          <w:kern w:val="44"/>
          <w:sz w:val="24"/>
          <w:szCs w:val="24"/>
        </w:rPr>
      </w:pPr>
    </w:p>
    <w:bookmarkEnd w:id="0"/>
    <w:p w14:paraId="5BE22FD5" w14:textId="77777777" w:rsidR="006A25B1" w:rsidRDefault="0004145E">
      <w:pPr>
        <w:pStyle w:val="ac"/>
        <w:numPr>
          <w:ilvl w:val="0"/>
          <w:numId w:val="2"/>
        </w:numPr>
        <w:spacing w:line="312" w:lineRule="auto"/>
        <w:ind w:firstLineChars="0"/>
        <w:rPr>
          <w:rFonts w:ascii="宋体" w:eastAsia="宋体" w:hAnsi="宋体"/>
          <w:b/>
          <w:sz w:val="28"/>
          <w:szCs w:val="28"/>
        </w:rPr>
      </w:pPr>
      <w:r>
        <w:rPr>
          <w:rFonts w:ascii="宋体" w:eastAsia="宋体" w:hAnsi="宋体" w:hint="eastAsia"/>
          <w:b/>
          <w:sz w:val="28"/>
          <w:szCs w:val="28"/>
        </w:rPr>
        <w:t>项目背景</w:t>
      </w:r>
    </w:p>
    <w:p w14:paraId="19CBD261" w14:textId="77777777" w:rsidR="006A25B1" w:rsidRDefault="0004145E">
      <w:pPr>
        <w:spacing w:line="480" w:lineRule="exact"/>
        <w:ind w:firstLineChars="200" w:firstLine="560"/>
        <w:rPr>
          <w:rFonts w:ascii="宋体" w:eastAsia="宋体" w:hAnsi="宋体"/>
          <w:sz w:val="24"/>
          <w:szCs w:val="24"/>
        </w:rPr>
      </w:pPr>
      <w:r>
        <w:rPr>
          <w:rFonts w:ascii="仿宋" w:eastAsia="仿宋" w:hAnsi="仿宋" w:cs="仿宋" w:hint="eastAsia"/>
          <w:sz w:val="28"/>
          <w:szCs w:val="28"/>
        </w:rPr>
        <w:t>病理科作为医院的核心医技科室，承担着全院大量的临床病理诊断、术中快速冰冻诊断、细胞学检查及病理会诊工作。随着医院整体诊疗水平的提升和患者对精准医疗需求的增加，科室的标本量持续增长，对病理诊断的时效性、准确性及信息化水平提出了更高要求。目前科室在病理切片数字化、远程会诊、AI辅助诊断及教学科研数据积累等方面仍存在短板。科室人员诊断经验也不足，且相对外科病理、肿瘤病理而言，移植病理更加小众，不利于技术及经验普及，大大制约了供体器官病理诊断能力提升，进而不能完全满足供体器官病理诊断准确率的要求。加快数字病理AI进程，才能更好提升病理诊断效率、降低珍稀标本漏诊/误诊率，提供及时可靠的病理诊断，才能为全院AI赋能发挥应有的支撑作用，促进全院高质量发展。</w:t>
      </w:r>
    </w:p>
    <w:p w14:paraId="6586415A" w14:textId="77777777" w:rsidR="006A25B1" w:rsidRDefault="006A25B1">
      <w:pPr>
        <w:spacing w:line="312" w:lineRule="auto"/>
        <w:rPr>
          <w:rFonts w:ascii="宋体" w:eastAsia="宋体" w:hAnsi="宋体"/>
          <w:sz w:val="24"/>
          <w:szCs w:val="24"/>
        </w:rPr>
      </w:pPr>
    </w:p>
    <w:p w14:paraId="548D0EB8" w14:textId="77777777" w:rsidR="006A25B1" w:rsidRDefault="0004145E">
      <w:pPr>
        <w:pStyle w:val="ac"/>
        <w:numPr>
          <w:ilvl w:val="0"/>
          <w:numId w:val="2"/>
        </w:numPr>
        <w:spacing w:line="312" w:lineRule="auto"/>
        <w:ind w:firstLineChars="0"/>
        <w:rPr>
          <w:rFonts w:ascii="宋体" w:eastAsia="宋体" w:hAnsi="宋体"/>
          <w:b/>
          <w:sz w:val="28"/>
          <w:szCs w:val="28"/>
        </w:rPr>
      </w:pPr>
      <w:r>
        <w:rPr>
          <w:rFonts w:ascii="宋体" w:eastAsia="宋体" w:hAnsi="宋体" w:hint="eastAsia"/>
          <w:b/>
          <w:sz w:val="28"/>
          <w:szCs w:val="28"/>
        </w:rPr>
        <w:t>项目建设内容及要求</w:t>
      </w:r>
    </w:p>
    <w:tbl>
      <w:tblPr>
        <w:tblStyle w:val="ab"/>
        <w:tblW w:w="8075" w:type="dxa"/>
        <w:jc w:val="center"/>
        <w:tblLayout w:type="fixed"/>
        <w:tblLook w:val="04A0" w:firstRow="1" w:lastRow="0" w:firstColumn="1" w:lastColumn="0" w:noHBand="0" w:noVBand="1"/>
      </w:tblPr>
      <w:tblGrid>
        <w:gridCol w:w="378"/>
        <w:gridCol w:w="735"/>
        <w:gridCol w:w="6962"/>
      </w:tblGrid>
      <w:tr w:rsidR="006A25B1" w14:paraId="5D5CD1C7" w14:textId="77777777">
        <w:trPr>
          <w:jc w:val="center"/>
        </w:trPr>
        <w:tc>
          <w:tcPr>
            <w:tcW w:w="378" w:type="dxa"/>
          </w:tcPr>
          <w:p w14:paraId="258993B1" w14:textId="77777777" w:rsidR="006A25B1" w:rsidRDefault="0004145E">
            <w:pPr>
              <w:spacing w:line="312" w:lineRule="auto"/>
              <w:jc w:val="center"/>
              <w:rPr>
                <w:rFonts w:ascii="宋体" w:eastAsia="宋体" w:hAnsi="宋体"/>
                <w:sz w:val="24"/>
                <w:szCs w:val="24"/>
              </w:rPr>
            </w:pPr>
            <w:r>
              <w:rPr>
                <w:rFonts w:ascii="宋体" w:eastAsia="宋体" w:hAnsi="宋体" w:hint="eastAsia"/>
                <w:sz w:val="24"/>
                <w:szCs w:val="24"/>
              </w:rPr>
              <w:t>序号</w:t>
            </w:r>
          </w:p>
        </w:tc>
        <w:tc>
          <w:tcPr>
            <w:tcW w:w="735" w:type="dxa"/>
          </w:tcPr>
          <w:p w14:paraId="71DBF9BF" w14:textId="77777777" w:rsidR="006A25B1" w:rsidRDefault="0004145E">
            <w:pPr>
              <w:spacing w:line="312" w:lineRule="auto"/>
              <w:jc w:val="center"/>
              <w:rPr>
                <w:rFonts w:ascii="宋体" w:eastAsia="宋体" w:hAnsi="宋体"/>
                <w:sz w:val="24"/>
                <w:szCs w:val="24"/>
              </w:rPr>
            </w:pPr>
            <w:r>
              <w:rPr>
                <w:rFonts w:ascii="宋体" w:eastAsia="宋体" w:hAnsi="宋体" w:hint="eastAsia"/>
                <w:sz w:val="24"/>
                <w:szCs w:val="24"/>
              </w:rPr>
              <w:t>功能</w:t>
            </w:r>
          </w:p>
        </w:tc>
        <w:tc>
          <w:tcPr>
            <w:tcW w:w="6962" w:type="dxa"/>
          </w:tcPr>
          <w:p w14:paraId="4F03A10B" w14:textId="77777777" w:rsidR="006A25B1" w:rsidRDefault="0004145E">
            <w:pPr>
              <w:spacing w:line="312" w:lineRule="auto"/>
              <w:jc w:val="center"/>
              <w:rPr>
                <w:rFonts w:ascii="宋体" w:eastAsia="宋体" w:hAnsi="宋体"/>
                <w:sz w:val="24"/>
                <w:szCs w:val="24"/>
              </w:rPr>
            </w:pPr>
            <w:r>
              <w:rPr>
                <w:rFonts w:ascii="宋体" w:eastAsia="宋体" w:hAnsi="宋体" w:hint="eastAsia"/>
                <w:sz w:val="24"/>
                <w:szCs w:val="24"/>
              </w:rPr>
              <w:t>内涵描述</w:t>
            </w:r>
          </w:p>
        </w:tc>
      </w:tr>
      <w:tr w:rsidR="006A25B1" w14:paraId="4258010B" w14:textId="77777777">
        <w:trPr>
          <w:jc w:val="center"/>
        </w:trPr>
        <w:tc>
          <w:tcPr>
            <w:tcW w:w="378" w:type="dxa"/>
            <w:vAlign w:val="center"/>
          </w:tcPr>
          <w:p w14:paraId="4FEB71AD" w14:textId="77777777" w:rsidR="006A25B1" w:rsidRDefault="0004145E">
            <w:pPr>
              <w:spacing w:line="312" w:lineRule="auto"/>
              <w:jc w:val="center"/>
              <w:rPr>
                <w:rFonts w:ascii="宋体" w:eastAsia="宋体" w:hAnsi="宋体"/>
                <w:sz w:val="24"/>
                <w:szCs w:val="24"/>
              </w:rPr>
            </w:pPr>
            <w:r>
              <w:rPr>
                <w:rFonts w:ascii="宋体" w:eastAsia="宋体" w:hAnsi="宋体" w:hint="eastAsia"/>
                <w:sz w:val="24"/>
                <w:szCs w:val="24"/>
              </w:rPr>
              <w:t>1</w:t>
            </w:r>
          </w:p>
        </w:tc>
        <w:tc>
          <w:tcPr>
            <w:tcW w:w="735" w:type="dxa"/>
            <w:vAlign w:val="center"/>
          </w:tcPr>
          <w:p w14:paraId="7580B0BE" w14:textId="77777777" w:rsidR="006A25B1" w:rsidRDefault="0004145E">
            <w:pPr>
              <w:spacing w:line="360" w:lineRule="auto"/>
              <w:rPr>
                <w:rFonts w:asciiTheme="minorEastAsia" w:hAnsiTheme="minorEastAsia" w:cs="宋体"/>
                <w:b/>
                <w:bCs/>
                <w:sz w:val="24"/>
                <w:szCs w:val="24"/>
                <w:lang w:eastAsia="zh-Hans"/>
              </w:rPr>
            </w:pPr>
            <w:r>
              <w:rPr>
                <w:rFonts w:asciiTheme="minorEastAsia" w:hAnsiTheme="minorEastAsia" w:cs="宋体" w:hint="eastAsia"/>
                <w:b/>
                <w:bCs/>
                <w:sz w:val="24"/>
                <w:szCs w:val="24"/>
              </w:rPr>
              <w:t>软件功能</w:t>
            </w:r>
          </w:p>
          <w:p w14:paraId="20A70782" w14:textId="77777777" w:rsidR="006A25B1" w:rsidRDefault="006A25B1">
            <w:pPr>
              <w:spacing w:line="312" w:lineRule="auto"/>
              <w:jc w:val="center"/>
              <w:rPr>
                <w:rFonts w:ascii="宋体" w:eastAsia="宋体" w:hAnsi="宋体"/>
                <w:sz w:val="24"/>
                <w:szCs w:val="24"/>
              </w:rPr>
            </w:pPr>
          </w:p>
        </w:tc>
        <w:tc>
          <w:tcPr>
            <w:tcW w:w="6962" w:type="dxa"/>
          </w:tcPr>
          <w:p w14:paraId="1FF286D3" w14:textId="77777777" w:rsidR="006A25B1" w:rsidRDefault="0004145E">
            <w:pPr>
              <w:widowControl/>
              <w:spacing w:line="360" w:lineRule="auto"/>
              <w:jc w:val="left"/>
              <w:rPr>
                <w:rFonts w:ascii="宋体" w:eastAsia="宋体" w:hAnsi="宋体" w:cs="宋体"/>
                <w:color w:val="000000"/>
                <w:szCs w:val="21"/>
              </w:rPr>
            </w:pPr>
            <w:r>
              <w:rPr>
                <w:rFonts w:ascii="宋体" w:eastAsia="宋体" w:hAnsi="宋体" w:cs="宋体" w:hint="eastAsia"/>
                <w:color w:val="000000"/>
                <w:szCs w:val="21"/>
              </w:rPr>
              <w:t>1</w:t>
            </w:r>
            <w:r>
              <w:rPr>
                <w:rFonts w:ascii="宋体" w:eastAsia="宋体" w:hAnsi="宋体" w:cs="宋体"/>
                <w:color w:val="000000"/>
                <w:szCs w:val="21"/>
              </w:rPr>
              <w:t>.</w:t>
            </w:r>
            <w:r>
              <w:rPr>
                <w:rFonts w:ascii="宋体" w:eastAsia="宋体" w:hAnsi="宋体" w:cs="宋体" w:hint="eastAsia"/>
                <w:color w:val="000000"/>
                <w:szCs w:val="21"/>
              </w:rPr>
              <w:t>系统用户界面采用B/S，兼容主流浏览器。</w:t>
            </w:r>
          </w:p>
          <w:p w14:paraId="49D44445" w14:textId="77777777" w:rsidR="006A25B1" w:rsidRDefault="0004145E">
            <w:pPr>
              <w:widowControl/>
              <w:spacing w:line="360" w:lineRule="auto"/>
              <w:jc w:val="left"/>
              <w:rPr>
                <w:rFonts w:ascii="宋体" w:eastAsia="宋体" w:hAnsi="宋体" w:cs="宋体"/>
                <w:color w:val="000000"/>
                <w:szCs w:val="21"/>
              </w:rPr>
            </w:pPr>
            <w:r>
              <w:rPr>
                <w:rFonts w:ascii="宋体" w:eastAsia="宋体" w:hAnsi="宋体" w:cs="宋体" w:hint="eastAsia"/>
                <w:color w:val="000000"/>
                <w:szCs w:val="21"/>
              </w:rPr>
              <w:t>2</w:t>
            </w:r>
            <w:r>
              <w:rPr>
                <w:rFonts w:ascii="宋体" w:eastAsia="宋体" w:hAnsi="宋体" w:cs="宋体"/>
                <w:color w:val="000000"/>
                <w:szCs w:val="21"/>
              </w:rPr>
              <w:t>.</w:t>
            </w:r>
            <w:r>
              <w:rPr>
                <w:rFonts w:ascii="宋体" w:eastAsia="宋体" w:hAnsi="宋体" w:cs="宋体" w:hint="eastAsia"/>
                <w:color w:val="000000"/>
                <w:szCs w:val="21"/>
              </w:rPr>
              <w:t>提供标准化报告模板管理功能，所见即所得的报告编辑模块能够在系统中基于TBS标准格式报告，且支持报告常用语、报告样式、医院LOGO进行可视化个性化配置管理。</w:t>
            </w:r>
          </w:p>
          <w:p w14:paraId="3035E8AB" w14:textId="77777777" w:rsidR="006A25B1" w:rsidRDefault="0004145E">
            <w:pPr>
              <w:widowControl/>
              <w:spacing w:line="360" w:lineRule="auto"/>
              <w:jc w:val="left"/>
              <w:rPr>
                <w:rFonts w:ascii="宋体" w:eastAsia="宋体" w:hAnsi="宋体" w:cs="宋体"/>
                <w:color w:val="000000"/>
                <w:szCs w:val="21"/>
              </w:rPr>
            </w:pPr>
            <w:r>
              <w:rPr>
                <w:rFonts w:ascii="宋体" w:eastAsia="宋体" w:hAnsi="宋体" w:cs="宋体" w:hint="eastAsia"/>
                <w:color w:val="000000"/>
                <w:szCs w:val="21"/>
              </w:rPr>
              <w:t>3</w:t>
            </w:r>
            <w:r>
              <w:rPr>
                <w:rFonts w:ascii="宋体" w:eastAsia="宋体" w:hAnsi="宋体" w:cs="宋体"/>
                <w:color w:val="000000"/>
                <w:szCs w:val="21"/>
              </w:rPr>
              <w:t>.</w:t>
            </w:r>
            <w:r>
              <w:rPr>
                <w:rFonts w:ascii="宋体" w:eastAsia="宋体" w:hAnsi="宋体" w:cs="宋体" w:hint="eastAsia"/>
                <w:color w:val="000000"/>
                <w:szCs w:val="21"/>
              </w:rPr>
              <w:t>支持病例库、切片库管理，能够对切片和病例根据病种分类。支持列表模式和数据集模式查看已入库数据。</w:t>
            </w:r>
          </w:p>
          <w:p w14:paraId="4A79F5D3" w14:textId="77777777" w:rsidR="006A25B1" w:rsidRDefault="0004145E">
            <w:pPr>
              <w:widowControl/>
              <w:spacing w:line="360" w:lineRule="auto"/>
              <w:jc w:val="left"/>
              <w:rPr>
                <w:rFonts w:ascii="宋体" w:eastAsia="宋体" w:hAnsi="宋体" w:cs="宋体"/>
                <w:color w:val="000000"/>
                <w:szCs w:val="21"/>
              </w:rPr>
            </w:pPr>
            <w:r>
              <w:rPr>
                <w:rFonts w:ascii="宋体" w:eastAsia="宋体" w:hAnsi="宋体" w:cs="宋体" w:hint="eastAsia"/>
                <w:color w:val="000000"/>
                <w:szCs w:val="21"/>
              </w:rPr>
              <w:t>4</w:t>
            </w:r>
            <w:r>
              <w:rPr>
                <w:rFonts w:ascii="宋体" w:eastAsia="宋体" w:hAnsi="宋体" w:cs="宋体"/>
                <w:color w:val="000000"/>
                <w:szCs w:val="21"/>
              </w:rPr>
              <w:t>.</w:t>
            </w:r>
            <w:r>
              <w:rPr>
                <w:rFonts w:ascii="宋体" w:eastAsia="宋体" w:hAnsi="宋体" w:cs="宋体" w:hint="eastAsia"/>
                <w:color w:val="000000"/>
                <w:szCs w:val="21"/>
              </w:rPr>
              <w:t>病例查询：病例列表支持病理号、切片名、患者姓名的模糊/精确、区间、排除或等于、时间范围、时间段等查询功能，支持按阴性/阳性、TBS分类、成像质量筛选数据。选中的数据能够被导出（导出所选或导出全部）。</w:t>
            </w:r>
          </w:p>
          <w:p w14:paraId="3793244F" w14:textId="77777777" w:rsidR="006A25B1" w:rsidRDefault="0004145E">
            <w:pPr>
              <w:widowControl/>
              <w:spacing w:line="360" w:lineRule="auto"/>
              <w:jc w:val="left"/>
              <w:rPr>
                <w:rFonts w:ascii="宋体" w:eastAsia="宋体" w:hAnsi="宋体" w:cs="宋体"/>
                <w:color w:val="000000"/>
                <w:szCs w:val="21"/>
              </w:rPr>
            </w:pPr>
            <w:r>
              <w:rPr>
                <w:rFonts w:ascii="宋体" w:eastAsia="宋体" w:hAnsi="宋体" w:cs="宋体" w:hint="eastAsia"/>
                <w:color w:val="000000"/>
                <w:szCs w:val="21"/>
              </w:rPr>
              <w:lastRenderedPageBreak/>
              <w:t>5</w:t>
            </w:r>
            <w:r>
              <w:rPr>
                <w:rFonts w:ascii="宋体" w:eastAsia="宋体" w:hAnsi="宋体" w:cs="宋体"/>
                <w:color w:val="000000"/>
                <w:szCs w:val="21"/>
              </w:rPr>
              <w:t>.</w:t>
            </w:r>
            <w:r>
              <w:rPr>
                <w:rFonts w:ascii="宋体" w:eastAsia="宋体" w:hAnsi="宋体" w:cs="宋体" w:hint="eastAsia"/>
                <w:color w:val="000000"/>
                <w:szCs w:val="21"/>
              </w:rPr>
              <w:t>图像调节与校正：支持伽马值、对比度、亮度、RGB 单色通道独立调节，配备专业色彩校正功能，可还原切片真实染色效果。</w:t>
            </w:r>
          </w:p>
          <w:p w14:paraId="4227F499" w14:textId="77777777" w:rsidR="006A25B1" w:rsidRDefault="0004145E">
            <w:pPr>
              <w:widowControl/>
              <w:spacing w:line="360" w:lineRule="auto"/>
              <w:jc w:val="left"/>
              <w:rPr>
                <w:rFonts w:ascii="宋体" w:eastAsia="宋体" w:hAnsi="宋体" w:cs="宋体"/>
                <w:color w:val="000000"/>
                <w:szCs w:val="21"/>
              </w:rPr>
            </w:pPr>
            <w:r>
              <w:rPr>
                <w:rFonts w:ascii="宋体" w:eastAsia="宋体" w:hAnsi="宋体" w:cs="宋体" w:hint="eastAsia"/>
                <w:color w:val="000000"/>
                <w:szCs w:val="21"/>
              </w:rPr>
              <w:t>6</w:t>
            </w:r>
            <w:r>
              <w:rPr>
                <w:rFonts w:ascii="宋体" w:eastAsia="宋体" w:hAnsi="宋体" w:cs="宋体"/>
                <w:color w:val="000000"/>
                <w:szCs w:val="21"/>
              </w:rPr>
              <w:t>.</w:t>
            </w:r>
            <w:r>
              <w:rPr>
                <w:rFonts w:ascii="宋体" w:eastAsia="宋体" w:hAnsi="宋体" w:cs="宋体" w:hint="eastAsia"/>
                <w:color w:val="000000"/>
                <w:szCs w:val="21"/>
              </w:rPr>
              <w:t>图像标注与测量：提供文本、矩形、椭圆、箭头、量尺、自由画笔等多种标注工具，支持标注颜色、粗细自定义；支持标注撤销、恢复、截图、保存；具备高精度测量功能，可自动计算绘制图形的面积、直线长度。</w:t>
            </w:r>
          </w:p>
          <w:p w14:paraId="292637AB" w14:textId="77777777" w:rsidR="006A25B1" w:rsidRDefault="0004145E">
            <w:pPr>
              <w:widowControl/>
              <w:spacing w:line="360" w:lineRule="auto"/>
              <w:jc w:val="left"/>
              <w:rPr>
                <w:rFonts w:ascii="宋体" w:eastAsia="宋体" w:hAnsi="宋体" w:cs="宋体"/>
                <w:color w:val="000000"/>
                <w:szCs w:val="21"/>
              </w:rPr>
            </w:pPr>
            <w:r>
              <w:rPr>
                <w:rFonts w:ascii="宋体" w:eastAsia="宋体" w:hAnsi="宋体" w:cs="宋体" w:hint="eastAsia"/>
                <w:color w:val="000000"/>
                <w:szCs w:val="21"/>
              </w:rPr>
              <w:t>7</w:t>
            </w:r>
            <w:r>
              <w:rPr>
                <w:rFonts w:ascii="宋体" w:eastAsia="宋体" w:hAnsi="宋体" w:cs="宋体"/>
                <w:color w:val="000000"/>
                <w:szCs w:val="21"/>
              </w:rPr>
              <w:t>.</w:t>
            </w:r>
            <w:r>
              <w:rPr>
                <w:rFonts w:ascii="宋体" w:eastAsia="宋体" w:hAnsi="宋体" w:cs="宋体" w:hint="eastAsia"/>
                <w:color w:val="000000"/>
                <w:szCs w:val="21"/>
              </w:rPr>
              <w:t>切片信息展示：实时显示切片文件大小、图像像素尺寸、扫描分辨率、扫描倍率、扫描耗时等全维度信息。</w:t>
            </w:r>
          </w:p>
          <w:p w14:paraId="079BF93D" w14:textId="77777777" w:rsidR="006A25B1" w:rsidRDefault="0004145E">
            <w:pPr>
              <w:widowControl/>
              <w:spacing w:line="360" w:lineRule="auto"/>
              <w:jc w:val="left"/>
              <w:rPr>
                <w:rFonts w:ascii="宋体" w:eastAsia="宋体" w:hAnsi="宋体" w:cs="宋体"/>
                <w:color w:val="000000"/>
                <w:szCs w:val="21"/>
              </w:rPr>
            </w:pPr>
            <w:r>
              <w:rPr>
                <w:rFonts w:ascii="宋体" w:eastAsia="宋体" w:hAnsi="宋体" w:cs="宋体" w:hint="eastAsia"/>
                <w:color w:val="000000"/>
                <w:szCs w:val="21"/>
              </w:rPr>
              <w:t>8</w:t>
            </w:r>
            <w:r>
              <w:rPr>
                <w:rFonts w:ascii="宋体" w:eastAsia="宋体" w:hAnsi="宋体" w:cs="宋体"/>
                <w:color w:val="000000"/>
                <w:szCs w:val="21"/>
              </w:rPr>
              <w:t>.</w:t>
            </w:r>
            <w:r>
              <w:rPr>
                <w:rFonts w:ascii="宋体" w:eastAsia="宋体" w:hAnsi="宋体" w:cs="宋体" w:hint="eastAsia"/>
                <w:color w:val="000000"/>
                <w:szCs w:val="21"/>
              </w:rPr>
              <w:t>具有良好的兼容性，支持的病理图像格式：cvs、sdpc、kfb、mrxs、svs、vms、ndpi、scn、bif、czi、bif、tif/tiff、zyp、tmap。扫描完成后即开始分析，无需人工进行额外干预。支持手动上传数字切片文件进行分析，且上传进度可跟踪可暂停；支持浏览器关闭后自动导入上次上传进度，并能够在上传界面查看磁盘利用率。</w:t>
            </w:r>
          </w:p>
          <w:p w14:paraId="7B65352D" w14:textId="77777777" w:rsidR="006A25B1" w:rsidRDefault="0004145E">
            <w:pPr>
              <w:widowControl/>
              <w:spacing w:line="360" w:lineRule="auto"/>
              <w:jc w:val="left"/>
              <w:rPr>
                <w:rFonts w:ascii="宋体" w:eastAsia="宋体" w:hAnsi="宋体" w:cs="宋体"/>
                <w:color w:val="000000"/>
                <w:szCs w:val="21"/>
              </w:rPr>
            </w:pPr>
            <w:r>
              <w:rPr>
                <w:rFonts w:ascii="宋体" w:eastAsia="宋体" w:hAnsi="宋体" w:cs="宋体" w:hint="eastAsia"/>
                <w:color w:val="000000"/>
                <w:szCs w:val="21"/>
              </w:rPr>
              <w:t>9</w:t>
            </w:r>
            <w:r>
              <w:rPr>
                <w:rFonts w:ascii="宋体" w:eastAsia="宋体" w:hAnsi="宋体" w:cs="宋体"/>
                <w:color w:val="000000"/>
                <w:szCs w:val="21"/>
              </w:rPr>
              <w:t>.</w:t>
            </w:r>
            <w:r>
              <w:rPr>
                <w:rFonts w:ascii="宋体" w:eastAsia="宋体" w:hAnsi="宋体" w:cs="宋体" w:hint="eastAsia"/>
                <w:color w:val="000000"/>
                <w:szCs w:val="21"/>
              </w:rPr>
              <w:t>基本信息模块：支持登记维护病例信息，包括患者姓名、年龄、性别、当前诊断以及样本号、取样部位、采样日期、收样日期、样本类型等基本信息的录入和查询，用于展示病例的基本情况。（需提供软件功能截图及演示账号备查）</w:t>
            </w:r>
          </w:p>
          <w:p w14:paraId="6C6CEB7C" w14:textId="77777777" w:rsidR="006A25B1" w:rsidRDefault="0004145E">
            <w:pPr>
              <w:widowControl/>
              <w:spacing w:line="360" w:lineRule="auto"/>
              <w:jc w:val="left"/>
              <w:rPr>
                <w:rFonts w:ascii="宋体" w:eastAsia="宋体" w:hAnsi="宋体" w:cs="宋体"/>
                <w:color w:val="000000"/>
                <w:szCs w:val="21"/>
              </w:rPr>
            </w:pPr>
            <w:r>
              <w:rPr>
                <w:rFonts w:ascii="宋体" w:eastAsia="宋体" w:hAnsi="宋体" w:cs="宋体" w:hint="eastAsia"/>
                <w:color w:val="000000"/>
                <w:szCs w:val="21"/>
              </w:rPr>
              <w:t>1</w:t>
            </w:r>
            <w:r>
              <w:rPr>
                <w:rFonts w:ascii="宋体" w:eastAsia="宋体" w:hAnsi="宋体" w:cs="宋体"/>
                <w:color w:val="000000"/>
                <w:szCs w:val="21"/>
              </w:rPr>
              <w:t>0.</w:t>
            </w:r>
            <w:r>
              <w:rPr>
                <w:rFonts w:ascii="宋体" w:eastAsia="宋体" w:hAnsi="宋体" w:cs="宋体" w:hint="eastAsia"/>
                <w:color w:val="000000"/>
                <w:szCs w:val="21"/>
              </w:rPr>
              <w:t>标注工具：支持一键隐藏 / 显示所有标注，不遮挡原始图像。可自定义细胞病变标签分类名称和标记线条颜色及备注，并与诊断描述用语关联。支持在图像上增加标注，并计算标记框的周长、面积。能够右键选中标记框对标记框进行修改标签分类、删除、加入报告、裁剪快照操作。支持ROI的绘制与修改，添加修改备注，调整ROI形状和大小，位置移动，ROI删除。支持自由笔（自由图形）标注、矩形标注、多边形标注、打点标注、测量工具。</w:t>
            </w:r>
          </w:p>
          <w:p w14:paraId="480CA297" w14:textId="77777777" w:rsidR="006A25B1" w:rsidRDefault="0004145E">
            <w:pPr>
              <w:widowControl/>
              <w:spacing w:line="360" w:lineRule="auto"/>
              <w:jc w:val="left"/>
              <w:rPr>
                <w:rFonts w:ascii="宋体" w:eastAsia="宋体" w:hAnsi="宋体" w:cs="宋体"/>
                <w:color w:val="000000"/>
                <w:szCs w:val="21"/>
              </w:rPr>
            </w:pPr>
            <w:r>
              <w:rPr>
                <w:rFonts w:ascii="宋体" w:eastAsia="宋体" w:hAnsi="宋体" w:cs="宋体"/>
                <w:color w:val="000000"/>
                <w:szCs w:val="21"/>
              </w:rPr>
              <w:t>11.</w:t>
            </w:r>
            <w:r>
              <w:rPr>
                <w:rFonts w:ascii="宋体" w:eastAsia="宋体" w:hAnsi="宋体" w:cs="宋体" w:hint="eastAsia"/>
                <w:color w:val="000000"/>
                <w:szCs w:val="21"/>
              </w:rPr>
              <w:t>可选配专用样本定位染色玻片，通过中心定位及基准颜色矩阵分析，对有效信息区域中的原始图像进行归一化处理，从而进一步提升人工智能分析结果的准确性。支持扫码联动与精准赋码：仪器内置高速打码模块，扫码识别样本信息，自动对玻片打码，生成唯一加密标识，与医院信息系统无缝绑定，确保样本全流程可追溯。（需提供样本定位染色玻片药监局一类备案）</w:t>
            </w:r>
          </w:p>
          <w:p w14:paraId="762D3CEA" w14:textId="77777777" w:rsidR="006A25B1" w:rsidRDefault="0004145E">
            <w:pPr>
              <w:widowControl/>
              <w:spacing w:line="360" w:lineRule="auto"/>
              <w:jc w:val="left"/>
              <w:rPr>
                <w:rFonts w:ascii="宋体" w:eastAsia="宋体" w:hAnsi="宋体" w:cs="宋体"/>
                <w:color w:val="000000"/>
                <w:szCs w:val="21"/>
              </w:rPr>
            </w:pPr>
            <w:r>
              <w:rPr>
                <w:rFonts w:ascii="宋体" w:eastAsia="宋体" w:hAnsi="宋体" w:cs="宋体" w:hint="eastAsia"/>
                <w:color w:val="000000"/>
                <w:szCs w:val="21"/>
              </w:rPr>
              <w:lastRenderedPageBreak/>
              <w:t>1</w:t>
            </w:r>
            <w:r>
              <w:rPr>
                <w:rFonts w:ascii="宋体" w:eastAsia="宋体" w:hAnsi="宋体" w:cs="宋体"/>
                <w:color w:val="000000"/>
                <w:szCs w:val="21"/>
              </w:rPr>
              <w:t>2.</w:t>
            </w:r>
            <w:r>
              <w:rPr>
                <w:rFonts w:ascii="宋体" w:eastAsia="宋体" w:hAnsi="宋体" w:cs="宋体" w:hint="eastAsia"/>
                <w:color w:val="000000"/>
                <w:szCs w:val="21"/>
              </w:rPr>
              <w:t>支持后续拓展非妇科细胞学分析模块（提供同品牌的甲状腺细胞学、尿液细胞学分析模块的独立二类医疗器械注册证）</w:t>
            </w:r>
          </w:p>
          <w:p w14:paraId="2F5EEA6D" w14:textId="77777777" w:rsidR="006A25B1" w:rsidRDefault="0004145E">
            <w:pPr>
              <w:widowControl/>
              <w:spacing w:line="360" w:lineRule="auto"/>
              <w:jc w:val="left"/>
              <w:rPr>
                <w:rFonts w:ascii="宋体" w:eastAsia="宋体" w:hAnsi="宋体" w:cs="宋体"/>
                <w:color w:val="000000"/>
                <w:szCs w:val="21"/>
              </w:rPr>
            </w:pPr>
            <w:r>
              <w:rPr>
                <w:rFonts w:ascii="宋体" w:eastAsia="宋体" w:hAnsi="宋体" w:cs="宋体" w:hint="eastAsia"/>
                <w:color w:val="000000"/>
                <w:szCs w:val="21"/>
              </w:rPr>
              <w:t>1</w:t>
            </w:r>
            <w:r>
              <w:rPr>
                <w:rFonts w:ascii="宋体" w:eastAsia="宋体" w:hAnsi="宋体" w:cs="宋体"/>
                <w:color w:val="000000"/>
                <w:szCs w:val="21"/>
              </w:rPr>
              <w:t>3.</w:t>
            </w:r>
            <w:r>
              <w:rPr>
                <w:rFonts w:ascii="宋体" w:eastAsia="宋体" w:hAnsi="宋体" w:cs="宋体" w:hint="eastAsia"/>
                <w:color w:val="000000"/>
                <w:szCs w:val="21"/>
              </w:rPr>
              <w:t>支持智能载玻片，可通过芯片快速查阅数字切片，方便移动端调阅。（提供实体切片样本供测试）。支持全流程自动化制片染色机：仪器自动完成标本瓶穿刺取样、自动加样、沉降、玻片打码、染色、透明、封片，全流程自动化一体机，无需人工干预，样本进、玻片出，最大限度降低人力成本；</w:t>
            </w:r>
          </w:p>
          <w:p w14:paraId="013D4D20" w14:textId="77777777" w:rsidR="006A25B1" w:rsidRDefault="0004145E">
            <w:pPr>
              <w:widowControl/>
              <w:spacing w:line="360" w:lineRule="auto"/>
              <w:jc w:val="left"/>
              <w:rPr>
                <w:rFonts w:ascii="宋体" w:eastAsia="宋体" w:hAnsi="宋体" w:cs="宋体"/>
                <w:color w:val="000000"/>
                <w:szCs w:val="21"/>
              </w:rPr>
            </w:pPr>
            <w:r>
              <w:rPr>
                <w:rFonts w:ascii="宋体" w:eastAsia="宋体" w:hAnsi="宋体" w:cs="宋体" w:hint="eastAsia"/>
                <w:color w:val="000000"/>
                <w:szCs w:val="21"/>
              </w:rPr>
              <w:t>1</w:t>
            </w:r>
            <w:r>
              <w:rPr>
                <w:rFonts w:ascii="宋体" w:eastAsia="宋体" w:hAnsi="宋体" w:cs="宋体"/>
                <w:color w:val="000000"/>
                <w:szCs w:val="21"/>
              </w:rPr>
              <w:t>4.</w:t>
            </w:r>
            <w:r>
              <w:rPr>
                <w:rFonts w:ascii="宋体" w:eastAsia="宋体" w:hAnsi="宋体" w:cs="宋体" w:hint="eastAsia"/>
                <w:color w:val="000000"/>
                <w:szCs w:val="21"/>
              </w:rPr>
              <w:t>可自动对宫颈细胞学、胃活检组织学、肠活检组织学切片的制片、成像质量进行质控，检验玻片图像清晰度、气泡、扫描完整性等，并对鳞状上皮细胞量进行计数，对不符合质控要求的自动提示并统计。支持图像质量检查，用于对扫描的数字切片的质量评估（注册证需明确描述具备质量检查功能，提供注册证对应功能描述截图佐证，需提供软件功能截图及演示账号备查）</w:t>
            </w:r>
          </w:p>
          <w:p w14:paraId="08709544" w14:textId="77777777" w:rsidR="006A25B1" w:rsidRDefault="0004145E">
            <w:pPr>
              <w:widowControl/>
              <w:spacing w:line="360" w:lineRule="auto"/>
              <w:jc w:val="left"/>
              <w:rPr>
                <w:rFonts w:ascii="宋体" w:eastAsia="宋体" w:hAnsi="宋体" w:cs="宋体"/>
                <w:color w:val="000000"/>
                <w:szCs w:val="21"/>
              </w:rPr>
            </w:pPr>
            <w:r>
              <w:rPr>
                <w:rFonts w:ascii="宋体" w:eastAsia="宋体" w:hAnsi="宋体" w:cs="宋体" w:hint="eastAsia"/>
                <w:color w:val="000000"/>
                <w:szCs w:val="21"/>
              </w:rPr>
              <w:t>1</w:t>
            </w:r>
            <w:r>
              <w:rPr>
                <w:rFonts w:ascii="宋体" w:eastAsia="宋体" w:hAnsi="宋体" w:cs="宋体"/>
                <w:color w:val="000000"/>
                <w:szCs w:val="21"/>
              </w:rPr>
              <w:t>5.</w:t>
            </w:r>
            <w:r>
              <w:rPr>
                <w:rFonts w:ascii="宋体" w:eastAsia="宋体" w:hAnsi="宋体" w:cs="宋体" w:hint="eastAsia"/>
                <w:color w:val="000000"/>
                <w:szCs w:val="21"/>
              </w:rPr>
              <w:t>宫颈细胞学图像分析系统，该模块需具备国家药监局批准的医疗器械三类注册证（管理类别：第三类）。。</w:t>
            </w:r>
          </w:p>
          <w:p w14:paraId="5881A26C" w14:textId="77777777" w:rsidR="006A25B1" w:rsidRDefault="0004145E">
            <w:pPr>
              <w:widowControl/>
              <w:spacing w:line="360" w:lineRule="auto"/>
              <w:jc w:val="left"/>
              <w:rPr>
                <w:rFonts w:ascii="宋体" w:eastAsia="宋体" w:hAnsi="宋体" w:cs="宋体"/>
                <w:color w:val="000000"/>
                <w:szCs w:val="21"/>
              </w:rPr>
            </w:pPr>
            <w:r>
              <w:rPr>
                <w:rFonts w:ascii="宋体" w:eastAsia="宋体" w:hAnsi="宋体" w:cs="宋体" w:hint="eastAsia"/>
                <w:color w:val="000000"/>
                <w:szCs w:val="21"/>
              </w:rPr>
              <w:t>1</w:t>
            </w:r>
            <w:r>
              <w:rPr>
                <w:rFonts w:ascii="宋体" w:eastAsia="宋体" w:hAnsi="宋体" w:cs="宋体"/>
                <w:color w:val="000000"/>
                <w:szCs w:val="21"/>
              </w:rPr>
              <w:t>6.</w:t>
            </w:r>
            <w:r>
              <w:rPr>
                <w:rFonts w:ascii="宋体" w:eastAsia="宋体" w:hAnsi="宋体" w:cs="宋体" w:hint="eastAsia"/>
                <w:color w:val="000000"/>
                <w:szCs w:val="21"/>
              </w:rPr>
              <w:t>模型敏感性（含ASC-US ）≥95%，为确保准确率，避免漏诊风险，需提供软件单独测试，非人机结合结果。（需提供药监局临床实验备案记录和各临床试验机构伦理备案和审批的临床试验报告进行佐证，投标人中标后3 个工作日内进行现场验证，并提供数据，无法提供或达不到要求视为不满足实质性要求）</w:t>
            </w:r>
          </w:p>
          <w:p w14:paraId="1E72E6FF" w14:textId="77777777" w:rsidR="006A25B1" w:rsidRDefault="0004145E">
            <w:pPr>
              <w:widowControl/>
              <w:spacing w:line="360" w:lineRule="auto"/>
              <w:jc w:val="left"/>
              <w:rPr>
                <w:rFonts w:ascii="宋体" w:eastAsia="宋体" w:hAnsi="宋体" w:cs="宋体"/>
                <w:color w:val="000000"/>
                <w:szCs w:val="21"/>
              </w:rPr>
            </w:pPr>
            <w:r>
              <w:rPr>
                <w:rFonts w:ascii="宋体" w:eastAsia="宋体" w:hAnsi="宋体" w:cs="宋体" w:hint="eastAsia"/>
                <w:color w:val="000000"/>
                <w:szCs w:val="21"/>
              </w:rPr>
              <w:t>1</w:t>
            </w:r>
            <w:r>
              <w:rPr>
                <w:rFonts w:ascii="宋体" w:eastAsia="宋体" w:hAnsi="宋体" w:cs="宋体"/>
                <w:color w:val="000000"/>
                <w:szCs w:val="21"/>
              </w:rPr>
              <w:t>7.</w:t>
            </w:r>
            <w:r>
              <w:rPr>
                <w:rFonts w:ascii="宋体" w:eastAsia="宋体" w:hAnsi="宋体" w:cs="宋体" w:hint="eastAsia"/>
                <w:color w:val="000000"/>
                <w:szCs w:val="21"/>
              </w:rPr>
              <w:t>模型特异性≥85%，为确保排阴率，提高病理医师诊断效率，需提供软件单独测试，非人机结合结果。（需提供药监局临床实验备案记录和各临床试验机构伦理备案和审批的临床试验报告进行佐证，投标人中标后3 个工作日内进行现场验证，并提供数据，无法提供或达不到要求视为不满足实质性要求）</w:t>
            </w:r>
          </w:p>
          <w:p w14:paraId="4A8A74A7" w14:textId="77777777" w:rsidR="006A25B1" w:rsidRDefault="0004145E">
            <w:pPr>
              <w:widowControl/>
              <w:spacing w:line="360" w:lineRule="auto"/>
              <w:jc w:val="left"/>
              <w:rPr>
                <w:rFonts w:ascii="宋体" w:eastAsia="宋体" w:hAnsi="宋体" w:cs="宋体"/>
                <w:color w:val="000000"/>
                <w:szCs w:val="21"/>
              </w:rPr>
            </w:pPr>
            <w:r>
              <w:rPr>
                <w:rFonts w:ascii="宋体" w:eastAsia="宋体" w:hAnsi="宋体" w:cs="宋体" w:hint="eastAsia"/>
                <w:color w:val="000000"/>
                <w:szCs w:val="21"/>
              </w:rPr>
              <w:t>1</w:t>
            </w:r>
            <w:r>
              <w:rPr>
                <w:rFonts w:ascii="宋体" w:eastAsia="宋体" w:hAnsi="宋体" w:cs="宋体"/>
                <w:color w:val="000000"/>
                <w:szCs w:val="21"/>
              </w:rPr>
              <w:t>8.</w:t>
            </w:r>
            <w:r>
              <w:rPr>
                <w:rFonts w:ascii="宋体" w:eastAsia="宋体" w:hAnsi="宋体" w:cs="宋体" w:hint="eastAsia"/>
                <w:color w:val="000000"/>
                <w:szCs w:val="21"/>
              </w:rPr>
              <w:t>遵循最新版TBS标准，支持HSIL、ASC-H、LSIL、ASC-US、AGC、滴虫、念珠菌、线索细胞、放线菌、疱疹等可疑细胞级提示。</w:t>
            </w:r>
          </w:p>
          <w:p w14:paraId="6F3DA403" w14:textId="77777777" w:rsidR="006A25B1" w:rsidRDefault="0004145E">
            <w:pPr>
              <w:widowControl/>
              <w:spacing w:line="360" w:lineRule="auto"/>
              <w:jc w:val="left"/>
              <w:rPr>
                <w:rFonts w:ascii="宋体" w:eastAsia="宋体" w:hAnsi="宋体" w:cs="宋体"/>
                <w:color w:val="000000"/>
                <w:szCs w:val="21"/>
              </w:rPr>
            </w:pPr>
            <w:r>
              <w:rPr>
                <w:rFonts w:ascii="宋体" w:eastAsia="宋体" w:hAnsi="宋体" w:cs="宋体" w:hint="eastAsia"/>
                <w:color w:val="000000"/>
                <w:szCs w:val="21"/>
              </w:rPr>
              <w:lastRenderedPageBreak/>
              <w:t>1</w:t>
            </w:r>
            <w:r>
              <w:rPr>
                <w:rFonts w:ascii="宋体" w:eastAsia="宋体" w:hAnsi="宋体" w:cs="宋体"/>
                <w:color w:val="000000"/>
                <w:szCs w:val="21"/>
              </w:rPr>
              <w:t>9.</w:t>
            </w:r>
            <w:r>
              <w:rPr>
                <w:rFonts w:ascii="宋体" w:eastAsia="宋体" w:hAnsi="宋体" w:cs="宋体" w:hint="eastAsia"/>
                <w:color w:val="000000"/>
                <w:szCs w:val="21"/>
              </w:rPr>
              <w:t>软件用于对病理图像进行显示、标记、处理，供医务人员临床病理疾病诊断参考（注册证需明确描述具备供医务人员临床病理疾病诊断参考，提供注册证对应功能描述截图佐证）。</w:t>
            </w:r>
          </w:p>
          <w:p w14:paraId="205C8A88" w14:textId="77777777" w:rsidR="006A25B1" w:rsidRDefault="0004145E">
            <w:pPr>
              <w:widowControl/>
              <w:spacing w:line="360" w:lineRule="auto"/>
              <w:jc w:val="left"/>
              <w:rPr>
                <w:rFonts w:ascii="宋体" w:eastAsia="宋体" w:hAnsi="宋体" w:cs="宋体"/>
                <w:color w:val="000000"/>
                <w:szCs w:val="21"/>
              </w:rPr>
            </w:pPr>
            <w:r>
              <w:rPr>
                <w:rFonts w:ascii="宋体" w:eastAsia="宋体" w:hAnsi="宋体" w:cs="宋体" w:hint="eastAsia"/>
                <w:color w:val="000000"/>
                <w:szCs w:val="21"/>
              </w:rPr>
              <w:t>2</w:t>
            </w:r>
            <w:r>
              <w:rPr>
                <w:rFonts w:ascii="宋体" w:eastAsia="宋体" w:hAnsi="宋体" w:cs="宋体"/>
                <w:color w:val="000000"/>
                <w:szCs w:val="21"/>
              </w:rPr>
              <w:t>0.</w:t>
            </w:r>
            <w:r>
              <w:rPr>
                <w:rFonts w:ascii="宋体" w:eastAsia="宋体" w:hAnsi="宋体" w:cs="宋体" w:hint="eastAsia"/>
                <w:color w:val="000000"/>
                <w:szCs w:val="21"/>
              </w:rPr>
              <w:t>胃组织病理图像分析系统，该模块具备国家药监局批准的医疗器械二类注册证（管理类别：第二类）。</w:t>
            </w:r>
          </w:p>
          <w:p w14:paraId="52DF4386" w14:textId="77777777" w:rsidR="006A25B1" w:rsidRDefault="0004145E">
            <w:pPr>
              <w:widowControl/>
              <w:spacing w:line="360" w:lineRule="auto"/>
              <w:jc w:val="left"/>
              <w:rPr>
                <w:rFonts w:ascii="宋体" w:eastAsia="宋体" w:hAnsi="宋体" w:cs="宋体"/>
                <w:color w:val="000000"/>
                <w:szCs w:val="21"/>
              </w:rPr>
            </w:pPr>
            <w:r>
              <w:rPr>
                <w:rFonts w:ascii="宋体" w:eastAsia="宋体" w:hAnsi="宋体" w:cs="宋体" w:hint="eastAsia"/>
                <w:color w:val="000000"/>
                <w:szCs w:val="21"/>
              </w:rPr>
              <w:t>2</w:t>
            </w:r>
            <w:r>
              <w:rPr>
                <w:rFonts w:ascii="宋体" w:eastAsia="宋体" w:hAnsi="宋体" w:cs="宋体"/>
                <w:color w:val="000000"/>
                <w:szCs w:val="21"/>
              </w:rPr>
              <w:t>1.</w:t>
            </w:r>
            <w:r>
              <w:rPr>
                <w:rFonts w:ascii="宋体" w:eastAsia="宋体" w:hAnsi="宋体" w:cs="宋体" w:hint="eastAsia"/>
                <w:color w:val="000000"/>
                <w:szCs w:val="21"/>
              </w:rPr>
              <w:t>软件适用于对胃组织图像进行手动标记、显示、处理，供医务人员临床病理疾病诊断参考（需提供医疗器械注册证适用范围相关文件）。</w:t>
            </w:r>
          </w:p>
          <w:p w14:paraId="742CB24C" w14:textId="77777777" w:rsidR="006A25B1" w:rsidRDefault="0004145E">
            <w:pPr>
              <w:widowControl/>
              <w:spacing w:line="360" w:lineRule="auto"/>
              <w:jc w:val="left"/>
              <w:rPr>
                <w:rFonts w:ascii="宋体" w:eastAsia="宋体" w:hAnsi="宋体" w:cs="宋体"/>
                <w:color w:val="000000"/>
                <w:szCs w:val="21"/>
              </w:rPr>
            </w:pPr>
            <w:r>
              <w:rPr>
                <w:rFonts w:ascii="宋体" w:eastAsia="宋体" w:hAnsi="宋体" w:cs="宋体" w:hint="eastAsia"/>
                <w:color w:val="000000"/>
                <w:szCs w:val="21"/>
              </w:rPr>
              <w:t>2</w:t>
            </w:r>
            <w:r>
              <w:rPr>
                <w:rFonts w:ascii="宋体" w:eastAsia="宋体" w:hAnsi="宋体" w:cs="宋体"/>
                <w:color w:val="000000"/>
                <w:szCs w:val="21"/>
              </w:rPr>
              <w:t>2.</w:t>
            </w:r>
            <w:r>
              <w:rPr>
                <w:rFonts w:ascii="宋体" w:eastAsia="宋体" w:hAnsi="宋体" w:cs="宋体" w:hint="eastAsia"/>
                <w:color w:val="000000"/>
                <w:szCs w:val="21"/>
              </w:rPr>
              <w:t>软件自动基于全局组织分类和背景进行分析判断，并生成病变类型分类判读参考，阳性分类包括各类型癌（高分化腺癌、中分化腺癌、低分化腺癌、印戒细胞癌、粘液腺癌、其他癌）、非上皮源肿瘤，高级别/低级别上皮内瘤变等。（需提供软件功能截图及演示账号备查）</w:t>
            </w:r>
          </w:p>
          <w:p w14:paraId="318ECA76" w14:textId="77777777" w:rsidR="006A25B1" w:rsidRDefault="0004145E">
            <w:pPr>
              <w:widowControl/>
              <w:spacing w:line="360" w:lineRule="auto"/>
              <w:jc w:val="left"/>
              <w:rPr>
                <w:rFonts w:ascii="宋体" w:eastAsia="宋体" w:hAnsi="宋体" w:cs="宋体"/>
                <w:color w:val="000000"/>
                <w:szCs w:val="21"/>
              </w:rPr>
            </w:pPr>
            <w:r>
              <w:rPr>
                <w:rFonts w:ascii="宋体" w:eastAsia="宋体" w:hAnsi="宋体" w:cs="宋体" w:hint="eastAsia"/>
                <w:color w:val="000000"/>
                <w:szCs w:val="21"/>
              </w:rPr>
              <w:t>2</w:t>
            </w:r>
            <w:r>
              <w:rPr>
                <w:rFonts w:ascii="宋体" w:eastAsia="宋体" w:hAnsi="宋体" w:cs="宋体"/>
                <w:color w:val="000000"/>
                <w:szCs w:val="21"/>
              </w:rPr>
              <w:t>3.</w:t>
            </w:r>
            <w:r>
              <w:rPr>
                <w:rFonts w:ascii="宋体" w:eastAsia="宋体" w:hAnsi="宋体" w:cs="宋体" w:hint="eastAsia"/>
                <w:color w:val="000000"/>
                <w:szCs w:val="21"/>
              </w:rPr>
              <w:t>软件自动基于全局组织分类和背景进行分析判断，并生成病变类型分类判读参考，阴性分类包括慢性萎缩性/慢性非萎缩性/特殊类型胃炎，各类型息肉（增生性、炎性、胃底腺、其他类型息肉），溃疡等。（需提供软件功能截图及演示账号备查）</w:t>
            </w:r>
          </w:p>
          <w:p w14:paraId="150170F0" w14:textId="77777777" w:rsidR="006A25B1" w:rsidRDefault="0004145E">
            <w:pPr>
              <w:widowControl/>
              <w:spacing w:line="360" w:lineRule="auto"/>
              <w:jc w:val="left"/>
              <w:rPr>
                <w:rFonts w:ascii="宋体" w:eastAsia="宋体" w:hAnsi="宋体" w:cs="宋体"/>
                <w:color w:val="000000"/>
                <w:szCs w:val="21"/>
              </w:rPr>
            </w:pPr>
            <w:r>
              <w:rPr>
                <w:rFonts w:ascii="宋体" w:eastAsia="宋体" w:hAnsi="宋体" w:cs="宋体" w:hint="eastAsia"/>
                <w:color w:val="000000"/>
                <w:szCs w:val="21"/>
              </w:rPr>
              <w:t>2</w:t>
            </w:r>
            <w:r>
              <w:rPr>
                <w:rFonts w:ascii="宋体" w:eastAsia="宋体" w:hAnsi="宋体" w:cs="宋体"/>
                <w:color w:val="000000"/>
                <w:szCs w:val="21"/>
              </w:rPr>
              <w:t>4.</w:t>
            </w:r>
            <w:r>
              <w:rPr>
                <w:rFonts w:ascii="宋体" w:eastAsia="宋体" w:hAnsi="宋体" w:cs="宋体" w:hint="eastAsia"/>
                <w:color w:val="000000"/>
                <w:szCs w:val="21"/>
              </w:rPr>
              <w:t>软件自动对慢性萎缩性胃炎和慢性非萎缩性胃炎的活动度、肠化程度、炎症程度、萎缩程度进行分级评价，分级标准为无、轻、中、重四级。（需提供软件功能截图及演示账号备查）</w:t>
            </w:r>
          </w:p>
          <w:p w14:paraId="1C6898D8" w14:textId="77777777" w:rsidR="006A25B1" w:rsidRDefault="0004145E">
            <w:pPr>
              <w:widowControl/>
              <w:spacing w:line="360" w:lineRule="auto"/>
              <w:jc w:val="left"/>
              <w:rPr>
                <w:rFonts w:ascii="宋体" w:eastAsia="宋体" w:hAnsi="宋体" w:cs="宋体"/>
                <w:color w:val="000000"/>
                <w:szCs w:val="21"/>
              </w:rPr>
            </w:pPr>
            <w:r>
              <w:rPr>
                <w:rFonts w:ascii="宋体" w:eastAsia="宋体" w:hAnsi="宋体" w:cs="宋体" w:hint="eastAsia"/>
                <w:color w:val="000000"/>
                <w:szCs w:val="21"/>
              </w:rPr>
              <w:t>2</w:t>
            </w:r>
            <w:r>
              <w:rPr>
                <w:rFonts w:ascii="宋体" w:eastAsia="宋体" w:hAnsi="宋体" w:cs="宋体"/>
                <w:color w:val="000000"/>
                <w:szCs w:val="21"/>
              </w:rPr>
              <w:t>5.</w:t>
            </w:r>
            <w:r>
              <w:rPr>
                <w:rFonts w:ascii="宋体" w:eastAsia="宋体" w:hAnsi="宋体" w:cs="宋体" w:hint="eastAsia"/>
                <w:color w:val="000000"/>
                <w:szCs w:val="21"/>
              </w:rPr>
              <w:t>判断HP感染状态及胃黏膜取材深度，智能识别HP阴性/阳性，自动区分全层胃黏膜与浅表胃黏膜取材类型（需提供软件功能截图及演示账号备查）</w:t>
            </w:r>
          </w:p>
          <w:p w14:paraId="18368287" w14:textId="77777777" w:rsidR="006A25B1" w:rsidRDefault="0004145E">
            <w:pPr>
              <w:widowControl/>
              <w:spacing w:line="360" w:lineRule="auto"/>
              <w:jc w:val="left"/>
              <w:rPr>
                <w:rFonts w:ascii="宋体" w:eastAsia="宋体" w:hAnsi="宋体" w:cs="宋体"/>
                <w:color w:val="000000"/>
                <w:szCs w:val="21"/>
              </w:rPr>
            </w:pPr>
            <w:r>
              <w:rPr>
                <w:rFonts w:ascii="宋体" w:eastAsia="宋体" w:hAnsi="宋体" w:cs="宋体" w:hint="eastAsia"/>
                <w:color w:val="000000"/>
                <w:szCs w:val="21"/>
              </w:rPr>
              <w:t>2</w:t>
            </w:r>
            <w:r>
              <w:rPr>
                <w:rFonts w:ascii="宋体" w:eastAsia="宋体" w:hAnsi="宋体" w:cs="宋体"/>
                <w:color w:val="000000"/>
                <w:szCs w:val="21"/>
              </w:rPr>
              <w:t>6.</w:t>
            </w:r>
            <w:r>
              <w:rPr>
                <w:rFonts w:ascii="宋体" w:eastAsia="宋体" w:hAnsi="宋体" w:cs="宋体" w:hint="eastAsia"/>
                <w:color w:val="000000"/>
                <w:szCs w:val="21"/>
              </w:rPr>
              <w:t>软件自动对胃炎识别是否幽门螺旋杆菌阳性。软件自动识别取材是否取到全层胃黏膜，还是浅表胃黏膜。（需提供软件功能截图及演示账号备查）</w:t>
            </w:r>
          </w:p>
          <w:p w14:paraId="6E1B8384" w14:textId="77777777" w:rsidR="006A25B1" w:rsidRDefault="0004145E">
            <w:pPr>
              <w:widowControl/>
              <w:spacing w:line="360" w:lineRule="auto"/>
              <w:jc w:val="left"/>
              <w:rPr>
                <w:rFonts w:ascii="宋体" w:eastAsia="宋体" w:hAnsi="宋体" w:cs="宋体"/>
                <w:color w:val="000000"/>
                <w:szCs w:val="21"/>
              </w:rPr>
            </w:pPr>
            <w:r>
              <w:rPr>
                <w:rFonts w:ascii="宋体" w:eastAsia="宋体" w:hAnsi="宋体" w:cs="宋体" w:hint="eastAsia"/>
                <w:color w:val="000000"/>
                <w:szCs w:val="21"/>
              </w:rPr>
              <w:t>2</w:t>
            </w:r>
            <w:r>
              <w:rPr>
                <w:rFonts w:ascii="宋体" w:eastAsia="宋体" w:hAnsi="宋体" w:cs="宋体"/>
                <w:color w:val="000000"/>
                <w:szCs w:val="21"/>
              </w:rPr>
              <w:t>7.</w:t>
            </w:r>
            <w:r>
              <w:rPr>
                <w:rFonts w:ascii="宋体" w:eastAsia="宋体" w:hAnsi="宋体" w:cs="宋体" w:hint="eastAsia"/>
                <w:color w:val="000000"/>
                <w:szCs w:val="21"/>
              </w:rPr>
              <w:t>肠组织病理图像分析系统，该模块具备国家药监局批准的医疗器械二类注册证（管理类别：第二类）</w:t>
            </w:r>
          </w:p>
          <w:p w14:paraId="317D82DA" w14:textId="77777777" w:rsidR="006A25B1" w:rsidRDefault="0004145E">
            <w:pPr>
              <w:widowControl/>
              <w:spacing w:line="360" w:lineRule="auto"/>
              <w:jc w:val="left"/>
              <w:rPr>
                <w:rFonts w:ascii="宋体" w:eastAsia="宋体" w:hAnsi="宋体" w:cs="宋体"/>
                <w:color w:val="000000"/>
                <w:szCs w:val="21"/>
              </w:rPr>
            </w:pPr>
            <w:r>
              <w:rPr>
                <w:rFonts w:ascii="宋体" w:eastAsia="宋体" w:hAnsi="宋体" w:cs="宋体" w:hint="eastAsia"/>
                <w:color w:val="000000"/>
                <w:szCs w:val="21"/>
              </w:rPr>
              <w:t>2</w:t>
            </w:r>
            <w:r>
              <w:rPr>
                <w:rFonts w:ascii="宋体" w:eastAsia="宋体" w:hAnsi="宋体" w:cs="宋体"/>
                <w:color w:val="000000"/>
                <w:szCs w:val="21"/>
              </w:rPr>
              <w:t>8.</w:t>
            </w:r>
            <w:r>
              <w:rPr>
                <w:rFonts w:ascii="宋体" w:eastAsia="宋体" w:hAnsi="宋体" w:cs="宋体" w:hint="eastAsia"/>
                <w:color w:val="000000"/>
                <w:szCs w:val="21"/>
              </w:rPr>
              <w:t>软件融合高低倍模型，判别组织结构变化和细胞异常。</w:t>
            </w:r>
          </w:p>
          <w:p w14:paraId="4F60C37F" w14:textId="77777777" w:rsidR="006A25B1" w:rsidRDefault="0004145E">
            <w:pPr>
              <w:widowControl/>
              <w:spacing w:line="360" w:lineRule="auto"/>
              <w:jc w:val="left"/>
              <w:rPr>
                <w:rFonts w:ascii="宋体" w:eastAsia="宋体" w:hAnsi="宋体" w:cs="宋体"/>
                <w:color w:val="000000"/>
                <w:szCs w:val="21"/>
              </w:rPr>
            </w:pPr>
            <w:r>
              <w:rPr>
                <w:rFonts w:ascii="宋体" w:eastAsia="宋体" w:hAnsi="宋体" w:cs="宋体" w:hint="eastAsia"/>
                <w:color w:val="000000"/>
                <w:szCs w:val="21"/>
              </w:rPr>
              <w:t>29.软件自动在数字切片中生成热力图高亮标注可疑的病变区域，辅助医务人员快速定位病变区域。</w:t>
            </w:r>
          </w:p>
          <w:p w14:paraId="2BF8AF72" w14:textId="77777777" w:rsidR="006A25B1" w:rsidRDefault="0004145E">
            <w:pPr>
              <w:widowControl/>
              <w:spacing w:line="360" w:lineRule="auto"/>
              <w:jc w:val="left"/>
              <w:rPr>
                <w:rFonts w:ascii="宋体" w:eastAsia="宋体" w:hAnsi="宋体" w:cs="宋体"/>
                <w:color w:val="000000"/>
                <w:szCs w:val="21"/>
              </w:rPr>
            </w:pPr>
            <w:r>
              <w:rPr>
                <w:rFonts w:ascii="宋体" w:eastAsia="宋体" w:hAnsi="宋体" w:cs="宋体" w:hint="eastAsia"/>
                <w:color w:val="000000"/>
                <w:szCs w:val="21"/>
              </w:rPr>
              <w:lastRenderedPageBreak/>
              <w:t>30.软件自动基于全局组织分类和背景进行分析判断，并生成病变类型分类判读参考，阳性分类包括各类型癌、非上皮源肿瘤，高级别/低级别腺瘤（区分管状腺瘤、绒毛状腺瘤、管状绒毛状腺瘤、锯齿状腺瘤等）等。（需提供软件功能截图及演示账号备查）</w:t>
            </w:r>
          </w:p>
          <w:p w14:paraId="74B79A67" w14:textId="77777777" w:rsidR="006A25B1" w:rsidRDefault="0004145E">
            <w:pPr>
              <w:widowControl/>
              <w:spacing w:line="360" w:lineRule="auto"/>
              <w:jc w:val="left"/>
              <w:rPr>
                <w:rFonts w:ascii="宋体" w:eastAsia="宋体" w:hAnsi="宋体" w:cs="宋体"/>
                <w:color w:val="000000"/>
                <w:szCs w:val="21"/>
              </w:rPr>
            </w:pPr>
            <w:r>
              <w:rPr>
                <w:rFonts w:ascii="宋体" w:eastAsia="宋体" w:hAnsi="宋体" w:cs="宋体" w:hint="eastAsia"/>
                <w:color w:val="000000"/>
                <w:szCs w:val="21"/>
              </w:rPr>
              <w:t>31.软件自动基于全局组织分类和背景进行分析判断，并生成病变类型分类判读参考，阴性分类包括肠炎，各类型良性息肉（区分炎性、增生性、其他类型息肉）等。（需提供软件功能截图及演示账号备查）</w:t>
            </w:r>
          </w:p>
          <w:p w14:paraId="0CCAFC49" w14:textId="77777777" w:rsidR="006A25B1" w:rsidRDefault="0004145E">
            <w:pPr>
              <w:widowControl/>
              <w:spacing w:line="360" w:lineRule="auto"/>
              <w:jc w:val="left"/>
            </w:pPr>
            <w:r>
              <w:rPr>
                <w:rFonts w:ascii="宋体" w:eastAsia="宋体" w:hAnsi="宋体" w:cs="宋体" w:hint="eastAsia"/>
                <w:color w:val="000000"/>
                <w:szCs w:val="21"/>
              </w:rPr>
              <w:t>32.质保3年。</w:t>
            </w:r>
          </w:p>
        </w:tc>
      </w:tr>
      <w:tr w:rsidR="006A25B1" w14:paraId="666257D5" w14:textId="77777777">
        <w:trPr>
          <w:jc w:val="center"/>
        </w:trPr>
        <w:tc>
          <w:tcPr>
            <w:tcW w:w="378" w:type="dxa"/>
            <w:vAlign w:val="center"/>
          </w:tcPr>
          <w:p w14:paraId="62BA820B" w14:textId="77777777" w:rsidR="006A25B1" w:rsidRDefault="0004145E">
            <w:pPr>
              <w:spacing w:line="312" w:lineRule="auto"/>
              <w:jc w:val="center"/>
              <w:rPr>
                <w:rFonts w:ascii="宋体" w:eastAsia="宋体" w:hAnsi="宋体"/>
                <w:sz w:val="24"/>
                <w:szCs w:val="24"/>
              </w:rPr>
            </w:pPr>
            <w:r>
              <w:rPr>
                <w:rFonts w:ascii="宋体" w:eastAsia="宋体" w:hAnsi="宋体"/>
                <w:sz w:val="24"/>
                <w:szCs w:val="24"/>
              </w:rPr>
              <w:lastRenderedPageBreak/>
              <w:t>2</w:t>
            </w:r>
          </w:p>
        </w:tc>
        <w:tc>
          <w:tcPr>
            <w:tcW w:w="735" w:type="dxa"/>
            <w:vAlign w:val="center"/>
          </w:tcPr>
          <w:p w14:paraId="1F877C2D" w14:textId="1B87CB00" w:rsidR="006A25B1" w:rsidRDefault="0004145E">
            <w:pPr>
              <w:spacing w:line="360" w:lineRule="auto"/>
              <w:rPr>
                <w:rFonts w:asciiTheme="minorEastAsia" w:hAnsiTheme="minorEastAsia" w:cs="宋体"/>
                <w:b/>
                <w:bCs/>
                <w:szCs w:val="21"/>
                <w:lang w:eastAsia="zh-Hans"/>
              </w:rPr>
            </w:pPr>
            <w:r>
              <w:rPr>
                <w:rFonts w:asciiTheme="minorEastAsia" w:hAnsiTheme="minorEastAsia" w:cs="宋体" w:hint="eastAsia"/>
                <w:b/>
                <w:bCs/>
                <w:szCs w:val="21"/>
              </w:rPr>
              <w:t>算力服务器</w:t>
            </w:r>
          </w:p>
          <w:p w14:paraId="668AE08E" w14:textId="77777777" w:rsidR="006A25B1" w:rsidRDefault="006A25B1">
            <w:pPr>
              <w:spacing w:line="312" w:lineRule="auto"/>
              <w:jc w:val="center"/>
              <w:rPr>
                <w:rFonts w:ascii="宋体" w:eastAsia="宋体" w:hAnsi="宋体"/>
                <w:szCs w:val="21"/>
              </w:rPr>
            </w:pPr>
          </w:p>
        </w:tc>
        <w:tc>
          <w:tcPr>
            <w:tcW w:w="6962" w:type="dxa"/>
            <w:vAlign w:val="center"/>
          </w:tcPr>
          <w:p w14:paraId="4FE517B0" w14:textId="5F194F02" w:rsidR="00A1456E" w:rsidRDefault="0004145E" w:rsidP="00A1456E">
            <w:pPr>
              <w:rPr>
                <w:rFonts w:asciiTheme="minorEastAsia" w:hAnsiTheme="minorEastAsia" w:cs="宋体" w:hint="eastAsia"/>
                <w:color w:val="000000"/>
                <w:szCs w:val="21"/>
              </w:rPr>
            </w:pPr>
            <w:r>
              <w:rPr>
                <w:rFonts w:asciiTheme="minorEastAsia" w:hAnsiTheme="minorEastAsia" w:cs="宋体" w:hint="eastAsia"/>
                <w:color w:val="000000"/>
                <w:szCs w:val="21"/>
              </w:rPr>
              <w:t>CPU：2</w:t>
            </w:r>
            <w:r>
              <w:rPr>
                <w:rFonts w:asciiTheme="minorEastAsia" w:hAnsiTheme="minorEastAsia" w:cs="宋体"/>
                <w:color w:val="000000"/>
                <w:szCs w:val="21"/>
              </w:rPr>
              <w:t>4</w:t>
            </w:r>
            <w:r>
              <w:rPr>
                <w:rFonts w:asciiTheme="minorEastAsia" w:hAnsiTheme="minorEastAsia" w:cs="宋体" w:hint="eastAsia"/>
                <w:color w:val="000000"/>
                <w:szCs w:val="21"/>
              </w:rPr>
              <w:t>C</w:t>
            </w:r>
            <w:r>
              <w:rPr>
                <w:rFonts w:asciiTheme="minorEastAsia" w:hAnsiTheme="minorEastAsia" w:cs="宋体"/>
                <w:color w:val="000000"/>
                <w:szCs w:val="21"/>
              </w:rPr>
              <w:t>*6</w:t>
            </w:r>
            <w:r>
              <w:rPr>
                <w:rFonts w:asciiTheme="minorEastAsia" w:hAnsiTheme="minorEastAsia" w:cs="宋体" w:hint="eastAsia"/>
                <w:color w:val="000000"/>
                <w:szCs w:val="21"/>
              </w:rPr>
              <w:t>GHz、二级缓存</w:t>
            </w:r>
            <w:r>
              <w:rPr>
                <w:rFonts w:ascii="Tahoma" w:hAnsi="Tahoma" w:cs="Tahoma"/>
                <w:color w:val="262626"/>
                <w:shd w:val="clear" w:color="auto" w:fill="FFFFFF"/>
              </w:rPr>
              <w:t>32 MB</w:t>
            </w:r>
            <w:r>
              <w:rPr>
                <w:rFonts w:ascii="Tahoma" w:hAnsi="Tahoma" w:cs="Tahoma" w:hint="eastAsia"/>
                <w:color w:val="262626"/>
                <w:shd w:val="clear" w:color="auto" w:fill="FFFFFF"/>
              </w:rPr>
              <w:t>以上</w:t>
            </w:r>
            <w:r>
              <w:rPr>
                <w:rFonts w:asciiTheme="minorEastAsia" w:hAnsiTheme="minorEastAsia" w:cs="宋体"/>
                <w:color w:val="000000"/>
                <w:szCs w:val="21"/>
              </w:rPr>
              <w:br/>
            </w:r>
            <w:r>
              <w:rPr>
                <w:rFonts w:asciiTheme="minorEastAsia" w:hAnsiTheme="minorEastAsia" w:cs="宋体" w:hint="eastAsia"/>
                <w:color w:val="000000"/>
                <w:szCs w:val="21"/>
              </w:rPr>
              <w:t>运行</w:t>
            </w:r>
            <w:r>
              <w:rPr>
                <w:rFonts w:asciiTheme="minorEastAsia" w:hAnsiTheme="minorEastAsia" w:cs="宋体"/>
                <w:color w:val="000000"/>
                <w:szCs w:val="21"/>
              </w:rPr>
              <w:t>内存</w:t>
            </w:r>
            <w:r>
              <w:rPr>
                <w:rFonts w:asciiTheme="minorEastAsia" w:hAnsiTheme="minorEastAsia" w:cs="宋体" w:hint="eastAsia"/>
                <w:color w:val="000000"/>
                <w:szCs w:val="21"/>
              </w:rPr>
              <w:t>：</w:t>
            </w:r>
            <w:r>
              <w:rPr>
                <w:rFonts w:asciiTheme="minorEastAsia" w:hAnsiTheme="minorEastAsia" w:cs="宋体"/>
                <w:color w:val="000000"/>
                <w:szCs w:val="21"/>
              </w:rPr>
              <w:t>64G</w:t>
            </w:r>
            <w:r>
              <w:rPr>
                <w:rFonts w:asciiTheme="minorEastAsia" w:hAnsiTheme="minorEastAsia" w:cs="宋体" w:hint="eastAsia"/>
                <w:color w:val="000000"/>
                <w:szCs w:val="21"/>
              </w:rPr>
              <w:t>以上</w:t>
            </w:r>
            <w:r>
              <w:rPr>
                <w:rFonts w:asciiTheme="minorEastAsia" w:hAnsiTheme="minorEastAsia" w:cs="宋体"/>
                <w:color w:val="000000"/>
                <w:szCs w:val="21"/>
              </w:rPr>
              <w:br/>
            </w:r>
            <w:r>
              <w:rPr>
                <w:rFonts w:asciiTheme="minorEastAsia" w:hAnsiTheme="minorEastAsia" w:cs="宋体" w:hint="eastAsia"/>
                <w:color w:val="000000"/>
                <w:szCs w:val="21"/>
              </w:rPr>
              <w:t>存储：</w:t>
            </w:r>
            <w:r w:rsidR="00A36F32">
              <w:rPr>
                <w:rFonts w:asciiTheme="minorEastAsia" w:hAnsiTheme="minorEastAsia" w:cs="宋体" w:hint="eastAsia"/>
                <w:color w:val="000000"/>
                <w:szCs w:val="21"/>
              </w:rPr>
              <w:t>2块</w:t>
            </w:r>
            <w:r>
              <w:rPr>
                <w:rFonts w:asciiTheme="minorEastAsia" w:hAnsiTheme="minorEastAsia" w:cs="宋体"/>
                <w:color w:val="000000"/>
                <w:szCs w:val="21"/>
              </w:rPr>
              <w:t>512G SSD</w:t>
            </w:r>
            <w:r w:rsidR="00A36F32">
              <w:rPr>
                <w:rFonts w:asciiTheme="minorEastAsia" w:hAnsiTheme="minorEastAsia" w:cs="宋体" w:hint="eastAsia"/>
                <w:color w:val="000000"/>
                <w:szCs w:val="21"/>
              </w:rPr>
              <w:t>做镜像</w:t>
            </w:r>
            <w:r>
              <w:rPr>
                <w:rFonts w:asciiTheme="minorEastAsia" w:hAnsiTheme="minorEastAsia" w:cs="宋体"/>
                <w:color w:val="000000"/>
                <w:szCs w:val="21"/>
              </w:rPr>
              <w:t>、</w:t>
            </w:r>
            <w:r w:rsidR="00FD1D93">
              <w:rPr>
                <w:rFonts w:asciiTheme="minorEastAsia" w:hAnsiTheme="minorEastAsia" w:cs="宋体"/>
                <w:color w:val="000000"/>
                <w:szCs w:val="21"/>
              </w:rPr>
              <w:t>2</w:t>
            </w:r>
            <w:r w:rsidR="00A36F32">
              <w:rPr>
                <w:rFonts w:asciiTheme="minorEastAsia" w:hAnsiTheme="minorEastAsia" w:cs="宋体" w:hint="eastAsia"/>
                <w:color w:val="000000"/>
                <w:szCs w:val="21"/>
              </w:rPr>
              <w:t>块</w:t>
            </w:r>
            <w:r>
              <w:rPr>
                <w:rFonts w:asciiTheme="minorEastAsia" w:hAnsiTheme="minorEastAsia" w:cs="宋体"/>
                <w:color w:val="000000"/>
                <w:szCs w:val="21"/>
              </w:rPr>
              <w:t>8T HDD企业级</w:t>
            </w:r>
            <w:r w:rsidR="00A36F32">
              <w:rPr>
                <w:rFonts w:asciiTheme="minorEastAsia" w:hAnsiTheme="minorEastAsia" w:cs="宋体" w:hint="eastAsia"/>
                <w:color w:val="000000"/>
                <w:szCs w:val="21"/>
              </w:rPr>
              <w:t>硬盘做RAID</w:t>
            </w:r>
            <w:r w:rsidR="00FD1D93">
              <w:rPr>
                <w:rFonts w:asciiTheme="minorEastAsia" w:hAnsiTheme="minorEastAsia" w:cs="宋体"/>
                <w:color w:val="000000"/>
                <w:szCs w:val="21"/>
              </w:rPr>
              <w:t>1</w:t>
            </w:r>
            <w:r>
              <w:rPr>
                <w:rFonts w:asciiTheme="minorEastAsia" w:hAnsiTheme="minorEastAsia" w:cs="宋体"/>
                <w:color w:val="000000"/>
                <w:szCs w:val="21"/>
              </w:rPr>
              <w:br/>
            </w:r>
            <w:r>
              <w:rPr>
                <w:rFonts w:asciiTheme="minorEastAsia" w:hAnsiTheme="minorEastAsia" w:cs="宋体" w:hint="eastAsia"/>
                <w:color w:val="000000"/>
                <w:szCs w:val="21"/>
              </w:rPr>
              <w:t>算力卡：</w:t>
            </w:r>
            <w:r w:rsidR="00A36F32">
              <w:rPr>
                <w:rFonts w:asciiTheme="minorEastAsia" w:hAnsiTheme="minorEastAsia" w:cs="宋体" w:hint="eastAsia"/>
                <w:color w:val="000000"/>
                <w:szCs w:val="21"/>
              </w:rPr>
              <w:t>2张</w:t>
            </w:r>
            <w:r>
              <w:rPr>
                <w:rFonts w:asciiTheme="minorEastAsia" w:hAnsiTheme="minorEastAsia" w:cs="宋体" w:hint="eastAsia"/>
                <w:color w:val="000000"/>
                <w:szCs w:val="21"/>
              </w:rPr>
              <w:t>显存</w:t>
            </w:r>
            <w:r w:rsidR="00C0651B">
              <w:rPr>
                <w:rFonts w:asciiTheme="minorEastAsia" w:hAnsiTheme="minorEastAsia" w:cs="宋体"/>
                <w:szCs w:val="21"/>
              </w:rPr>
              <w:t>12</w:t>
            </w:r>
            <w:r>
              <w:rPr>
                <w:rFonts w:asciiTheme="minorEastAsia" w:hAnsiTheme="minorEastAsia" w:cs="宋体"/>
                <w:szCs w:val="21"/>
              </w:rPr>
              <w:t>G</w:t>
            </w:r>
            <w:r>
              <w:rPr>
                <w:rFonts w:asciiTheme="minorEastAsia" w:hAnsiTheme="minorEastAsia" w:cs="宋体" w:hint="eastAsia"/>
                <w:color w:val="000000"/>
                <w:szCs w:val="21"/>
              </w:rPr>
              <w:t>以上</w:t>
            </w:r>
            <w:r w:rsidR="00A36F32">
              <w:rPr>
                <w:rFonts w:asciiTheme="minorEastAsia" w:hAnsiTheme="minorEastAsia" w:cs="宋体" w:hint="eastAsia"/>
                <w:color w:val="000000"/>
                <w:szCs w:val="21"/>
              </w:rPr>
              <w:t>算力卡</w:t>
            </w:r>
            <w:r>
              <w:rPr>
                <w:rFonts w:asciiTheme="minorEastAsia" w:hAnsiTheme="minorEastAsia" w:cs="宋体" w:hint="eastAsia"/>
                <w:color w:val="000000"/>
                <w:szCs w:val="21"/>
              </w:rPr>
              <w:t>。</w:t>
            </w:r>
          </w:p>
          <w:p w14:paraId="10506578" w14:textId="00F569D2" w:rsidR="006A25B1" w:rsidRPr="00A1456E" w:rsidRDefault="00A1456E" w:rsidP="00A1456E">
            <w:pPr>
              <w:pStyle w:val="a0"/>
              <w:rPr>
                <w:rFonts w:ascii="宋体" w:eastAsia="宋体" w:hAnsi="宋体"/>
                <w:sz w:val="18"/>
                <w:szCs w:val="18"/>
              </w:rPr>
            </w:pPr>
            <w:r w:rsidRPr="00A1456E">
              <w:rPr>
                <w:rFonts w:ascii="宋体" w:eastAsia="宋体" w:hAnsi="宋体" w:hint="eastAsia"/>
                <w:sz w:val="21"/>
                <w:szCs w:val="21"/>
                <w:lang w:val="en-US"/>
              </w:rPr>
              <w:t>质保：3年</w:t>
            </w:r>
          </w:p>
        </w:tc>
      </w:tr>
    </w:tbl>
    <w:p w14:paraId="30624040" w14:textId="77777777" w:rsidR="006A25B1" w:rsidRDefault="006A25B1">
      <w:pPr>
        <w:pStyle w:val="a0"/>
        <w:spacing w:after="0" w:line="312" w:lineRule="auto"/>
        <w:rPr>
          <w:lang w:val="en-US"/>
        </w:rPr>
      </w:pPr>
    </w:p>
    <w:p w14:paraId="79A273F4" w14:textId="77777777" w:rsidR="006A25B1" w:rsidRDefault="0004145E">
      <w:pPr>
        <w:pStyle w:val="a0"/>
        <w:spacing w:after="0" w:line="312" w:lineRule="auto"/>
        <w:rPr>
          <w:rFonts w:ascii="宋体" w:eastAsia="宋体" w:hAnsi="宋体" w:cs="宋体"/>
          <w:b/>
          <w:bCs/>
          <w:sz w:val="28"/>
          <w:lang w:val="en-US"/>
        </w:rPr>
      </w:pPr>
      <w:r>
        <w:rPr>
          <w:rFonts w:ascii="宋体" w:eastAsia="宋体" w:hAnsi="宋体" w:cs="宋体" w:hint="eastAsia"/>
          <w:b/>
          <w:bCs/>
          <w:sz w:val="28"/>
          <w:lang w:val="en-US"/>
        </w:rPr>
        <w:t>三、对接口及系统改造的要求</w:t>
      </w:r>
    </w:p>
    <w:p w14:paraId="71B778D1" w14:textId="77777777" w:rsidR="006A25B1" w:rsidRDefault="0004145E">
      <w:pPr>
        <w:spacing w:line="312" w:lineRule="auto"/>
        <w:rPr>
          <w:rFonts w:ascii="宋体" w:eastAsia="宋体" w:hAnsi="宋体" w:cs="宋体"/>
          <w:b/>
          <w:bCs/>
          <w:sz w:val="24"/>
          <w:szCs w:val="24"/>
        </w:rPr>
      </w:pPr>
      <w:r>
        <w:rPr>
          <w:rFonts w:ascii="宋体" w:eastAsia="宋体" w:hAnsi="宋体" w:cs="宋体" w:hint="eastAsia"/>
          <w:b/>
          <w:bCs/>
          <w:sz w:val="24"/>
          <w:szCs w:val="24"/>
        </w:rPr>
        <w:tab/>
        <w:t>质保期和维保期内免费实现以下要求：</w:t>
      </w:r>
    </w:p>
    <w:p w14:paraId="78D7D5CA" w14:textId="77777777" w:rsidR="006A25B1" w:rsidRDefault="0004145E">
      <w:pPr>
        <w:pStyle w:val="a0"/>
        <w:spacing w:after="0" w:line="312" w:lineRule="auto"/>
        <w:ind w:firstLine="420"/>
        <w:rPr>
          <w:rFonts w:ascii="宋体" w:eastAsia="宋体" w:hAnsi="宋体" w:cs="宋体"/>
          <w:sz w:val="24"/>
          <w:lang w:val="en-US"/>
        </w:rPr>
      </w:pPr>
      <w:r>
        <w:rPr>
          <w:rFonts w:ascii="宋体" w:eastAsia="宋体" w:hAnsi="宋体" w:cs="宋体" w:hint="eastAsia"/>
          <w:sz w:val="24"/>
          <w:lang w:val="en-US"/>
        </w:rPr>
        <w:t>3.1提供全面的接口技术，与第三方系统共享数据和功能，这些接口技术包括中间件技术接口、WEBSEVICE通用接口、数据库级接口、文件文本接口等。</w:t>
      </w:r>
    </w:p>
    <w:p w14:paraId="764E8380" w14:textId="77777777" w:rsidR="006A25B1" w:rsidRDefault="0004145E">
      <w:pPr>
        <w:pStyle w:val="a0"/>
        <w:spacing w:after="0" w:line="312" w:lineRule="auto"/>
        <w:ind w:firstLine="420"/>
        <w:rPr>
          <w:rFonts w:ascii="宋体" w:eastAsia="宋体" w:hAnsi="宋体" w:cs="宋体"/>
          <w:sz w:val="24"/>
          <w:lang w:val="en-US"/>
        </w:rPr>
      </w:pPr>
      <w:r>
        <w:rPr>
          <w:rFonts w:ascii="宋体" w:eastAsia="宋体" w:hAnsi="宋体" w:cs="宋体" w:hint="eastAsia"/>
          <w:sz w:val="24"/>
          <w:lang w:val="en-US"/>
        </w:rPr>
        <w:t>3.2提供与医院第三方系统统一接口的维护与管理，与HIS、电子病历、LIS、PACS、心电系统、体检系统、集成平台、智慧运营平台、成本管理系统、排班系统、人力资源管理系统、财务管理系统、互联网医院、OA平台、企业微信、自助服务平台、DRG管理、绩效管理、电子发票、短信平台、财务电子档案、CA签名、单点登录系统、数据资产平台、运营一体化管理系统等其他所有医院相关业务系统（包括以上医院系统但不仅限于以上系统）进行免费接口对接，实现数据交换。</w:t>
      </w:r>
    </w:p>
    <w:p w14:paraId="495A10DC" w14:textId="77777777" w:rsidR="006A25B1" w:rsidRDefault="0004145E">
      <w:pPr>
        <w:pStyle w:val="a0"/>
        <w:spacing w:after="0" w:line="312" w:lineRule="auto"/>
        <w:ind w:firstLine="420"/>
        <w:rPr>
          <w:rFonts w:ascii="宋体" w:eastAsia="宋体" w:hAnsi="宋体" w:cs="宋体"/>
          <w:sz w:val="24"/>
          <w:lang w:val="en-US"/>
        </w:rPr>
      </w:pPr>
      <w:r>
        <w:rPr>
          <w:rFonts w:ascii="宋体" w:eastAsia="宋体" w:hAnsi="宋体" w:cs="宋体" w:hint="eastAsia"/>
          <w:sz w:val="24"/>
          <w:lang w:val="en-US"/>
        </w:rPr>
        <w:t>3.3满足医院电子病历系统功能应用水平分级评价达到6级以上评审、医院信息互联互通标准化成熟度测评达到五级乙等以上水平评审、信息系统安全等级保护三级测评、三甲医院评审、医院智慧服务分级评估标准体系达到4级以上相关的功能要求、医院智慧管理分级评估标准体系达到4级以上相关的功能要求、网络攻防演练中的安全防护要求以及医院其他需要评审的信息化技术改造服务要求；</w:t>
      </w:r>
    </w:p>
    <w:p w14:paraId="0AF2F836" w14:textId="77777777" w:rsidR="006A25B1" w:rsidRDefault="0004145E">
      <w:pPr>
        <w:pStyle w:val="a0"/>
        <w:spacing w:after="0" w:line="312" w:lineRule="auto"/>
        <w:ind w:firstLine="420"/>
        <w:rPr>
          <w:rFonts w:ascii="宋体" w:eastAsia="宋体" w:hAnsi="宋体" w:cs="宋体"/>
          <w:sz w:val="24"/>
          <w:lang w:val="en-US"/>
        </w:rPr>
      </w:pPr>
      <w:r>
        <w:rPr>
          <w:rFonts w:ascii="宋体" w:eastAsia="宋体" w:hAnsi="宋体" w:cs="宋体" w:hint="eastAsia"/>
          <w:sz w:val="24"/>
          <w:lang w:val="en-US"/>
        </w:rPr>
        <w:t>3.4提供软件免费升级及个性化修改服务，免费实现院方的个性化需求；软件自身错误类问题提供永久性免费修改服务；</w:t>
      </w:r>
    </w:p>
    <w:p w14:paraId="1F6A9569" w14:textId="77777777" w:rsidR="006A25B1" w:rsidRDefault="0004145E">
      <w:pPr>
        <w:pStyle w:val="ac"/>
        <w:spacing w:line="360" w:lineRule="auto"/>
        <w:ind w:firstLineChars="0"/>
        <w:rPr>
          <w:rFonts w:ascii="宋体" w:eastAsia="宋体" w:hAnsi="宋体" w:cs="宋体"/>
          <w:sz w:val="24"/>
        </w:rPr>
      </w:pPr>
      <w:r>
        <w:rPr>
          <w:rFonts w:ascii="宋体" w:eastAsia="宋体" w:hAnsi="宋体" w:cs="宋体" w:hint="eastAsia"/>
          <w:sz w:val="24"/>
        </w:rPr>
        <w:t>3.5免费提供医院新增业务信息系统的对接、免费实现医院上级管理部门要</w:t>
      </w:r>
      <w:r>
        <w:rPr>
          <w:rFonts w:ascii="宋体" w:eastAsia="宋体" w:hAnsi="宋体" w:cs="宋体" w:hint="eastAsia"/>
          <w:sz w:val="24"/>
        </w:rPr>
        <w:lastRenderedPageBreak/>
        <w:t>求的系统接口对接要求。</w:t>
      </w:r>
    </w:p>
    <w:p w14:paraId="1DA06E02" w14:textId="77777777" w:rsidR="006A25B1" w:rsidRDefault="0004145E">
      <w:pPr>
        <w:pStyle w:val="ac"/>
        <w:spacing w:line="360" w:lineRule="auto"/>
        <w:ind w:firstLineChars="0"/>
        <w:rPr>
          <w:rFonts w:ascii="宋体" w:eastAsia="宋体" w:hAnsi="宋体" w:cs="宋体"/>
          <w:sz w:val="24"/>
        </w:rPr>
      </w:pPr>
      <w:r>
        <w:rPr>
          <w:rFonts w:ascii="宋体" w:eastAsia="宋体" w:hAnsi="宋体" w:hint="eastAsia"/>
          <w:sz w:val="24"/>
          <w:szCs w:val="24"/>
        </w:rPr>
        <w:t>3.6若医院更换已对接的业务系统、供货商须免费提供与新业务系统的对接及联调服务。</w:t>
      </w:r>
    </w:p>
    <w:p w14:paraId="4F551AAF" w14:textId="77777777" w:rsidR="006A25B1" w:rsidRDefault="0004145E">
      <w:pPr>
        <w:pStyle w:val="a0"/>
        <w:spacing w:after="0" w:line="312" w:lineRule="auto"/>
        <w:ind w:firstLine="420"/>
        <w:rPr>
          <w:rFonts w:ascii="宋体" w:eastAsia="宋体" w:hAnsi="宋体" w:cs="宋体"/>
          <w:sz w:val="24"/>
          <w:lang w:val="en-US"/>
        </w:rPr>
      </w:pPr>
      <w:r>
        <w:rPr>
          <w:rFonts w:ascii="宋体" w:eastAsia="宋体" w:hAnsi="宋体" w:cs="宋体" w:hint="eastAsia"/>
          <w:sz w:val="24"/>
          <w:lang w:val="en-US"/>
        </w:rPr>
        <w:t>3.7项目软硬件系统不限定用户数、并发数、不限定医疗集团内部及院区使用。</w:t>
      </w:r>
    </w:p>
    <w:p w14:paraId="0A2BECD2" w14:textId="77777777" w:rsidR="006A25B1" w:rsidRDefault="0004145E">
      <w:pPr>
        <w:pStyle w:val="1"/>
        <w:numPr>
          <w:ilvl w:val="0"/>
          <w:numId w:val="0"/>
        </w:numPr>
        <w:spacing w:before="0" w:after="0" w:line="312" w:lineRule="auto"/>
        <w:rPr>
          <w:rFonts w:ascii="宋体" w:hAnsi="宋体"/>
          <w:bCs w:val="0"/>
          <w:sz w:val="32"/>
          <w:szCs w:val="32"/>
        </w:rPr>
      </w:pPr>
      <w:r>
        <w:rPr>
          <w:rFonts w:ascii="宋体" w:hAnsi="宋体" w:hint="eastAsia"/>
          <w:bCs w:val="0"/>
          <w:sz w:val="32"/>
          <w:szCs w:val="32"/>
        </w:rPr>
        <w:t>四、项目实施要求</w:t>
      </w:r>
    </w:p>
    <w:p w14:paraId="32EC4A7A" w14:textId="77777777" w:rsidR="006A25B1" w:rsidRDefault="0004145E">
      <w:pPr>
        <w:pStyle w:val="a0"/>
        <w:spacing w:after="0" w:line="312" w:lineRule="auto"/>
        <w:ind w:firstLine="420"/>
        <w:rPr>
          <w:rFonts w:ascii="宋体" w:eastAsia="宋体" w:hAnsi="宋体" w:cs="宋体"/>
          <w:sz w:val="24"/>
          <w:lang w:val="en-US"/>
        </w:rPr>
      </w:pPr>
      <w:r>
        <w:rPr>
          <w:rFonts w:ascii="宋体" w:eastAsia="宋体" w:hAnsi="宋体" w:cs="宋体" w:hint="eastAsia"/>
          <w:sz w:val="24"/>
          <w:lang w:val="en-US"/>
        </w:rPr>
        <w:t>4.1驻场、实施工期要求：合同签订后，7个工作日内项目实施人员必须进场，系统需在</w:t>
      </w:r>
      <w:r>
        <w:rPr>
          <w:rFonts w:ascii="宋体" w:eastAsia="宋体" w:hAnsi="宋体" w:cs="宋体"/>
          <w:sz w:val="24"/>
          <w:lang w:val="en-US"/>
        </w:rPr>
        <w:t>1</w:t>
      </w:r>
      <w:r>
        <w:rPr>
          <w:rFonts w:ascii="宋体" w:eastAsia="宋体" w:hAnsi="宋体" w:cs="宋体" w:hint="eastAsia"/>
          <w:sz w:val="24"/>
          <w:lang w:val="en-US"/>
        </w:rPr>
        <w:t>个月内完成项目实施上线，请分别列出每个系统实施的工作计划及周期。</w:t>
      </w:r>
    </w:p>
    <w:p w14:paraId="5F803F9A" w14:textId="77777777" w:rsidR="006A25B1" w:rsidRDefault="0004145E">
      <w:pPr>
        <w:pStyle w:val="a0"/>
        <w:spacing w:after="0" w:line="312" w:lineRule="auto"/>
        <w:ind w:firstLine="420"/>
        <w:rPr>
          <w:rFonts w:ascii="宋体" w:eastAsia="宋体" w:hAnsi="宋体" w:cs="宋体"/>
          <w:sz w:val="24"/>
          <w:lang w:val="en-US"/>
        </w:rPr>
      </w:pPr>
      <w:r>
        <w:rPr>
          <w:rFonts w:ascii="宋体" w:eastAsia="宋体" w:hAnsi="宋体" w:cs="宋体" w:hint="eastAsia"/>
          <w:sz w:val="24"/>
          <w:lang w:val="en-US"/>
        </w:rPr>
        <w:t>4.2驻场人员要求：</w:t>
      </w:r>
    </w:p>
    <w:p w14:paraId="36D13D8C" w14:textId="77777777" w:rsidR="006A25B1" w:rsidRDefault="0004145E">
      <w:pPr>
        <w:pStyle w:val="a0"/>
        <w:spacing w:after="0" w:line="312" w:lineRule="auto"/>
        <w:ind w:firstLine="420"/>
        <w:rPr>
          <w:rFonts w:ascii="宋体" w:eastAsia="宋体" w:hAnsi="宋体" w:cs="宋体"/>
          <w:sz w:val="24"/>
          <w:lang w:val="en-US"/>
        </w:rPr>
      </w:pPr>
      <w:r>
        <w:rPr>
          <w:rFonts w:ascii="宋体" w:eastAsia="宋体" w:hAnsi="宋体" w:cs="宋体" w:hint="eastAsia"/>
          <w:sz w:val="24"/>
          <w:lang w:val="en-US"/>
        </w:rPr>
        <w:t>实施工程师：项目驻场实施工程师需有2年以上本厂商同等项目实施经验。项目实施阶段，驻场实施工程师不得少于</w:t>
      </w:r>
      <w:r>
        <w:rPr>
          <w:rFonts w:ascii="宋体" w:eastAsia="宋体" w:hAnsi="宋体" w:cs="宋体"/>
          <w:sz w:val="24"/>
          <w:lang w:val="en-US"/>
        </w:rPr>
        <w:t>1</w:t>
      </w:r>
      <w:r>
        <w:rPr>
          <w:rFonts w:ascii="宋体" w:eastAsia="宋体" w:hAnsi="宋体" w:cs="宋体" w:hint="eastAsia"/>
          <w:sz w:val="24"/>
          <w:lang w:val="en-US"/>
        </w:rPr>
        <w:t>名。</w:t>
      </w:r>
    </w:p>
    <w:p w14:paraId="36BC85BD" w14:textId="77777777" w:rsidR="006A25B1" w:rsidRDefault="0004145E">
      <w:pPr>
        <w:pStyle w:val="a0"/>
        <w:spacing w:after="0" w:line="312" w:lineRule="auto"/>
        <w:ind w:firstLine="420"/>
        <w:rPr>
          <w:rFonts w:ascii="宋体" w:eastAsia="宋体" w:hAnsi="宋体" w:cs="宋体"/>
          <w:sz w:val="24"/>
          <w:lang w:val="en-US"/>
        </w:rPr>
      </w:pPr>
      <w:r>
        <w:rPr>
          <w:rFonts w:ascii="宋体" w:eastAsia="宋体" w:hAnsi="宋体" w:cs="宋体" w:hint="eastAsia"/>
          <w:sz w:val="24"/>
          <w:lang w:val="en-US"/>
        </w:rPr>
        <w:t>如需更换开发工程师、实施工程师，厂商需提交书面申请，经院方同意才可更换。</w:t>
      </w:r>
    </w:p>
    <w:p w14:paraId="1A2CAC65" w14:textId="77777777" w:rsidR="006A25B1" w:rsidRDefault="0004145E">
      <w:pPr>
        <w:pStyle w:val="a0"/>
        <w:spacing w:after="0" w:line="312" w:lineRule="auto"/>
        <w:ind w:firstLine="420"/>
        <w:rPr>
          <w:rFonts w:ascii="宋体" w:eastAsia="宋体" w:hAnsi="宋体" w:cs="宋体"/>
          <w:sz w:val="24"/>
          <w:lang w:val="en-US"/>
        </w:rPr>
      </w:pPr>
      <w:r>
        <w:rPr>
          <w:rFonts w:ascii="宋体" w:eastAsia="宋体" w:hAnsi="宋体" w:cs="宋体" w:hint="eastAsia"/>
          <w:sz w:val="24"/>
          <w:lang w:val="en-US"/>
        </w:rPr>
        <w:t>竞标文件中需提供软件提供商项目驻场人员清单（含项目开发和项目实施人员），清单中标明驻场人员详细信息，如姓名、联系方式、技术职称、社保证明（不少于半年）等。</w:t>
      </w:r>
    </w:p>
    <w:p w14:paraId="0AA68BB7" w14:textId="77777777" w:rsidR="006A25B1" w:rsidRDefault="0004145E">
      <w:pPr>
        <w:spacing w:line="312" w:lineRule="auto"/>
        <w:ind w:firstLineChars="200" w:firstLine="480"/>
        <w:jc w:val="left"/>
        <w:rPr>
          <w:rFonts w:ascii="宋体" w:eastAsia="宋体" w:hAnsi="宋体" w:cs="宋体"/>
          <w:sz w:val="24"/>
          <w:szCs w:val="24"/>
        </w:rPr>
      </w:pPr>
      <w:r>
        <w:rPr>
          <w:rFonts w:ascii="宋体" w:eastAsia="宋体" w:hAnsi="宋体" w:cs="宋体" w:hint="eastAsia"/>
          <w:sz w:val="24"/>
          <w:szCs w:val="24"/>
        </w:rPr>
        <w:t>4.3因厂商与院方存在对需求理解有差异的可能性，要求所有软件功能需求的响应以院方意见为准。</w:t>
      </w:r>
    </w:p>
    <w:p w14:paraId="27214E4A" w14:textId="77777777" w:rsidR="006A25B1" w:rsidRDefault="0004145E">
      <w:pPr>
        <w:spacing w:line="312" w:lineRule="auto"/>
        <w:ind w:firstLineChars="200" w:firstLine="480"/>
        <w:jc w:val="left"/>
        <w:rPr>
          <w:rFonts w:ascii="宋体" w:eastAsia="宋体" w:hAnsi="宋体" w:cs="宋体"/>
          <w:sz w:val="24"/>
          <w:szCs w:val="24"/>
        </w:rPr>
      </w:pPr>
      <w:r>
        <w:rPr>
          <w:rFonts w:ascii="宋体" w:eastAsia="宋体" w:hAnsi="宋体" w:cs="宋体" w:hint="eastAsia"/>
          <w:sz w:val="24"/>
          <w:szCs w:val="24"/>
        </w:rPr>
        <w:t>4.4培训要求：</w:t>
      </w:r>
    </w:p>
    <w:p w14:paraId="4B36907F" w14:textId="77777777" w:rsidR="006A25B1" w:rsidRDefault="0004145E">
      <w:pPr>
        <w:spacing w:line="312" w:lineRule="auto"/>
        <w:ind w:firstLineChars="200" w:firstLine="480"/>
        <w:jc w:val="left"/>
      </w:pPr>
      <w:r>
        <w:rPr>
          <w:rFonts w:ascii="宋体" w:eastAsia="宋体" w:hAnsi="宋体" w:cs="宋体" w:hint="eastAsia"/>
          <w:sz w:val="24"/>
          <w:szCs w:val="24"/>
        </w:rPr>
        <w:t>培训应至少包括但不限于：软硬件系统的安装、部署、维护方法、系统的功能使用培训；</w:t>
      </w:r>
    </w:p>
    <w:p w14:paraId="3482DE09" w14:textId="77777777" w:rsidR="006A25B1" w:rsidRDefault="0004145E">
      <w:pPr>
        <w:pStyle w:val="1"/>
        <w:numPr>
          <w:ilvl w:val="0"/>
          <w:numId w:val="0"/>
        </w:numPr>
        <w:spacing w:before="0" w:after="0" w:line="312" w:lineRule="auto"/>
        <w:rPr>
          <w:rFonts w:ascii="宋体" w:hAnsi="宋体"/>
          <w:bCs w:val="0"/>
          <w:sz w:val="32"/>
          <w:szCs w:val="32"/>
        </w:rPr>
      </w:pPr>
      <w:r>
        <w:rPr>
          <w:rFonts w:ascii="宋体" w:hAnsi="宋体" w:hint="eastAsia"/>
          <w:bCs w:val="0"/>
          <w:sz w:val="32"/>
          <w:szCs w:val="32"/>
        </w:rPr>
        <w:t>五、售后服务及其他要求</w:t>
      </w:r>
    </w:p>
    <w:p w14:paraId="27A73840" w14:textId="77777777" w:rsidR="006A25B1" w:rsidRDefault="0004145E">
      <w:pPr>
        <w:spacing w:line="312" w:lineRule="auto"/>
        <w:ind w:firstLine="420"/>
        <w:jc w:val="left"/>
        <w:rPr>
          <w:rFonts w:ascii="宋体" w:hAnsi="宋体" w:cs="宋体"/>
          <w:sz w:val="24"/>
          <w:szCs w:val="24"/>
        </w:rPr>
      </w:pPr>
      <w:r>
        <w:rPr>
          <w:rFonts w:ascii="宋体" w:hAnsi="宋体" w:cs="宋体" w:hint="eastAsia"/>
          <w:sz w:val="24"/>
          <w:szCs w:val="24"/>
        </w:rPr>
        <w:t>5.1自本项目整体最终验收之日起，所有产品要求提供三年的免费质保服务。含软硬件维护和系统软件升级、系统BUG及漏洞修复、技术支持服务、系统管理及操作培训服务，免费提供系统个性化修改需求。请详细说明售后服务的内容。</w:t>
      </w:r>
    </w:p>
    <w:p w14:paraId="51E6D386" w14:textId="77777777" w:rsidR="006A25B1" w:rsidRDefault="0004145E">
      <w:pPr>
        <w:spacing w:line="312" w:lineRule="auto"/>
        <w:ind w:firstLine="420"/>
        <w:jc w:val="left"/>
        <w:rPr>
          <w:rFonts w:ascii="宋体" w:hAnsi="宋体" w:cs="宋体"/>
          <w:sz w:val="24"/>
          <w:szCs w:val="24"/>
        </w:rPr>
      </w:pPr>
      <w:r>
        <w:rPr>
          <w:rFonts w:ascii="宋体" w:hAnsi="宋体" w:cs="宋体" w:hint="eastAsia"/>
          <w:sz w:val="24"/>
          <w:szCs w:val="24"/>
        </w:rPr>
        <w:t>5.2安装调试要求：免费送货上门、安装调试、提供完善的设备及软件系统使用中文操作手册、图纸、网络详细拓扑图、系统配置、功能配置、设备配置及互联记录。</w:t>
      </w:r>
    </w:p>
    <w:p w14:paraId="75964208" w14:textId="77777777" w:rsidR="006A25B1" w:rsidRDefault="0004145E">
      <w:pPr>
        <w:spacing w:line="312" w:lineRule="auto"/>
        <w:ind w:firstLine="420"/>
        <w:jc w:val="left"/>
        <w:rPr>
          <w:rFonts w:ascii="宋体" w:hAnsi="宋体" w:cs="宋体"/>
          <w:sz w:val="24"/>
          <w:szCs w:val="24"/>
        </w:rPr>
      </w:pPr>
      <w:r>
        <w:rPr>
          <w:rFonts w:ascii="宋体" w:hAnsi="宋体" w:cs="宋体" w:hint="eastAsia"/>
          <w:sz w:val="24"/>
          <w:szCs w:val="24"/>
        </w:rPr>
        <w:t>5.3原厂技术人员免费提供售后服务，含电话支持、现场响应、远程操作、网上客服中心等多种方式服务，应做到7×24小时全天候电话或微信等常用联</w:t>
      </w:r>
      <w:r>
        <w:rPr>
          <w:rFonts w:ascii="宋体" w:hAnsi="宋体" w:cs="宋体" w:hint="eastAsia"/>
          <w:sz w:val="24"/>
          <w:szCs w:val="24"/>
        </w:rPr>
        <w:lastRenderedPageBreak/>
        <w:t>系方式响应。</w:t>
      </w:r>
      <w:bookmarkStart w:id="1" w:name="_Toc507405798"/>
      <w:r>
        <w:rPr>
          <w:rFonts w:ascii="宋体" w:hAnsi="宋体" w:cs="宋体" w:hint="eastAsia"/>
          <w:sz w:val="24"/>
          <w:szCs w:val="24"/>
        </w:rPr>
        <w:t>当出现故障时，接到故障通知后，原厂技术人员应在30分钟内响应，远程技术支持无法解决的，6小时内需到达现场处理修复，并调查分析事故原因，如现场仍不能解决问题，需24小时内免费提供同档次或更高档次的备用设备解决问题。</w:t>
      </w:r>
    </w:p>
    <w:p w14:paraId="24E6598A" w14:textId="77777777" w:rsidR="006A25B1" w:rsidRDefault="0004145E">
      <w:pPr>
        <w:spacing w:line="312" w:lineRule="auto"/>
        <w:ind w:firstLine="420"/>
        <w:jc w:val="left"/>
        <w:rPr>
          <w:rFonts w:ascii="宋体" w:eastAsia="宋体" w:hAnsi="宋体"/>
          <w:sz w:val="24"/>
          <w:szCs w:val="24"/>
        </w:rPr>
      </w:pPr>
      <w:r>
        <w:rPr>
          <w:rFonts w:ascii="宋体" w:eastAsia="宋体" w:hAnsi="宋体" w:cs="微软雅黑" w:hint="eastAsia"/>
          <w:sz w:val="24"/>
          <w:szCs w:val="24"/>
        </w:rPr>
        <w:t>5.4</w:t>
      </w:r>
      <w:r>
        <w:rPr>
          <w:rFonts w:ascii="宋体" w:eastAsia="宋体" w:hAnsi="宋体" w:hint="eastAsia"/>
          <w:sz w:val="24"/>
          <w:szCs w:val="24"/>
        </w:rPr>
        <w:t>免费系统改造，支持信创电脑和服务器。</w:t>
      </w:r>
    </w:p>
    <w:p w14:paraId="15A03AF3" w14:textId="77777777" w:rsidR="006A25B1" w:rsidRDefault="0004145E">
      <w:pPr>
        <w:pStyle w:val="a0"/>
        <w:spacing w:after="0" w:line="312" w:lineRule="auto"/>
        <w:rPr>
          <w:rFonts w:ascii="宋体" w:eastAsia="宋体" w:hAnsi="宋体" w:cs="宋体"/>
          <w:b/>
          <w:bCs/>
          <w:sz w:val="28"/>
          <w:lang w:val="en-US"/>
        </w:rPr>
      </w:pPr>
      <w:r>
        <w:rPr>
          <w:rFonts w:ascii="宋体" w:eastAsia="宋体" w:hAnsi="宋体" w:cs="宋体" w:hint="eastAsia"/>
          <w:b/>
          <w:bCs/>
          <w:sz w:val="28"/>
          <w:lang w:val="en-US"/>
        </w:rPr>
        <w:t>六、违约责任</w:t>
      </w:r>
    </w:p>
    <w:p w14:paraId="2A5AC130" w14:textId="77777777" w:rsidR="006A25B1" w:rsidRDefault="0004145E">
      <w:pPr>
        <w:spacing w:line="312" w:lineRule="auto"/>
        <w:ind w:firstLineChars="200" w:firstLine="480"/>
        <w:jc w:val="left"/>
        <w:rPr>
          <w:rFonts w:ascii="宋体" w:eastAsia="宋体" w:hAnsi="宋体" w:cs="宋体"/>
          <w:sz w:val="24"/>
          <w:szCs w:val="24"/>
        </w:rPr>
      </w:pPr>
      <w:r>
        <w:rPr>
          <w:rFonts w:ascii="宋体" w:eastAsia="宋体" w:hAnsi="宋体" w:cs="宋体" w:hint="eastAsia"/>
          <w:sz w:val="24"/>
          <w:szCs w:val="24"/>
        </w:rPr>
        <w:t>6.1投标方所提供的产品/软件规格、技术标准、材料等质量不合格的，应及时更换，更换不及时的按逾期交货/交付处罚；因质量问题我院不同意接收，投标方应向我院支付违约货款额5%违约金并赔偿我院经济损失。</w:t>
      </w:r>
    </w:p>
    <w:p w14:paraId="7A1E9AE6" w14:textId="77777777" w:rsidR="006A25B1" w:rsidRDefault="0004145E">
      <w:pPr>
        <w:spacing w:line="312" w:lineRule="auto"/>
        <w:ind w:firstLineChars="200" w:firstLine="480"/>
        <w:jc w:val="left"/>
        <w:rPr>
          <w:rFonts w:ascii="宋体" w:eastAsia="宋体" w:hAnsi="宋体" w:cs="宋体"/>
          <w:sz w:val="24"/>
          <w:szCs w:val="24"/>
        </w:rPr>
      </w:pPr>
      <w:r>
        <w:rPr>
          <w:rFonts w:ascii="宋体" w:eastAsia="宋体" w:hAnsi="宋体" w:cs="宋体" w:hint="eastAsia"/>
          <w:sz w:val="24"/>
          <w:szCs w:val="24"/>
        </w:rPr>
        <w:t>6.2若投标方提供的产品或软件侵犯了第三方合法权益而引发的任何纠纷或诉讼，均由投标方负责交涉并承担全部责任。</w:t>
      </w:r>
    </w:p>
    <w:p w14:paraId="467531C0" w14:textId="77777777" w:rsidR="006A25B1" w:rsidRDefault="0004145E">
      <w:pPr>
        <w:spacing w:line="312" w:lineRule="auto"/>
        <w:ind w:firstLine="420"/>
        <w:jc w:val="left"/>
        <w:rPr>
          <w:rFonts w:ascii="宋体" w:eastAsia="宋体" w:hAnsi="宋体" w:cs="宋体"/>
          <w:sz w:val="24"/>
          <w:szCs w:val="24"/>
        </w:rPr>
      </w:pPr>
      <w:r>
        <w:rPr>
          <w:rFonts w:ascii="宋体" w:eastAsia="宋体" w:hAnsi="宋体" w:cs="宋体" w:hint="eastAsia"/>
          <w:sz w:val="24"/>
          <w:szCs w:val="24"/>
        </w:rPr>
        <w:t>6.3因包装、运输引起的货物损坏，按质量不合格处理。设备安装、调试完成之日起三个月内为设备质保期，在质保期期间若出现设备硬件故障或损坏的情况，我院有权要求投标方更换同等型号和配置的新设备，设备换新、安装、调试产生的所有费用由投标方承担。</w:t>
      </w:r>
    </w:p>
    <w:p w14:paraId="6C22DE57" w14:textId="77777777" w:rsidR="006A25B1" w:rsidRDefault="0004145E">
      <w:pPr>
        <w:pStyle w:val="a0"/>
        <w:spacing w:after="0" w:line="312" w:lineRule="auto"/>
        <w:ind w:firstLine="420"/>
        <w:rPr>
          <w:rFonts w:ascii="宋体" w:eastAsia="宋体" w:hAnsi="宋体" w:cs="宋体"/>
          <w:sz w:val="24"/>
          <w:lang w:val="en-US"/>
        </w:rPr>
      </w:pPr>
      <w:r>
        <w:rPr>
          <w:rFonts w:ascii="宋体" w:eastAsia="宋体" w:hAnsi="宋体" w:cs="宋体" w:hint="eastAsia"/>
          <w:sz w:val="24"/>
          <w:lang w:val="en-US"/>
        </w:rPr>
        <w:t>6.4</w:t>
      </w:r>
      <w:r>
        <w:rPr>
          <w:rFonts w:ascii="宋体" w:eastAsia="宋体" w:hAnsi="宋体" w:cs="宋体" w:hint="eastAsia"/>
          <w:sz w:val="24"/>
        </w:rPr>
        <w:t> 投标方逾期交货</w:t>
      </w:r>
      <w:r>
        <w:rPr>
          <w:rFonts w:ascii="宋体" w:eastAsia="宋体" w:hAnsi="宋体" w:cs="宋体" w:hint="eastAsia"/>
          <w:sz w:val="24"/>
          <w:lang w:val="en-US"/>
        </w:rPr>
        <w:t>/交付</w:t>
      </w:r>
      <w:r>
        <w:rPr>
          <w:rFonts w:ascii="宋体" w:eastAsia="宋体" w:hAnsi="宋体" w:cs="宋体" w:hint="eastAsia"/>
          <w:sz w:val="24"/>
        </w:rPr>
        <w:t>的，每天向采购人偿付违约货款额3‰违约金，但违约金累计不得超过违约货款额 5% ，超过30天对方有权解除合同，违约方承担因此给对方造成的经济损失；</w:t>
      </w:r>
    </w:p>
    <w:p w14:paraId="35D4346C" w14:textId="77777777" w:rsidR="006A25B1" w:rsidRDefault="0004145E">
      <w:pPr>
        <w:pStyle w:val="a0"/>
        <w:spacing w:after="0" w:line="312" w:lineRule="auto"/>
        <w:ind w:firstLine="420"/>
        <w:rPr>
          <w:rFonts w:ascii="宋体" w:eastAsia="宋体" w:hAnsi="宋体" w:cs="宋体"/>
          <w:sz w:val="24"/>
          <w:lang w:val="en-US"/>
        </w:rPr>
      </w:pPr>
      <w:r>
        <w:rPr>
          <w:rFonts w:ascii="宋体" w:eastAsia="宋体" w:hAnsi="宋体" w:cs="宋体" w:hint="eastAsia"/>
          <w:sz w:val="24"/>
          <w:lang w:val="en-US"/>
        </w:rPr>
        <w:t>6.5售后服务违约：</w:t>
      </w:r>
    </w:p>
    <w:p w14:paraId="4BB28D86" w14:textId="77777777" w:rsidR="006A25B1" w:rsidRDefault="0004145E">
      <w:pPr>
        <w:pStyle w:val="a0"/>
        <w:spacing w:after="0" w:line="312" w:lineRule="auto"/>
        <w:ind w:firstLine="420"/>
        <w:rPr>
          <w:rFonts w:ascii="宋体" w:eastAsia="宋体" w:hAnsi="宋体" w:cs="宋体"/>
          <w:sz w:val="24"/>
          <w:lang w:val="en-US"/>
        </w:rPr>
      </w:pPr>
      <w:r>
        <w:rPr>
          <w:rFonts w:ascii="宋体" w:eastAsia="宋体" w:hAnsi="宋体" w:cs="宋体" w:hint="eastAsia"/>
          <w:sz w:val="24"/>
          <w:lang w:val="en-US"/>
        </w:rPr>
        <w:t>6.5.1不能按本技术参数文档第5.3要求中按时提供设备备件的，故障上报24小时不能免费提供同档次或更高档次的备用设备解决问题，每超期一天，按500元/天向采购人支付违约金；</w:t>
      </w:r>
    </w:p>
    <w:p w14:paraId="0261A357" w14:textId="77777777" w:rsidR="006A25B1" w:rsidRDefault="0004145E">
      <w:pPr>
        <w:pStyle w:val="a0"/>
        <w:spacing w:after="0" w:line="312" w:lineRule="auto"/>
        <w:ind w:firstLine="420"/>
        <w:rPr>
          <w:rFonts w:ascii="宋体" w:eastAsia="宋体" w:hAnsi="宋体" w:cs="宋体"/>
          <w:sz w:val="24"/>
          <w:lang w:val="en-US"/>
        </w:rPr>
      </w:pPr>
      <w:r>
        <w:rPr>
          <w:rFonts w:ascii="宋体" w:eastAsia="宋体" w:hAnsi="宋体" w:cs="宋体" w:hint="eastAsia"/>
          <w:sz w:val="24"/>
          <w:lang w:val="en-US"/>
        </w:rPr>
        <w:t>6.5.2 投标方未按本技术要求和响应文件中规定的其他服务承诺提供售后服务的，每次投标方应按合同合计金额的5% 向采购人支付违约金。</w:t>
      </w:r>
    </w:p>
    <w:p w14:paraId="564441C7" w14:textId="77777777" w:rsidR="006A25B1" w:rsidRDefault="0004145E">
      <w:pPr>
        <w:pStyle w:val="a0"/>
        <w:spacing w:after="0" w:line="312" w:lineRule="auto"/>
        <w:ind w:firstLine="420"/>
        <w:rPr>
          <w:rFonts w:ascii="宋体" w:eastAsia="宋体" w:hAnsi="宋体" w:cs="宋体"/>
          <w:sz w:val="24"/>
          <w:lang w:val="en-US"/>
        </w:rPr>
      </w:pPr>
      <w:r>
        <w:rPr>
          <w:rFonts w:ascii="宋体" w:eastAsia="宋体" w:hAnsi="宋体" w:cs="宋体" w:hint="eastAsia"/>
          <w:sz w:val="24"/>
        </w:rPr>
        <w:t>6.6合同签订后7个工作日内进场实施，每个模块计划实施周期需在合同内写明。因软件提供商原因逾期不进场实施的，需按每天向院方支付合同款金额3‰作为违约金，超过30天，甲方有权解除合同，供货商需承担因此给院方造成的经济损失；</w:t>
      </w:r>
      <w:r>
        <w:rPr>
          <w:rFonts w:ascii="宋体" w:eastAsia="宋体" w:hAnsi="宋体" w:cs="宋体" w:hint="eastAsia"/>
          <w:sz w:val="24"/>
          <w:lang w:val="en-US"/>
        </w:rPr>
        <w:t>不能按照合同约定上线期限完成，需要书面申请说明原因，得到医院书面同意后最多延期一个月，否则（或者延期一个月后）按每超期7天（一周）从总合同金额扣除5%的违约金。扣除比例达到总合同金额的50%及以上的，视为供货商违约，采购人有权单方面解除合同，并要求供货商退回所有医院已支付款项，同时按合同总金额的20%做为违约金支付给采购人。</w:t>
      </w:r>
    </w:p>
    <w:p w14:paraId="4E992E35" w14:textId="77777777" w:rsidR="006A25B1" w:rsidRDefault="0004145E">
      <w:pPr>
        <w:pStyle w:val="a0"/>
        <w:spacing w:after="0" w:line="312" w:lineRule="auto"/>
        <w:ind w:firstLine="420"/>
        <w:rPr>
          <w:rFonts w:ascii="宋体" w:eastAsia="宋体" w:hAnsi="宋体" w:cs="宋体"/>
          <w:sz w:val="24"/>
          <w:lang w:val="en-US"/>
        </w:rPr>
      </w:pPr>
      <w:r>
        <w:rPr>
          <w:rFonts w:ascii="宋体" w:eastAsia="宋体" w:hAnsi="宋体" w:cs="宋体" w:hint="eastAsia"/>
          <w:sz w:val="24"/>
          <w:lang w:val="en-US"/>
        </w:rPr>
        <w:t>6.7任何一方违反本技术要求中“保密、廉洁条款”要求的，应承担相应的</w:t>
      </w:r>
      <w:r>
        <w:rPr>
          <w:rFonts w:ascii="宋体" w:eastAsia="宋体" w:hAnsi="宋体" w:cs="宋体" w:hint="eastAsia"/>
          <w:sz w:val="24"/>
          <w:lang w:val="en-US"/>
        </w:rPr>
        <w:lastRenderedPageBreak/>
        <w:t>违约责任并赔偿由此造成的损失，损失累计金额超过合同款项的5%的，损失方同时有权终止合同并收回已付款项。</w:t>
      </w:r>
    </w:p>
    <w:p w14:paraId="2DF76CC5" w14:textId="77777777" w:rsidR="006A25B1" w:rsidRDefault="0004145E">
      <w:pPr>
        <w:pStyle w:val="a0"/>
        <w:spacing w:after="0" w:line="312" w:lineRule="auto"/>
        <w:ind w:firstLine="420"/>
        <w:rPr>
          <w:rFonts w:ascii="宋体" w:eastAsia="宋体" w:hAnsi="宋体" w:cs="宋体"/>
          <w:sz w:val="24"/>
          <w:lang w:val="en-US"/>
        </w:rPr>
      </w:pPr>
      <w:r>
        <w:rPr>
          <w:rFonts w:ascii="宋体" w:eastAsia="宋体" w:hAnsi="宋体" w:cs="宋体" w:hint="eastAsia"/>
          <w:sz w:val="24"/>
          <w:lang w:val="en-US"/>
        </w:rPr>
        <w:t>6.8厂商方未按本技术要求和响应文件中规定的其他服务承诺提供售后服务的，按损失情况，每次应按合同合计金额的0.1‰-0.1%由供货商向采购人支付违约金，损失累计金额超过合同款项的5%的，损失方同时有权终止合同并收回已付款项。</w:t>
      </w:r>
    </w:p>
    <w:p w14:paraId="2FCC18CC" w14:textId="77777777" w:rsidR="006A25B1" w:rsidRDefault="0004145E">
      <w:pPr>
        <w:pStyle w:val="a0"/>
        <w:spacing w:after="0" w:line="312" w:lineRule="auto"/>
        <w:ind w:firstLine="420"/>
        <w:rPr>
          <w:rFonts w:ascii="宋体" w:eastAsia="宋体" w:hAnsi="宋体" w:cs="宋体"/>
          <w:kern w:val="2"/>
          <w:sz w:val="24"/>
          <w:lang w:val="en-US"/>
        </w:rPr>
      </w:pPr>
      <w:r>
        <w:rPr>
          <w:rFonts w:ascii="宋体" w:eastAsia="宋体" w:hAnsi="宋体" w:cs="宋体" w:hint="eastAsia"/>
          <w:kern w:val="2"/>
          <w:sz w:val="24"/>
          <w:lang w:val="en-US"/>
        </w:rPr>
        <w:t>6.9厂商不得在提供的硬件及软件系统中设置包括且不限于如：软硬件加密狗、加密软件、时间锁、授权码等限制硬件及软件系统正常运行的措施，</w:t>
      </w:r>
      <w:r>
        <w:rPr>
          <w:rFonts w:ascii="宋体" w:hAnsi="宋体" w:cs="宋体"/>
          <w:kern w:val="2"/>
          <w:sz w:val="24"/>
          <w:lang w:val="en-US"/>
        </w:rPr>
        <w:t>如有</w:t>
      </w:r>
      <w:r>
        <w:rPr>
          <w:rFonts w:ascii="宋体" w:hAnsi="宋体" w:cs="宋体" w:hint="eastAsia"/>
          <w:kern w:val="2"/>
          <w:sz w:val="24"/>
          <w:lang w:val="en-US"/>
        </w:rPr>
        <w:t>特殊</w:t>
      </w:r>
      <w:r>
        <w:rPr>
          <w:rFonts w:ascii="宋体" w:hAnsi="宋体" w:cs="宋体"/>
          <w:kern w:val="2"/>
          <w:sz w:val="24"/>
          <w:lang w:val="en-US"/>
        </w:rPr>
        <w:t>需要</w:t>
      </w:r>
      <w:r>
        <w:rPr>
          <w:rFonts w:ascii="宋体" w:hAnsi="宋体" w:cs="宋体" w:hint="eastAsia"/>
          <w:kern w:val="2"/>
          <w:sz w:val="24"/>
          <w:lang w:val="en-US"/>
        </w:rPr>
        <w:t>必须提交</w:t>
      </w:r>
      <w:r>
        <w:rPr>
          <w:rFonts w:ascii="宋体" w:hAnsi="宋体" w:cs="宋体"/>
          <w:kern w:val="2"/>
          <w:sz w:val="24"/>
          <w:lang w:val="en-US"/>
        </w:rPr>
        <w:t>纸质</w:t>
      </w:r>
      <w:r>
        <w:rPr>
          <w:rFonts w:ascii="宋体" w:hAnsi="宋体" w:cs="宋体" w:hint="eastAsia"/>
          <w:kern w:val="2"/>
          <w:sz w:val="24"/>
          <w:lang w:val="en-US"/>
        </w:rPr>
        <w:t>文件说明</w:t>
      </w:r>
      <w:r>
        <w:rPr>
          <w:rFonts w:ascii="宋体" w:hAnsi="宋体" w:cs="宋体"/>
          <w:kern w:val="2"/>
          <w:sz w:val="24"/>
          <w:lang w:val="en-US"/>
        </w:rPr>
        <w:t>，经过我院</w:t>
      </w:r>
      <w:r>
        <w:rPr>
          <w:rFonts w:ascii="宋体" w:hAnsi="宋体" w:cs="宋体" w:hint="eastAsia"/>
          <w:kern w:val="2"/>
          <w:sz w:val="24"/>
          <w:lang w:val="en-US"/>
        </w:rPr>
        <w:t>签字同意</w:t>
      </w:r>
      <w:r>
        <w:rPr>
          <w:rFonts w:ascii="宋体" w:hAnsi="宋体" w:cs="宋体"/>
          <w:kern w:val="2"/>
          <w:sz w:val="24"/>
          <w:lang w:val="en-US"/>
        </w:rPr>
        <w:t>才可设置</w:t>
      </w:r>
      <w:r>
        <w:rPr>
          <w:rFonts w:ascii="宋体" w:hAnsi="宋体" w:cs="宋体" w:hint="eastAsia"/>
          <w:kern w:val="2"/>
          <w:sz w:val="24"/>
          <w:lang w:val="en-US"/>
        </w:rPr>
        <w:t>，</w:t>
      </w:r>
      <w:r>
        <w:rPr>
          <w:rFonts w:ascii="宋体" w:eastAsia="宋体" w:hAnsi="宋体" w:cs="宋体" w:hint="eastAsia"/>
          <w:kern w:val="2"/>
          <w:sz w:val="24"/>
          <w:lang w:val="en-US"/>
        </w:rPr>
        <w:t>否则视为供货商违约，供货商需要支付医院违约金50000元（伍万元），在此基础上医院有权要求供货商退回采购人已支付的所有款项。如对医院造成损失的，采购人有权要求供货商赔偿。</w:t>
      </w:r>
    </w:p>
    <w:p w14:paraId="76C2A183" w14:textId="77777777" w:rsidR="006A25B1" w:rsidRDefault="0004145E">
      <w:pPr>
        <w:pStyle w:val="a0"/>
        <w:spacing w:after="0" w:line="312" w:lineRule="auto"/>
        <w:ind w:firstLine="420"/>
        <w:rPr>
          <w:rFonts w:ascii="宋体" w:eastAsia="宋体" w:hAnsi="宋体" w:cs="宋体"/>
          <w:kern w:val="2"/>
          <w:sz w:val="24"/>
          <w:lang w:val="en-US"/>
        </w:rPr>
      </w:pPr>
      <w:r>
        <w:rPr>
          <w:rFonts w:ascii="宋体" w:eastAsia="宋体" w:hAnsi="宋体" w:cs="宋体" w:hint="eastAsia"/>
          <w:kern w:val="2"/>
          <w:sz w:val="24"/>
          <w:lang w:val="en-US"/>
        </w:rPr>
        <w:t>6.10</w:t>
      </w:r>
      <w:r>
        <w:rPr>
          <w:rFonts w:ascii="宋体" w:eastAsia="宋体" w:hAnsi="宋体" w:cs="宋体"/>
          <w:kern w:val="2"/>
          <w:sz w:val="24"/>
          <w:lang w:val="en-US"/>
        </w:rPr>
        <w:t>厂商驻场工程师人员变更必须得到医院书面同意，否则视为</w:t>
      </w:r>
      <w:r>
        <w:rPr>
          <w:rFonts w:ascii="宋体" w:eastAsia="宋体" w:hAnsi="宋体" w:cs="宋体" w:hint="eastAsia"/>
          <w:kern w:val="2"/>
          <w:sz w:val="24"/>
          <w:lang w:val="en-US"/>
        </w:rPr>
        <w:t>供货商</w:t>
      </w:r>
      <w:r>
        <w:rPr>
          <w:rFonts w:ascii="宋体" w:eastAsia="宋体" w:hAnsi="宋体" w:cs="宋体"/>
          <w:kern w:val="2"/>
          <w:sz w:val="24"/>
          <w:lang w:val="en-US"/>
        </w:rPr>
        <w:t>违约，</w:t>
      </w:r>
      <w:r>
        <w:rPr>
          <w:rFonts w:ascii="宋体" w:eastAsia="宋体" w:hAnsi="宋体" w:cs="宋体" w:hint="eastAsia"/>
          <w:kern w:val="2"/>
          <w:sz w:val="24"/>
          <w:lang w:val="en-US"/>
        </w:rPr>
        <w:t>采购人</w:t>
      </w:r>
      <w:r>
        <w:rPr>
          <w:rFonts w:ascii="宋体" w:eastAsia="宋体" w:hAnsi="宋体" w:cs="宋体"/>
          <w:kern w:val="2"/>
          <w:sz w:val="24"/>
          <w:lang w:val="en-US"/>
        </w:rPr>
        <w:t>有权按500</w:t>
      </w:r>
      <w:r>
        <w:rPr>
          <w:rFonts w:ascii="宋体" w:eastAsia="宋体" w:hAnsi="宋体" w:cs="宋体" w:hint="eastAsia"/>
          <w:kern w:val="2"/>
          <w:sz w:val="24"/>
          <w:lang w:val="en-US"/>
        </w:rPr>
        <w:t>0</w:t>
      </w:r>
      <w:r>
        <w:rPr>
          <w:rFonts w:ascii="宋体" w:eastAsia="宋体" w:hAnsi="宋体" w:cs="宋体"/>
          <w:kern w:val="2"/>
          <w:sz w:val="24"/>
          <w:lang w:val="en-US"/>
        </w:rPr>
        <w:t>元/人/次从合同总款中扣除</w:t>
      </w:r>
      <w:r>
        <w:rPr>
          <w:rFonts w:ascii="宋体" w:eastAsia="宋体" w:hAnsi="宋体" w:cs="宋体" w:hint="eastAsia"/>
          <w:kern w:val="2"/>
          <w:sz w:val="24"/>
          <w:lang w:val="en-US"/>
        </w:rPr>
        <w:t>。</w:t>
      </w:r>
    </w:p>
    <w:p w14:paraId="3DFB654B" w14:textId="77777777" w:rsidR="006A25B1" w:rsidRDefault="0004145E">
      <w:pPr>
        <w:pStyle w:val="a0"/>
        <w:spacing w:after="0" w:line="312" w:lineRule="auto"/>
        <w:ind w:firstLine="420"/>
        <w:rPr>
          <w:rFonts w:ascii="宋体" w:eastAsia="宋体" w:hAnsi="宋体" w:cs="宋体"/>
          <w:sz w:val="24"/>
          <w:lang w:val="en-US"/>
        </w:rPr>
      </w:pPr>
      <w:r>
        <w:rPr>
          <w:rFonts w:ascii="宋体" w:eastAsia="宋体" w:hAnsi="宋体" w:cs="宋体" w:hint="eastAsia"/>
          <w:sz w:val="24"/>
          <w:lang w:val="en-US"/>
        </w:rPr>
        <w:t>6.11如合同供货商非软件提供商，软件提供商需承担连带责任，即本技术参数中对供货商的所有约束要求、违约条件均等同于对软件提供商的要求，采购人在追究供货商违约责任的同时可以同步追究软件提供商同等责任，供货商在投标时必须提供软件提供商的售后服务承诺书原件（须加盖软件提供商公章）。</w:t>
      </w:r>
    </w:p>
    <w:p w14:paraId="14038515" w14:textId="77777777" w:rsidR="006A25B1" w:rsidRDefault="0004145E">
      <w:pPr>
        <w:pStyle w:val="a0"/>
        <w:spacing w:after="0" w:line="312" w:lineRule="auto"/>
        <w:rPr>
          <w:rFonts w:ascii="宋体" w:eastAsia="宋体" w:hAnsi="宋体" w:cs="宋体"/>
          <w:b/>
          <w:bCs/>
          <w:sz w:val="28"/>
          <w:lang w:val="en-US"/>
        </w:rPr>
      </w:pPr>
      <w:bookmarkStart w:id="2" w:name="_Toc507405799"/>
      <w:bookmarkStart w:id="3" w:name="_Toc507405800"/>
      <w:bookmarkEnd w:id="1"/>
      <w:r>
        <w:rPr>
          <w:rFonts w:ascii="宋体" w:eastAsia="宋体" w:hAnsi="宋体" w:cs="宋体" w:hint="eastAsia"/>
          <w:b/>
          <w:bCs/>
          <w:sz w:val="28"/>
          <w:lang w:val="en-US"/>
        </w:rPr>
        <w:t>七、保密、廉洁协议</w:t>
      </w:r>
    </w:p>
    <w:p w14:paraId="3816B386" w14:textId="77777777" w:rsidR="006A25B1" w:rsidRDefault="0004145E">
      <w:pPr>
        <w:spacing w:line="312" w:lineRule="auto"/>
        <w:ind w:firstLineChars="200" w:firstLine="480"/>
        <w:jc w:val="left"/>
        <w:rPr>
          <w:rFonts w:ascii="宋体" w:eastAsia="宋体" w:hAnsi="宋体" w:cs="宋体"/>
          <w:sz w:val="24"/>
          <w:szCs w:val="24"/>
        </w:rPr>
      </w:pPr>
      <w:r>
        <w:rPr>
          <w:rFonts w:ascii="宋体" w:eastAsia="宋体" w:hAnsi="宋体" w:cs="宋体" w:hint="eastAsia"/>
          <w:sz w:val="24"/>
          <w:szCs w:val="24"/>
        </w:rPr>
        <w:t>7.1 双方保证对从另一方取得且无法自公开渠道获得的商业秘密(技术信息、经营信息及其他商业秘密)予以保密。未经该商业秘密的提供方同意，一方不得向任何第三方泄露该商业秘密的全部或部分内容，但法律、法规另有规定或双方另有约定的除外。任何一方违反保密义务的，应承担相应的违约责任并赔偿由此造成的损失。</w:t>
      </w:r>
    </w:p>
    <w:p w14:paraId="4BAAEBC7" w14:textId="77777777" w:rsidR="006A25B1" w:rsidRDefault="0004145E">
      <w:pPr>
        <w:spacing w:line="312" w:lineRule="auto"/>
        <w:ind w:firstLineChars="200" w:firstLine="480"/>
        <w:jc w:val="left"/>
        <w:rPr>
          <w:rFonts w:ascii="宋体" w:eastAsia="宋体" w:hAnsi="宋体" w:cs="宋体"/>
          <w:sz w:val="24"/>
          <w:szCs w:val="24"/>
        </w:rPr>
      </w:pPr>
      <w:r>
        <w:rPr>
          <w:rFonts w:ascii="宋体" w:eastAsia="宋体" w:hAnsi="宋体" w:cs="宋体" w:hint="eastAsia"/>
          <w:sz w:val="24"/>
          <w:szCs w:val="24"/>
        </w:rPr>
        <w:t>7.2 双方不得以任何方式向第三方泄露本项目的软件技术、设计方案以及功能配置等内容。</w:t>
      </w:r>
    </w:p>
    <w:p w14:paraId="2F60A6D3" w14:textId="77777777" w:rsidR="006A25B1" w:rsidRDefault="0004145E">
      <w:pPr>
        <w:spacing w:line="312" w:lineRule="auto"/>
        <w:ind w:firstLineChars="200" w:firstLine="480"/>
        <w:jc w:val="left"/>
        <w:rPr>
          <w:rFonts w:ascii="宋体" w:eastAsia="宋体" w:hAnsi="宋体" w:cs="宋体"/>
          <w:sz w:val="24"/>
          <w:szCs w:val="24"/>
        </w:rPr>
      </w:pPr>
      <w:r>
        <w:rPr>
          <w:rFonts w:ascii="宋体" w:eastAsia="宋体" w:hAnsi="宋体" w:cs="宋体" w:hint="eastAsia"/>
          <w:sz w:val="24"/>
          <w:szCs w:val="24"/>
        </w:rPr>
        <w:t>7.3不以任何方式向第三方泄露在本协议开发实施过程中获取的经济、技术、数据以及双方其他非公开的信息。</w:t>
      </w:r>
    </w:p>
    <w:p w14:paraId="45347401" w14:textId="77777777" w:rsidR="006A25B1" w:rsidRDefault="0004145E">
      <w:pPr>
        <w:spacing w:line="312" w:lineRule="auto"/>
        <w:ind w:firstLineChars="200" w:firstLine="480"/>
        <w:jc w:val="left"/>
        <w:rPr>
          <w:rFonts w:ascii="宋体" w:eastAsia="宋体" w:hAnsi="宋体" w:cs="宋体"/>
          <w:sz w:val="24"/>
          <w:szCs w:val="24"/>
        </w:rPr>
      </w:pPr>
      <w:r>
        <w:rPr>
          <w:rFonts w:ascii="宋体" w:eastAsia="宋体" w:hAnsi="宋体" w:cs="宋体" w:hint="eastAsia"/>
          <w:sz w:val="24"/>
          <w:szCs w:val="24"/>
        </w:rPr>
        <w:t>7.4 不从事商业贿赂行为，遵守廉洁协议或相关规定。采购人发现供货商有违反廉洁协议或相关规定采用不正当手段进行不正当竞争行为的，或被有关部门生效文书认定有行贿或者受贿行为的，采购人有权解除该业务合同，由此给采购人造成的损失以及发生的一切费用均由供货商承担，采购人有权对供货商实施商业贿赂不良记录，列入“黑名单”，并三年内取消其业务往来资格。</w:t>
      </w:r>
    </w:p>
    <w:p w14:paraId="2C17A88B" w14:textId="77777777" w:rsidR="006A25B1" w:rsidRDefault="0004145E">
      <w:pPr>
        <w:spacing w:line="312" w:lineRule="auto"/>
        <w:ind w:firstLineChars="200" w:firstLine="480"/>
        <w:jc w:val="left"/>
        <w:rPr>
          <w:rFonts w:ascii="宋体" w:eastAsia="宋体" w:hAnsi="宋体" w:cs="宋体"/>
          <w:sz w:val="24"/>
          <w:szCs w:val="24"/>
        </w:rPr>
      </w:pPr>
      <w:r>
        <w:rPr>
          <w:rFonts w:ascii="宋体" w:eastAsia="宋体" w:hAnsi="宋体" w:cs="宋体" w:hint="eastAsia"/>
          <w:sz w:val="24"/>
          <w:szCs w:val="24"/>
        </w:rPr>
        <w:lastRenderedPageBreak/>
        <w:t>7.5保密期限自本合同生效之日起永久有效，如供货商需解除保密协议需向采购人提出书面申请，双方协商同意签字确认后方可解除。</w:t>
      </w:r>
    </w:p>
    <w:p w14:paraId="62917AF8" w14:textId="77777777" w:rsidR="006A25B1" w:rsidRDefault="006A25B1">
      <w:pPr>
        <w:pStyle w:val="a0"/>
        <w:spacing w:after="0" w:line="312" w:lineRule="auto"/>
        <w:rPr>
          <w:lang w:val="en-US"/>
        </w:rPr>
      </w:pPr>
    </w:p>
    <w:p w14:paraId="70A7AEAF" w14:textId="77777777" w:rsidR="006A25B1" w:rsidRDefault="0004145E">
      <w:pPr>
        <w:pStyle w:val="a0"/>
        <w:spacing w:after="0" w:line="312" w:lineRule="auto"/>
        <w:rPr>
          <w:rFonts w:ascii="宋体" w:eastAsia="宋体" w:hAnsi="宋体" w:cs="宋体"/>
          <w:b/>
          <w:bCs/>
          <w:sz w:val="28"/>
          <w:lang w:val="en-US"/>
        </w:rPr>
      </w:pPr>
      <w:r>
        <w:rPr>
          <w:rFonts w:ascii="宋体" w:eastAsia="宋体" w:hAnsi="宋体" w:cs="宋体" w:hint="eastAsia"/>
          <w:b/>
          <w:bCs/>
          <w:sz w:val="28"/>
          <w:lang w:val="en-US"/>
        </w:rPr>
        <w:t>八、报价</w:t>
      </w:r>
    </w:p>
    <w:p w14:paraId="190698B5" w14:textId="77777777" w:rsidR="006A25B1" w:rsidRDefault="0004145E">
      <w:pPr>
        <w:pStyle w:val="a0"/>
        <w:spacing w:after="0" w:line="312" w:lineRule="auto"/>
        <w:ind w:firstLine="420"/>
        <w:rPr>
          <w:rFonts w:ascii="宋体" w:eastAsia="宋体" w:hAnsi="宋体" w:cs="宋体"/>
          <w:sz w:val="24"/>
        </w:rPr>
      </w:pPr>
      <w:r>
        <w:rPr>
          <w:rFonts w:ascii="宋体" w:eastAsia="宋体" w:hAnsi="宋体" w:cs="宋体" w:hint="eastAsia"/>
          <w:sz w:val="24"/>
          <w:lang w:val="en-US"/>
        </w:rPr>
        <w:t>8.1</w:t>
      </w:r>
      <w:r>
        <w:rPr>
          <w:rFonts w:ascii="宋体" w:eastAsia="宋体" w:hAnsi="宋体" w:cs="宋体" w:hint="eastAsia"/>
          <w:sz w:val="24"/>
        </w:rPr>
        <w:t>竞标文件提供技术偏离表、服务偏离表，并标明详细的技术和服务内容。竞标文件按系统模块报价，报价表价格包含系统软硬件费用、产品安装、调试实施、培训费用、产品升级费用、</w:t>
      </w:r>
      <w:r>
        <w:rPr>
          <w:rFonts w:ascii="宋体" w:eastAsia="宋体" w:hAnsi="宋体" w:hint="eastAsia"/>
          <w:sz w:val="24"/>
        </w:rPr>
        <w:t>接口费（包括第三方厂家的接口费）等费用</w:t>
      </w:r>
      <w:r>
        <w:rPr>
          <w:rFonts w:ascii="宋体" w:eastAsia="宋体" w:hAnsi="宋体" w:cs="宋体" w:hint="eastAsia"/>
          <w:sz w:val="24"/>
        </w:rPr>
        <w:t>，以及明示所有责任、义务和一切风险。</w:t>
      </w:r>
    </w:p>
    <w:p w14:paraId="20616EAA" w14:textId="77777777" w:rsidR="006A25B1" w:rsidRDefault="0004145E">
      <w:pPr>
        <w:pStyle w:val="a0"/>
        <w:spacing w:after="0" w:line="312" w:lineRule="auto"/>
        <w:ind w:firstLine="420"/>
        <w:rPr>
          <w:rFonts w:ascii="宋体" w:eastAsia="宋体" w:hAnsi="宋体" w:cs="宋体"/>
          <w:sz w:val="24"/>
        </w:rPr>
      </w:pPr>
      <w:r>
        <w:rPr>
          <w:rFonts w:ascii="宋体" w:eastAsia="宋体" w:hAnsi="宋体" w:cs="宋体" w:hint="eastAsia"/>
          <w:sz w:val="24"/>
          <w:lang w:val="en-US"/>
        </w:rPr>
        <w:t>8.2</w:t>
      </w:r>
      <w:r>
        <w:rPr>
          <w:rFonts w:ascii="宋体" w:eastAsia="宋体" w:hAnsi="宋体" w:cs="宋体" w:hint="eastAsia"/>
          <w:sz w:val="24"/>
        </w:rPr>
        <w:t>竞标文件需提供</w:t>
      </w:r>
      <w:r>
        <w:rPr>
          <w:rFonts w:ascii="宋体" w:hAnsi="宋体" w:cs="宋体" w:hint="eastAsia"/>
          <w:sz w:val="24"/>
        </w:rPr>
        <w:t>维保期方案及报价</w:t>
      </w:r>
      <w:r>
        <w:rPr>
          <w:rFonts w:ascii="宋体" w:eastAsia="宋体" w:hAnsi="宋体" w:cs="宋体" w:hint="eastAsia"/>
          <w:sz w:val="24"/>
        </w:rPr>
        <w:t>。</w:t>
      </w:r>
    </w:p>
    <w:p w14:paraId="090AB6E6" w14:textId="77777777" w:rsidR="006A25B1" w:rsidRDefault="0004145E">
      <w:pPr>
        <w:pStyle w:val="a0"/>
        <w:spacing w:after="0" w:line="312" w:lineRule="auto"/>
        <w:ind w:firstLine="420"/>
        <w:rPr>
          <w:rFonts w:ascii="宋体" w:eastAsia="宋体" w:hAnsi="宋体" w:cs="宋体"/>
          <w:sz w:val="24"/>
        </w:rPr>
      </w:pPr>
      <w:r>
        <w:rPr>
          <w:rFonts w:ascii="宋体" w:eastAsia="宋体" w:hAnsi="宋体" w:cs="宋体" w:hint="eastAsia"/>
          <w:sz w:val="24"/>
          <w:lang w:val="en-US"/>
        </w:rPr>
        <w:t>8.3</w:t>
      </w:r>
      <w:r>
        <w:rPr>
          <w:rFonts w:ascii="宋体" w:eastAsia="宋体" w:hAnsi="宋体" w:cs="宋体" w:hint="eastAsia"/>
          <w:sz w:val="24"/>
        </w:rPr>
        <w:t>竞标文件需提供系统详细图文介绍。系统实施验收参照本技术文档及竞标文件提供的图文介绍为依据。</w:t>
      </w:r>
    </w:p>
    <w:p w14:paraId="4EDD9017" w14:textId="77777777" w:rsidR="006A25B1" w:rsidRDefault="0004145E">
      <w:pPr>
        <w:spacing w:line="312" w:lineRule="auto"/>
        <w:ind w:firstLineChars="200" w:firstLine="480"/>
        <w:jc w:val="left"/>
        <w:rPr>
          <w:rFonts w:ascii="宋体" w:eastAsia="宋体" w:hAnsi="宋体" w:cs="宋体"/>
          <w:sz w:val="24"/>
          <w:szCs w:val="24"/>
        </w:rPr>
      </w:pPr>
      <w:r>
        <w:rPr>
          <w:rFonts w:ascii="宋体" w:eastAsia="宋体" w:hAnsi="宋体" w:cs="宋体" w:hint="eastAsia"/>
          <w:sz w:val="24"/>
          <w:szCs w:val="24"/>
        </w:rPr>
        <w:t>8.4如项目功能二次开发内容涉及我院采购的第三方产品，请在标书内标明哪些功能的实现需要二次开发接口。</w:t>
      </w:r>
    </w:p>
    <w:p w14:paraId="663B9279" w14:textId="77777777" w:rsidR="006A25B1" w:rsidRDefault="0004145E">
      <w:pPr>
        <w:pStyle w:val="1"/>
        <w:numPr>
          <w:ilvl w:val="0"/>
          <w:numId w:val="0"/>
        </w:numPr>
        <w:spacing w:before="0" w:after="0" w:line="312" w:lineRule="auto"/>
        <w:rPr>
          <w:rFonts w:ascii="宋体" w:hAnsi="宋体"/>
          <w:bCs w:val="0"/>
          <w:sz w:val="32"/>
          <w:szCs w:val="32"/>
        </w:rPr>
      </w:pPr>
      <w:r>
        <w:rPr>
          <w:rFonts w:ascii="宋体" w:hAnsi="宋体" w:hint="eastAsia"/>
          <w:bCs w:val="0"/>
          <w:sz w:val="32"/>
          <w:szCs w:val="32"/>
        </w:rPr>
        <w:t>九、付款方式</w:t>
      </w:r>
      <w:bookmarkEnd w:id="2"/>
    </w:p>
    <w:p w14:paraId="0A1A189B" w14:textId="77777777" w:rsidR="006A25B1" w:rsidRDefault="0004145E">
      <w:pPr>
        <w:pStyle w:val="ac"/>
        <w:spacing w:line="360" w:lineRule="auto"/>
        <w:ind w:firstLineChars="256" w:firstLine="614"/>
        <w:rPr>
          <w:sz w:val="24"/>
        </w:rPr>
      </w:pPr>
      <w:r>
        <w:rPr>
          <w:rFonts w:ascii="宋体" w:eastAsia="宋体" w:hAnsi="宋体" w:cs="微软雅黑" w:hint="eastAsia"/>
          <w:sz w:val="24"/>
          <w:szCs w:val="24"/>
        </w:rPr>
        <w:t>项目双方签订合同，</w:t>
      </w:r>
      <w:r>
        <w:rPr>
          <w:rFonts w:ascii="宋体" w:eastAsia="宋体" w:hAnsi="宋体" w:hint="eastAsia"/>
          <w:sz w:val="24"/>
          <w:szCs w:val="24"/>
        </w:rPr>
        <w:t>项目上线稳定运行1个月后，</w:t>
      </w:r>
      <w:r>
        <w:rPr>
          <w:rFonts w:ascii="宋体" w:eastAsia="宋体" w:hAnsi="宋体" w:cs="微软雅黑" w:hint="eastAsia"/>
          <w:sz w:val="24"/>
          <w:szCs w:val="24"/>
        </w:rPr>
        <w:t>启动系统上线验收，上线验收合格后，用户支付合同款项的30%；合同中所有功能及模块实施完毕，系统上线稳定运行3个月后，启动项目验收，验收合格后采购人支付合同款项的60%，自验收合格之日起，</w:t>
      </w:r>
      <w:bookmarkEnd w:id="3"/>
      <w:r>
        <w:rPr>
          <w:rFonts w:ascii="宋体" w:eastAsia="宋体" w:hAnsi="宋体" w:hint="eastAsia"/>
          <w:sz w:val="24"/>
          <w:szCs w:val="24"/>
        </w:rPr>
        <w:t>稳定运行1年后，采购人支付合同款项的10%（不计利息）。</w:t>
      </w:r>
    </w:p>
    <w:sectPr w:rsidR="006A25B1">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D92403" w14:textId="77777777" w:rsidR="00CE4F93" w:rsidRDefault="00CE4F93"/>
  </w:endnote>
  <w:endnote w:type="continuationSeparator" w:id="0">
    <w:p w14:paraId="6C9E9E58" w14:textId="77777777" w:rsidR="00CE4F93" w:rsidRDefault="00CE4F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F89BF" w14:textId="77777777" w:rsidR="001F22E9" w:rsidRDefault="001F22E9">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4" w:name="_GoBack" w:displacedByCustomXml="next"/>
  <w:bookmarkEnd w:id="4" w:displacedByCustomXml="next"/>
  <w:sdt>
    <w:sdtPr>
      <w:id w:val="-679735909"/>
      <w:docPartObj>
        <w:docPartGallery w:val="Page Numbers (Bottom of Page)"/>
        <w:docPartUnique/>
      </w:docPartObj>
    </w:sdtPr>
    <w:sdtContent>
      <w:sdt>
        <w:sdtPr>
          <w:id w:val="1728636285"/>
          <w:docPartObj>
            <w:docPartGallery w:val="Page Numbers (Top of Page)"/>
            <w:docPartUnique/>
          </w:docPartObj>
        </w:sdtPr>
        <w:sdtContent>
          <w:p w14:paraId="1A7011D4" w14:textId="1F5FC370" w:rsidR="00DD15BF" w:rsidRDefault="00DD15BF">
            <w:pPr>
              <w:pStyle w:val="a7"/>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687039">
              <w:rPr>
                <w:b/>
                <w:bCs/>
                <w:noProof/>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687039">
              <w:rPr>
                <w:b/>
                <w:bCs/>
                <w:noProof/>
              </w:rPr>
              <w:t>9</w:t>
            </w:r>
            <w:r>
              <w:rPr>
                <w:b/>
                <w:bCs/>
                <w:sz w:val="24"/>
                <w:szCs w:val="24"/>
              </w:rPr>
              <w:fldChar w:fldCharType="end"/>
            </w:r>
          </w:p>
        </w:sdtContent>
      </w:sdt>
    </w:sdtContent>
  </w:sdt>
  <w:p w14:paraId="7796245B" w14:textId="77777777" w:rsidR="00DD15BF" w:rsidRDefault="00DD15BF">
    <w:pPr>
      <w:pStyle w:val="a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90A17" w14:textId="77777777" w:rsidR="001F22E9" w:rsidRDefault="001F22E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B585F6" w14:textId="77777777" w:rsidR="00CE4F93" w:rsidRDefault="00CE4F93"/>
  </w:footnote>
  <w:footnote w:type="continuationSeparator" w:id="0">
    <w:p w14:paraId="10396DA9" w14:textId="77777777" w:rsidR="00CE4F93" w:rsidRDefault="00CE4F9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BEFD0" w14:textId="77777777" w:rsidR="001F22E9" w:rsidRDefault="001F22E9">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C26FC" w14:textId="77777777" w:rsidR="001F22E9" w:rsidRDefault="001F22E9">
    <w:pPr>
      <w:pStyle w:val="a9"/>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627AB" w14:textId="77777777" w:rsidR="001F22E9" w:rsidRDefault="001F22E9">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D84B87"/>
    <w:multiLevelType w:val="multilevel"/>
    <w:tmpl w:val="14D84B87"/>
    <w:lvl w:ilvl="0">
      <w:start w:val="1"/>
      <w:numFmt w:val="chineseCountingThousand"/>
      <w:pStyle w:val="1"/>
      <w:lvlText w:val="%1"/>
      <w:lvlJc w:val="left"/>
      <w:pPr>
        <w:ind w:left="425" w:hanging="425"/>
      </w:pPr>
      <w:rPr>
        <w:rFonts w:hint="eastAsia"/>
      </w:rPr>
    </w:lvl>
    <w:lvl w:ilvl="1">
      <w:start w:val="1"/>
      <w:numFmt w:val="chineseCountingThousand"/>
      <w:lvlText w:val="(%2)"/>
      <w:lvlJc w:val="left"/>
      <w:pPr>
        <w:ind w:left="850" w:hanging="567"/>
      </w:pPr>
      <w:rPr>
        <w:rFonts w:hint="eastAsia"/>
      </w:rPr>
    </w:lvl>
    <w:lvl w:ilvl="2">
      <w:start w:val="1"/>
      <w:numFmt w:val="decimal"/>
      <w:lvlText w:val="%3."/>
      <w:lvlJc w:val="left"/>
      <w:pPr>
        <w:ind w:left="1356" w:hanging="567"/>
      </w:pPr>
      <w:rPr>
        <w:rFonts w:hint="eastAsia"/>
      </w:rPr>
    </w:lvl>
    <w:lvl w:ilvl="3">
      <w:start w:val="1"/>
      <w:numFmt w:val="decimal"/>
      <w:isLgl/>
      <w:lvlText w:val="%1.%2.%3.%4"/>
      <w:lvlJc w:val="left"/>
      <w:pPr>
        <w:ind w:left="1984" w:hanging="708"/>
      </w:pPr>
      <w:rPr>
        <w:rFonts w:hint="eastAsia"/>
      </w:rPr>
    </w:lvl>
    <w:lvl w:ilvl="4">
      <w:start w:val="1"/>
      <w:numFmt w:val="decimal"/>
      <w:isLgl/>
      <w:lvlText w:val="%1.%2.%3.%4.%5"/>
      <w:lvlJc w:val="left"/>
      <w:pPr>
        <w:ind w:left="2551" w:hanging="850"/>
      </w:pPr>
      <w:rPr>
        <w:rFonts w:hint="eastAsia"/>
      </w:rPr>
    </w:lvl>
    <w:lvl w:ilvl="5">
      <w:start w:val="1"/>
      <w:numFmt w:val="decimal"/>
      <w:isLgl/>
      <w:lvlText w:val="%1.%2.%3.%4.%5.%6"/>
      <w:lvlJc w:val="left"/>
      <w:pPr>
        <w:ind w:left="3260" w:hanging="1134"/>
      </w:pPr>
      <w:rPr>
        <w:rFonts w:hint="eastAsia"/>
      </w:rPr>
    </w:lvl>
    <w:lvl w:ilvl="6">
      <w:start w:val="1"/>
      <w:numFmt w:val="decimal"/>
      <w:isLgl/>
      <w:lvlText w:val="%1.%2.%3.%4.%5.%6.%7"/>
      <w:lvlJc w:val="left"/>
      <w:pPr>
        <w:ind w:left="3827" w:hanging="1276"/>
      </w:pPr>
      <w:rPr>
        <w:rFonts w:hint="eastAsia"/>
      </w:rPr>
    </w:lvl>
    <w:lvl w:ilvl="7">
      <w:start w:val="1"/>
      <w:numFmt w:val="decimal"/>
      <w:isLgl/>
      <w:lvlText w:val="%1.%2.%3.%4.%5.%6.%7.%8"/>
      <w:lvlJc w:val="left"/>
      <w:pPr>
        <w:ind w:left="4394" w:hanging="1418"/>
      </w:pPr>
      <w:rPr>
        <w:rFonts w:hint="eastAsia"/>
      </w:rPr>
    </w:lvl>
    <w:lvl w:ilvl="8">
      <w:start w:val="1"/>
      <w:numFmt w:val="decimal"/>
      <w:isLgl/>
      <w:lvlText w:val="%1.%2.%3.%4.%5.%6.%7.%8.%9"/>
      <w:lvlJc w:val="left"/>
      <w:pPr>
        <w:ind w:left="5102" w:hanging="1700"/>
      </w:pPr>
      <w:rPr>
        <w:rFonts w:hint="eastAsia"/>
      </w:rPr>
    </w:lvl>
  </w:abstractNum>
  <w:abstractNum w:abstractNumId="1" w15:restartNumberingAfterBreak="0">
    <w:nsid w:val="23EC5C6F"/>
    <w:multiLevelType w:val="multilevel"/>
    <w:tmpl w:val="23EC5C6F"/>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2DF"/>
    <w:rsid w:val="0004145E"/>
    <w:rsid w:val="000D4B93"/>
    <w:rsid w:val="000E2410"/>
    <w:rsid w:val="001211AC"/>
    <w:rsid w:val="001A11FC"/>
    <w:rsid w:val="001A1C12"/>
    <w:rsid w:val="001F22E9"/>
    <w:rsid w:val="002A29C0"/>
    <w:rsid w:val="002D10FB"/>
    <w:rsid w:val="00306E6E"/>
    <w:rsid w:val="00335A8D"/>
    <w:rsid w:val="003E62DF"/>
    <w:rsid w:val="00435C7C"/>
    <w:rsid w:val="004804B8"/>
    <w:rsid w:val="00481560"/>
    <w:rsid w:val="00491534"/>
    <w:rsid w:val="004D3BA6"/>
    <w:rsid w:val="004F2440"/>
    <w:rsid w:val="005D449A"/>
    <w:rsid w:val="006402BB"/>
    <w:rsid w:val="00646B79"/>
    <w:rsid w:val="00687039"/>
    <w:rsid w:val="0069334E"/>
    <w:rsid w:val="006A25B1"/>
    <w:rsid w:val="006A3CAE"/>
    <w:rsid w:val="006C202C"/>
    <w:rsid w:val="006E6DB1"/>
    <w:rsid w:val="0079683C"/>
    <w:rsid w:val="007C2763"/>
    <w:rsid w:val="0086513E"/>
    <w:rsid w:val="008C322F"/>
    <w:rsid w:val="0091601E"/>
    <w:rsid w:val="009C1FB0"/>
    <w:rsid w:val="00A140D3"/>
    <w:rsid w:val="00A1456E"/>
    <w:rsid w:val="00A36F32"/>
    <w:rsid w:val="00A43C07"/>
    <w:rsid w:val="00AC1257"/>
    <w:rsid w:val="00B759E0"/>
    <w:rsid w:val="00C0651B"/>
    <w:rsid w:val="00C97D52"/>
    <w:rsid w:val="00CE4F93"/>
    <w:rsid w:val="00D5380E"/>
    <w:rsid w:val="00DC1FBB"/>
    <w:rsid w:val="00DD15BF"/>
    <w:rsid w:val="00E61AD4"/>
    <w:rsid w:val="00E82355"/>
    <w:rsid w:val="00F13AA1"/>
    <w:rsid w:val="00FD1D93"/>
    <w:rsid w:val="01414527"/>
    <w:rsid w:val="038608DA"/>
    <w:rsid w:val="04106E64"/>
    <w:rsid w:val="06DF14B2"/>
    <w:rsid w:val="072E01FC"/>
    <w:rsid w:val="08741252"/>
    <w:rsid w:val="09F42DD4"/>
    <w:rsid w:val="0A791D80"/>
    <w:rsid w:val="0F2A1F3D"/>
    <w:rsid w:val="109B068D"/>
    <w:rsid w:val="12D1790A"/>
    <w:rsid w:val="14782DB8"/>
    <w:rsid w:val="14AF00BD"/>
    <w:rsid w:val="153D4F2B"/>
    <w:rsid w:val="165C1DAE"/>
    <w:rsid w:val="16ED2D59"/>
    <w:rsid w:val="174D1CA9"/>
    <w:rsid w:val="17536FF6"/>
    <w:rsid w:val="17541870"/>
    <w:rsid w:val="19151124"/>
    <w:rsid w:val="1A251034"/>
    <w:rsid w:val="1AA944D3"/>
    <w:rsid w:val="1B5C436C"/>
    <w:rsid w:val="1B91509A"/>
    <w:rsid w:val="1D9262D5"/>
    <w:rsid w:val="22293C01"/>
    <w:rsid w:val="224243ED"/>
    <w:rsid w:val="24DA1462"/>
    <w:rsid w:val="251F0377"/>
    <w:rsid w:val="25D43FBF"/>
    <w:rsid w:val="26AA16D4"/>
    <w:rsid w:val="284C2F0D"/>
    <w:rsid w:val="290632D5"/>
    <w:rsid w:val="2C6E439E"/>
    <w:rsid w:val="2C8F073A"/>
    <w:rsid w:val="2CA67011"/>
    <w:rsid w:val="2E55261B"/>
    <w:rsid w:val="31003746"/>
    <w:rsid w:val="34906983"/>
    <w:rsid w:val="34A02F04"/>
    <w:rsid w:val="367D4F11"/>
    <w:rsid w:val="395C56DE"/>
    <w:rsid w:val="3A6B617C"/>
    <w:rsid w:val="3A965B44"/>
    <w:rsid w:val="3B4F3BCB"/>
    <w:rsid w:val="3C6332B3"/>
    <w:rsid w:val="3D655CAD"/>
    <w:rsid w:val="3DCF123E"/>
    <w:rsid w:val="3E3103B1"/>
    <w:rsid w:val="3FFE146B"/>
    <w:rsid w:val="41971DBD"/>
    <w:rsid w:val="43CC4B30"/>
    <w:rsid w:val="44511123"/>
    <w:rsid w:val="455A3219"/>
    <w:rsid w:val="457173F8"/>
    <w:rsid w:val="45DD2DB8"/>
    <w:rsid w:val="46374CC6"/>
    <w:rsid w:val="47FA24B7"/>
    <w:rsid w:val="480C0CC5"/>
    <w:rsid w:val="48160936"/>
    <w:rsid w:val="494E02E7"/>
    <w:rsid w:val="49C017DB"/>
    <w:rsid w:val="4BF413EA"/>
    <w:rsid w:val="4F640350"/>
    <w:rsid w:val="4FFF0191"/>
    <w:rsid w:val="507D710A"/>
    <w:rsid w:val="50844495"/>
    <w:rsid w:val="508670F0"/>
    <w:rsid w:val="50A873B9"/>
    <w:rsid w:val="52C84CF5"/>
    <w:rsid w:val="54361EC0"/>
    <w:rsid w:val="54E82BB7"/>
    <w:rsid w:val="55B43D13"/>
    <w:rsid w:val="562C3FA0"/>
    <w:rsid w:val="56864135"/>
    <w:rsid w:val="56CD30AE"/>
    <w:rsid w:val="5836286D"/>
    <w:rsid w:val="585573E7"/>
    <w:rsid w:val="5A334C18"/>
    <w:rsid w:val="5C2974BB"/>
    <w:rsid w:val="5C4B79F0"/>
    <w:rsid w:val="5C6164F3"/>
    <w:rsid w:val="5EEF047E"/>
    <w:rsid w:val="5F6A036F"/>
    <w:rsid w:val="606A2F3D"/>
    <w:rsid w:val="607B2E53"/>
    <w:rsid w:val="63EF6D4C"/>
    <w:rsid w:val="647F7A80"/>
    <w:rsid w:val="65EF576E"/>
    <w:rsid w:val="67234BE8"/>
    <w:rsid w:val="67C37F93"/>
    <w:rsid w:val="686C39B1"/>
    <w:rsid w:val="68B72934"/>
    <w:rsid w:val="69A9737D"/>
    <w:rsid w:val="6A5B6461"/>
    <w:rsid w:val="6B9E401E"/>
    <w:rsid w:val="6C1A6998"/>
    <w:rsid w:val="711C77D0"/>
    <w:rsid w:val="73051406"/>
    <w:rsid w:val="73F71B2F"/>
    <w:rsid w:val="7524075C"/>
    <w:rsid w:val="76C64F98"/>
    <w:rsid w:val="79792DFF"/>
    <w:rsid w:val="7AB427B8"/>
    <w:rsid w:val="7ED45A9B"/>
    <w:rsid w:val="7F895F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E29678"/>
  <w15:docId w15:val="{95E133E0-63BE-43C4-93F7-892148152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Body Tex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pPr>
      <w:keepNext/>
      <w:keepLines/>
      <w:numPr>
        <w:numId w:val="1"/>
      </w:numPr>
      <w:spacing w:before="340" w:after="330" w:line="578" w:lineRule="auto"/>
      <w:outlineLvl w:val="0"/>
    </w:pPr>
    <w:rPr>
      <w:b/>
      <w:bCs/>
      <w:kern w:val="44"/>
      <w:sz w:val="44"/>
      <w:szCs w:val="4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after="120"/>
    </w:pPr>
    <w:rPr>
      <w:rFonts w:ascii="Times New Roman" w:hAnsi="Times New Roman"/>
      <w:kern w:val="0"/>
      <w:sz w:val="20"/>
      <w:szCs w:val="24"/>
      <w:lang w:val="zh-CN"/>
    </w:rPr>
  </w:style>
  <w:style w:type="paragraph" w:styleId="a4">
    <w:name w:val="annotation text"/>
    <w:basedOn w:val="a"/>
    <w:pPr>
      <w:jc w:val="left"/>
    </w:pPr>
  </w:style>
  <w:style w:type="paragraph" w:styleId="2">
    <w:name w:val="Body Text Indent 2"/>
    <w:basedOn w:val="a"/>
    <w:qFormat/>
    <w:pPr>
      <w:ind w:firstLine="630"/>
    </w:pPr>
    <w:rPr>
      <w:sz w:val="32"/>
      <w:szCs w:val="20"/>
    </w:rPr>
  </w:style>
  <w:style w:type="paragraph" w:styleId="a5">
    <w:name w:val="Balloon Text"/>
    <w:basedOn w:val="a"/>
    <w:link w:val="a6"/>
    <w:rPr>
      <w:sz w:val="18"/>
      <w:szCs w:val="18"/>
    </w:rPr>
  </w:style>
  <w:style w:type="paragraph" w:styleId="a7">
    <w:name w:val="footer"/>
    <w:basedOn w:val="a"/>
    <w:link w:val="a8"/>
    <w:uiPriority w:val="99"/>
    <w:qFormat/>
    <w:pPr>
      <w:tabs>
        <w:tab w:val="center" w:pos="4153"/>
        <w:tab w:val="right" w:pos="8306"/>
      </w:tabs>
      <w:snapToGrid w:val="0"/>
      <w:jc w:val="left"/>
    </w:pPr>
    <w:rPr>
      <w:sz w:val="18"/>
      <w:szCs w:val="18"/>
    </w:rPr>
  </w:style>
  <w:style w:type="paragraph" w:styleId="a9">
    <w:name w:val="header"/>
    <w:basedOn w:val="a"/>
    <w:link w:val="aa"/>
    <w:qFormat/>
    <w:pPr>
      <w:pBdr>
        <w:bottom w:val="single" w:sz="6" w:space="1" w:color="auto"/>
      </w:pBdr>
      <w:tabs>
        <w:tab w:val="center" w:pos="4153"/>
        <w:tab w:val="right" w:pos="8306"/>
      </w:tabs>
      <w:snapToGrid w:val="0"/>
      <w:jc w:val="center"/>
    </w:pPr>
    <w:rPr>
      <w:sz w:val="18"/>
      <w:szCs w:val="18"/>
    </w:rPr>
  </w:style>
  <w:style w:type="table" w:styleId="ab">
    <w:name w:val="Table Grid"/>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pPr>
      <w:ind w:firstLineChars="200" w:firstLine="420"/>
    </w:pPr>
  </w:style>
  <w:style w:type="paragraph" w:customStyle="1" w:styleId="p15">
    <w:name w:val="p15"/>
    <w:basedOn w:val="a"/>
    <w:qFormat/>
    <w:pPr>
      <w:widowControl/>
      <w:ind w:firstLine="420"/>
    </w:pPr>
    <w:rPr>
      <w:kern w:val="0"/>
      <w:szCs w:val="21"/>
    </w:rPr>
  </w:style>
  <w:style w:type="character" w:customStyle="1" w:styleId="aa">
    <w:name w:val="页眉 字符"/>
    <w:basedOn w:val="a1"/>
    <w:link w:val="a9"/>
    <w:qFormat/>
    <w:rPr>
      <w:rFonts w:asciiTheme="minorHAnsi" w:eastAsiaTheme="minorEastAsia" w:hAnsiTheme="minorHAnsi" w:cstheme="minorBidi"/>
      <w:kern w:val="2"/>
      <w:sz w:val="18"/>
      <w:szCs w:val="18"/>
    </w:rPr>
  </w:style>
  <w:style w:type="character" w:customStyle="1" w:styleId="a8">
    <w:name w:val="页脚 字符"/>
    <w:basedOn w:val="a1"/>
    <w:link w:val="a7"/>
    <w:uiPriority w:val="99"/>
    <w:qFormat/>
    <w:rPr>
      <w:rFonts w:asciiTheme="minorHAnsi" w:eastAsiaTheme="minorEastAsia" w:hAnsiTheme="minorHAnsi" w:cstheme="minorBidi"/>
      <w:kern w:val="2"/>
      <w:sz w:val="18"/>
      <w:szCs w:val="18"/>
    </w:rPr>
  </w:style>
  <w:style w:type="character" w:customStyle="1" w:styleId="font31">
    <w:name w:val="font31"/>
    <w:basedOn w:val="a1"/>
    <w:qFormat/>
    <w:rPr>
      <w:rFonts w:ascii="宋体" w:eastAsia="宋体" w:hAnsi="宋体" w:cs="宋体" w:hint="eastAsia"/>
      <w:color w:val="000000"/>
      <w:sz w:val="24"/>
      <w:szCs w:val="24"/>
      <w:u w:val="none"/>
    </w:rPr>
  </w:style>
  <w:style w:type="character" w:customStyle="1" w:styleId="a6">
    <w:name w:val="批注框文本 字符"/>
    <w:basedOn w:val="a1"/>
    <w:link w:val="a5"/>
    <w:rPr>
      <w:rFonts w:asciiTheme="minorHAnsi" w:eastAsiaTheme="minorEastAsia" w:hAnsiTheme="minorHAnsi" w:cstheme="minorBidi"/>
      <w:kern w:val="2"/>
      <w:sz w:val="18"/>
      <w:szCs w:val="18"/>
    </w:rPr>
  </w:style>
  <w:style w:type="character" w:styleId="ad">
    <w:name w:val="annotation reference"/>
    <w:basedOn w:val="a1"/>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9</Pages>
  <Words>1056</Words>
  <Characters>6024</Characters>
  <Application>Microsoft Office Word</Application>
  <DocSecurity>0</DocSecurity>
  <Lines>50</Lines>
  <Paragraphs>14</Paragraphs>
  <ScaleCrop>false</ScaleCrop>
  <Company>Microsoft</Company>
  <LinksUpToDate>false</LinksUpToDate>
  <CharactersWithSpaces>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LGYY-USER</dc:creator>
  <cp:lastModifiedBy>sky</cp:lastModifiedBy>
  <cp:revision>10</cp:revision>
  <dcterms:created xsi:type="dcterms:W3CDTF">2026-09-08T02:32:00Z</dcterms:created>
  <dcterms:modified xsi:type="dcterms:W3CDTF">2026-09-08T02:55:00Z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eyJoZGlkIjoiMGRiOWE0M2Y5OWYwZTYyYWYwNmUzNWIwNzlhMjAzZWIiLCJ1c2VySWQiOiIzODk2MzM3NTIifQ==</vt:lpwstr>
  </property>
  <property fmtid="{D5CDD505-2E9C-101B-9397-08002B2CF9AE}" pid="4" name="ICV">
    <vt:lpwstr>EEF6443ED3E448BE99A7EC52EE00E5AC_13</vt:lpwstr>
  </property>
</Properties>
</file>