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81E13">
      <w:pPr>
        <w:jc w:val="center"/>
        <w:rPr>
          <w:rFonts w:hint="eastAsia" w:ascii="方正小标宋简体" w:hAnsi="方正小标宋简体" w:eastAsia="方正小标宋简体" w:cs="方正小标宋简体"/>
          <w:sz w:val="36"/>
          <w:szCs w:val="36"/>
          <w:lang w:val="en-US" w:eastAsia="zh-CN"/>
        </w:rPr>
      </w:pPr>
      <w:bookmarkStart w:id="0" w:name="_Toc344816509"/>
      <w:r>
        <w:rPr>
          <w:rFonts w:hint="eastAsia" w:ascii="方正小标宋简体" w:hAnsi="方正小标宋简体" w:eastAsia="方正小标宋简体" w:cs="方正小标宋简体"/>
          <w:sz w:val="36"/>
          <w:szCs w:val="36"/>
        </w:rPr>
        <w:t>柳州市工人医院</w:t>
      </w:r>
      <w:r>
        <w:rPr>
          <w:rFonts w:hint="eastAsia" w:ascii="方正小标宋简体" w:hAnsi="方正小标宋简体" w:eastAsia="方正小标宋简体" w:cs="方正小标宋简体"/>
          <w:sz w:val="36"/>
          <w:szCs w:val="36"/>
          <w:lang w:val="en-US" w:eastAsia="zh-CN"/>
        </w:rPr>
        <w:t>医疗机构</w:t>
      </w:r>
      <w:bookmarkStart w:id="4" w:name="_GoBack"/>
      <w:bookmarkEnd w:id="4"/>
      <w:r>
        <w:rPr>
          <w:rFonts w:hint="eastAsia" w:ascii="方正小标宋简体" w:hAnsi="方正小标宋简体" w:eastAsia="方正小标宋简体" w:cs="方正小标宋简体"/>
          <w:sz w:val="36"/>
          <w:szCs w:val="36"/>
        </w:rPr>
        <w:t>OFD</w:t>
      </w:r>
      <w:r>
        <w:rPr>
          <w:rFonts w:hint="eastAsia" w:ascii="方正小标宋简体" w:hAnsi="方正小标宋简体" w:eastAsia="方正小标宋简体" w:cs="方正小标宋简体"/>
          <w:sz w:val="36"/>
          <w:szCs w:val="36"/>
          <w:lang w:val="en-US" w:eastAsia="zh-CN"/>
        </w:rPr>
        <w:t>标准应用项目</w:t>
      </w:r>
    </w:p>
    <w:p w14:paraId="2F7D57AB">
      <w:pPr>
        <w:jc w:val="center"/>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技术参数要求</w:t>
      </w:r>
    </w:p>
    <w:p w14:paraId="41E3CB2E">
      <w:pPr>
        <w:rPr>
          <w:rFonts w:ascii="宋体" w:hAnsi="宋体" w:eastAsia="宋体" w:cs="微软雅黑"/>
          <w:b/>
          <w:bCs/>
          <w:color w:val="auto"/>
          <w:kern w:val="44"/>
          <w:sz w:val="24"/>
          <w:szCs w:val="24"/>
        </w:rPr>
      </w:pPr>
    </w:p>
    <w:bookmarkEnd w:id="0"/>
    <w:p w14:paraId="7FCD1F9A">
      <w:pPr>
        <w:pStyle w:val="15"/>
        <w:pageBreakBefore w:val="0"/>
        <w:widowControl w:val="0"/>
        <w:numPr>
          <w:ilvl w:val="0"/>
          <w:numId w:val="2"/>
        </w:numPr>
        <w:kinsoku/>
        <w:wordWrap/>
        <w:overflowPunct/>
        <w:topLinePunct w:val="0"/>
        <w:autoSpaceDE/>
        <w:autoSpaceDN/>
        <w:bidi w:val="0"/>
        <w:adjustRightInd/>
        <w:snapToGrid/>
        <w:spacing w:line="312" w:lineRule="auto"/>
        <w:ind w:firstLineChars="0"/>
        <w:textAlignment w:val="auto"/>
        <w:rPr>
          <w:rFonts w:ascii="宋体" w:hAnsi="宋体" w:eastAsia="宋体"/>
          <w:b/>
          <w:color w:val="auto"/>
          <w:sz w:val="28"/>
          <w:szCs w:val="28"/>
        </w:rPr>
      </w:pPr>
      <w:r>
        <w:rPr>
          <w:rFonts w:hint="eastAsia" w:ascii="宋体" w:hAnsi="宋体" w:eastAsia="宋体"/>
          <w:b/>
          <w:color w:val="auto"/>
          <w:sz w:val="28"/>
          <w:szCs w:val="28"/>
        </w:rPr>
        <w:t>项目背景</w:t>
      </w:r>
    </w:p>
    <w:p w14:paraId="0B3EB0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ascii="宋体" w:hAnsi="宋体" w:eastAsia="宋体"/>
          <w:color w:val="auto"/>
          <w:sz w:val="24"/>
          <w:szCs w:val="24"/>
        </w:rPr>
        <w:t>在《公立医疗卫生行业机构高质量发展》行动计划持续推进的背景下，以电子病历为核心的智慧医院建设已成为医疗行业数字化转型的核心方向。国家卫生健康委医政司</w:t>
      </w:r>
      <w:r>
        <w:rPr>
          <w:rFonts w:hint="eastAsia" w:ascii="宋体" w:hAnsi="宋体" w:eastAsia="宋体"/>
          <w:color w:val="auto"/>
          <w:sz w:val="24"/>
          <w:szCs w:val="24"/>
          <w:lang w:eastAsia="zh-CN"/>
        </w:rPr>
        <w:t>《</w:t>
      </w:r>
      <w:r>
        <w:rPr>
          <w:rFonts w:ascii="宋体" w:hAnsi="宋体" w:eastAsia="宋体"/>
          <w:color w:val="auto"/>
          <w:sz w:val="24"/>
          <w:szCs w:val="24"/>
        </w:rPr>
        <w:t>关于征求智慧医疗分级评价方法及标准（2025版）意见的函》（国卫医资源便函〔2025〕13号）对病案的OFD格式标准化归档、电子化管理提出了明确建设要求。同时《电子文件存储与交换格式—版式文件》（GB/T33190-2016</w:t>
      </w:r>
      <w:r>
        <w:rPr>
          <w:rFonts w:hint="eastAsia" w:ascii="宋体" w:hAnsi="宋体" w:eastAsia="宋体"/>
          <w:color w:val="auto"/>
          <w:sz w:val="24"/>
          <w:szCs w:val="24"/>
          <w:lang w:eastAsia="zh-CN"/>
        </w:rPr>
        <w:t>）和</w:t>
      </w:r>
      <w:r>
        <w:rPr>
          <w:rFonts w:ascii="宋体" w:hAnsi="宋体" w:eastAsia="宋体"/>
          <w:color w:val="auto"/>
          <w:sz w:val="24"/>
          <w:szCs w:val="24"/>
        </w:rPr>
        <w:t>《信息技术OFD档案应用指南》（GB/T42133-2022）等国家标准，也为医疗电子文档的标准化、规范化管理划定了技术框架。</w:t>
      </w:r>
    </w:p>
    <w:p w14:paraId="52D9E9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Theme="minorEastAsia" w:hAnsiTheme="minorEastAsia" w:cstheme="minorEastAsia"/>
          <w:color w:val="auto"/>
          <w:sz w:val="24"/>
          <w:szCs w:val="28"/>
          <w:lang w:val="en-US" w:eastAsia="zh-CN"/>
        </w:rPr>
        <w:t>从医院实际需求方面，随着医院运行时间的增长与发展规模的不断扩增，医院每年都会产生大量的多源异构的电子病历文档与医疗文书，这都加剧了医院电子病历管理工作难度。医院的电子病历文书不仅是对相关信息数据的记录，还作为医院的知识储备库，对于医院运行发展都具有重要意义，因此医院要提高对医疗文档管理工作的重视程度。传统电子病历无纸化管理模式已经无法适应大量信息数据的处理环境，因此医院需要结合全新政策要求，利用新技术、新产品升级无纸化系统。电子病历管理是基于信息化发展背景下的医疗文档管理模式，通过借助信息技术优势完成数据处理工作，充分发挥数据处理高效性，准确性的特点。将电子病历文书保存于管理系统中，避免了医疗文档信息丢失的情况，同时还可以提升医院的医疗服务水平与技术能力。</w:t>
      </w:r>
    </w:p>
    <w:p w14:paraId="428F6F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为破解传统病案管理瓶颈，</w:t>
      </w:r>
      <w:r>
        <w:rPr>
          <w:rFonts w:hint="eastAsia" w:cs="宋体"/>
          <w:color w:val="auto"/>
          <w:sz w:val="24"/>
          <w:szCs w:val="24"/>
          <w:lang w:val="en-US" w:eastAsia="zh-CN"/>
        </w:rPr>
        <w:t>解决目前院内信息化系统</w:t>
      </w:r>
      <w:r>
        <w:rPr>
          <w:rFonts w:ascii="宋体" w:hAnsi="宋体" w:eastAsia="宋体" w:cs="宋体"/>
          <w:color w:val="auto"/>
          <w:sz w:val="24"/>
          <w:szCs w:val="24"/>
        </w:rPr>
        <w:t>检索调阅效率低、数据孤岛严重、全流程追溯能力缺失、合规建设滞后等痛点，</w:t>
      </w:r>
      <w:r>
        <w:rPr>
          <w:rFonts w:hint="eastAsia" w:ascii="宋体" w:hAnsi="宋体" w:eastAsia="宋体" w:cs="宋体"/>
          <w:color w:val="auto"/>
          <w:sz w:val="24"/>
          <w:szCs w:val="24"/>
          <w:lang w:val="en-US" w:eastAsia="zh-CN"/>
        </w:rPr>
        <w:t>特别</w:t>
      </w:r>
      <w:r>
        <w:rPr>
          <w:rFonts w:ascii="宋体" w:hAnsi="宋体" w:eastAsia="宋体" w:cs="宋体"/>
          <w:color w:val="auto"/>
          <w:sz w:val="24"/>
          <w:szCs w:val="24"/>
        </w:rPr>
        <w:t>多院区机构还存在跨院区文档共享难、管理标准不统一的问题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亟需一套</w:t>
      </w:r>
      <w:r>
        <w:rPr>
          <w:rFonts w:ascii="宋体" w:hAnsi="宋体" w:eastAsia="宋体" w:cs="宋体"/>
          <w:color w:val="auto"/>
          <w:sz w:val="24"/>
          <w:szCs w:val="24"/>
        </w:rPr>
        <w:t>基于我国自主可控的OFD-</w:t>
      </w:r>
      <w:r>
        <w:rPr>
          <w:rFonts w:hint="eastAsia" w:ascii="宋体" w:hAnsi="宋体" w:eastAsia="宋体" w:cs="宋体"/>
          <w:color w:val="auto"/>
          <w:sz w:val="24"/>
          <w:szCs w:val="24"/>
          <w:lang w:val="en-US" w:eastAsia="zh-CN"/>
        </w:rPr>
        <w:t>H</w:t>
      </w:r>
      <w:r>
        <w:rPr>
          <w:rFonts w:ascii="宋体" w:hAnsi="宋体" w:eastAsia="宋体" w:cs="宋体"/>
          <w:color w:val="auto"/>
          <w:sz w:val="24"/>
          <w:szCs w:val="24"/>
        </w:rPr>
        <w:t>版式文档标准的医疗文档管理</w:t>
      </w:r>
      <w:r>
        <w:rPr>
          <w:rFonts w:hint="eastAsia" w:ascii="宋体" w:hAnsi="宋体" w:eastAsia="宋体" w:cs="宋体"/>
          <w:color w:val="auto"/>
          <w:sz w:val="24"/>
          <w:szCs w:val="24"/>
          <w:lang w:val="en-US" w:eastAsia="zh-CN"/>
        </w:rPr>
        <w:t>平台</w:t>
      </w:r>
      <w:r>
        <w:rPr>
          <w:rFonts w:ascii="宋体" w:hAnsi="宋体" w:eastAsia="宋体" w:cs="宋体"/>
          <w:color w:val="auto"/>
          <w:sz w:val="24"/>
          <w:szCs w:val="24"/>
        </w:rPr>
        <w:t>，全面适配单</w:t>
      </w:r>
      <w:r>
        <w:rPr>
          <w:rFonts w:hint="eastAsia" w:ascii="宋体" w:hAnsi="宋体" w:eastAsia="宋体" w:cs="宋体"/>
          <w:color w:val="auto"/>
          <w:sz w:val="24"/>
          <w:szCs w:val="24"/>
          <w:lang w:val="en-US" w:eastAsia="zh-CN"/>
        </w:rPr>
        <w:t>体</w:t>
      </w:r>
      <w:r>
        <w:rPr>
          <w:rFonts w:ascii="宋体" w:hAnsi="宋体" w:eastAsia="宋体" w:cs="宋体"/>
          <w:color w:val="auto"/>
          <w:sz w:val="24"/>
          <w:szCs w:val="24"/>
        </w:rPr>
        <w:t>院区及多院区医疗机构的业务需求，既满足国家智慧医疗分级评价的合规要求，又深度赋能临床诊疗、医学科研、医院管理与患者服务。</w:t>
      </w:r>
    </w:p>
    <w:p w14:paraId="663B92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rPr>
      </w:pPr>
    </w:p>
    <w:p w14:paraId="37DDCB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14:paraId="10FE74C1">
      <w:pPr>
        <w:pStyle w:val="15"/>
        <w:pageBreakBefore w:val="0"/>
        <w:widowControl w:val="0"/>
        <w:kinsoku/>
        <w:wordWrap/>
        <w:overflowPunct/>
        <w:topLinePunct w:val="0"/>
        <w:autoSpaceDE/>
        <w:autoSpaceDN/>
        <w:bidi w:val="0"/>
        <w:adjustRightInd/>
        <w:snapToGrid/>
        <w:spacing w:line="312" w:lineRule="auto"/>
        <w:ind w:firstLine="0" w:firstLineChars="0"/>
        <w:textAlignment w:val="auto"/>
        <w:rPr>
          <w:rFonts w:ascii="宋体" w:hAnsi="宋体" w:eastAsia="宋体"/>
          <w:color w:val="auto"/>
          <w:sz w:val="24"/>
          <w:szCs w:val="24"/>
        </w:rPr>
      </w:pPr>
      <w:r>
        <w:rPr>
          <w:rFonts w:hint="eastAsia" w:ascii="宋体" w:hAnsi="宋体" w:eastAsia="宋体"/>
          <w:b/>
          <w:color w:val="auto"/>
          <w:sz w:val="28"/>
          <w:szCs w:val="28"/>
        </w:rPr>
        <w:t>二、项目建设内容及要求</w:t>
      </w:r>
    </w:p>
    <w:tbl>
      <w:tblPr>
        <w:tblStyle w:val="11"/>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94"/>
        <w:gridCol w:w="1570"/>
        <w:gridCol w:w="5460"/>
      </w:tblGrid>
      <w:tr w14:paraId="101E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1494" w:type="dxa"/>
            <w:shd w:val="clear" w:color="auto" w:fill="auto"/>
            <w:vAlign w:val="center"/>
          </w:tcPr>
          <w:p w14:paraId="07B5F55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功能</w:t>
            </w:r>
            <w:r>
              <w:rPr>
                <w:rFonts w:hint="eastAsia" w:ascii="宋体" w:hAnsi="宋体" w:eastAsia="宋体" w:cs="宋体"/>
                <w:b/>
                <w:bCs/>
                <w:i w:val="0"/>
                <w:iCs w:val="0"/>
                <w:color w:val="auto"/>
                <w:kern w:val="0"/>
                <w:sz w:val="21"/>
                <w:szCs w:val="21"/>
                <w:highlight w:val="none"/>
                <w:u w:val="none"/>
                <w:lang w:val="en-US" w:eastAsia="zh-CN" w:bidi="ar"/>
              </w:rPr>
              <w:t>模块</w:t>
            </w:r>
          </w:p>
        </w:tc>
        <w:tc>
          <w:tcPr>
            <w:tcW w:w="1570" w:type="dxa"/>
            <w:shd w:val="clear" w:color="auto" w:fill="auto"/>
            <w:vAlign w:val="center"/>
          </w:tcPr>
          <w:p w14:paraId="7B923207">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rPr>
            </w:pPr>
            <w:r>
              <w:rPr>
                <w:rFonts w:hint="eastAsia" w:ascii="宋体" w:hAnsi="宋体" w:cs="宋体"/>
                <w:b/>
                <w:bCs/>
                <w:i w:val="0"/>
                <w:iCs w:val="0"/>
                <w:color w:val="auto"/>
                <w:kern w:val="0"/>
                <w:sz w:val="21"/>
                <w:szCs w:val="21"/>
                <w:highlight w:val="none"/>
                <w:u w:val="none"/>
                <w:lang w:val="en-US" w:eastAsia="zh-CN" w:bidi="ar"/>
              </w:rPr>
              <w:t>具体功能</w:t>
            </w:r>
          </w:p>
        </w:tc>
        <w:tc>
          <w:tcPr>
            <w:tcW w:w="5460" w:type="dxa"/>
            <w:shd w:val="clear" w:color="auto" w:fill="auto"/>
            <w:vAlign w:val="center"/>
          </w:tcPr>
          <w:p w14:paraId="306CF63C">
            <w:pPr>
              <w:keepNext w:val="0"/>
              <w:keepLines w:val="0"/>
              <w:widowControl/>
              <w:suppressLineNumbers w:val="0"/>
              <w:jc w:val="center"/>
              <w:textAlignment w:val="center"/>
              <w:rPr>
                <w:rFonts w:hint="default" w:ascii="宋体" w:hAnsi="宋体" w:eastAsia="宋体" w:cs="宋体"/>
                <w:b/>
                <w:bCs/>
                <w:i w:val="0"/>
                <w:iCs w:val="0"/>
                <w:color w:val="auto"/>
                <w:sz w:val="21"/>
                <w:szCs w:val="21"/>
                <w:highlight w:val="none"/>
                <w:u w:val="none"/>
                <w:lang w:val="en-US"/>
              </w:rPr>
            </w:pPr>
            <w:r>
              <w:rPr>
                <w:rFonts w:hint="eastAsia" w:ascii="宋体" w:hAnsi="宋体" w:cs="宋体"/>
                <w:b/>
                <w:bCs/>
                <w:i w:val="0"/>
                <w:iCs w:val="0"/>
                <w:color w:val="auto"/>
                <w:kern w:val="0"/>
                <w:sz w:val="21"/>
                <w:szCs w:val="21"/>
                <w:highlight w:val="none"/>
                <w:u w:val="none"/>
                <w:lang w:val="en-US" w:eastAsia="zh-CN" w:bidi="ar"/>
              </w:rPr>
              <w:t>具体参数</w:t>
            </w:r>
          </w:p>
        </w:tc>
      </w:tr>
      <w:tr w14:paraId="30B6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669E0CFD">
            <w:pPr>
              <w:rPr>
                <w:rFonts w:ascii="宋体" w:hAnsi="宋体" w:eastAsia="宋体"/>
                <w:color w:val="auto"/>
                <w:sz w:val="21"/>
                <w:highlight w:val="none"/>
              </w:rPr>
            </w:pPr>
          </w:p>
          <w:p w14:paraId="1FB1BD0F">
            <w:pPr>
              <w:rPr>
                <w:rFonts w:ascii="宋体" w:hAnsi="宋体" w:eastAsia="宋体"/>
                <w:color w:val="auto"/>
                <w:sz w:val="21"/>
                <w:highlight w:val="none"/>
              </w:rPr>
            </w:pPr>
          </w:p>
          <w:p w14:paraId="709D0AD3">
            <w:pPr>
              <w:rPr>
                <w:rFonts w:ascii="宋体" w:hAnsi="宋体" w:eastAsia="宋体"/>
                <w:color w:val="auto"/>
                <w:sz w:val="21"/>
                <w:highlight w:val="none"/>
              </w:rPr>
            </w:pPr>
          </w:p>
          <w:p w14:paraId="57B75E7F">
            <w:pPr>
              <w:rPr>
                <w:rFonts w:ascii="宋体" w:hAnsi="宋体" w:eastAsia="宋体"/>
                <w:color w:val="auto"/>
                <w:sz w:val="21"/>
                <w:highlight w:val="none"/>
              </w:rPr>
            </w:pPr>
          </w:p>
          <w:p w14:paraId="0C74A01E">
            <w:pPr>
              <w:rPr>
                <w:rFonts w:ascii="宋体" w:hAnsi="宋体" w:eastAsia="宋体"/>
                <w:color w:val="auto"/>
                <w:sz w:val="21"/>
                <w:highlight w:val="none"/>
              </w:rPr>
            </w:pPr>
          </w:p>
          <w:p w14:paraId="5E085795">
            <w:pPr>
              <w:rPr>
                <w:rFonts w:ascii="宋体" w:hAnsi="宋体" w:eastAsia="宋体"/>
                <w:color w:val="auto"/>
                <w:sz w:val="21"/>
                <w:highlight w:val="none"/>
              </w:rPr>
            </w:pPr>
          </w:p>
          <w:p w14:paraId="294938C3">
            <w:pPr>
              <w:rPr>
                <w:rFonts w:ascii="宋体" w:hAnsi="宋体" w:eastAsia="宋体"/>
                <w:color w:val="auto"/>
                <w:sz w:val="21"/>
                <w:highlight w:val="none"/>
              </w:rPr>
            </w:pPr>
          </w:p>
          <w:p w14:paraId="7DE9887A">
            <w:pPr>
              <w:rPr>
                <w:rFonts w:ascii="宋体" w:hAnsi="宋体" w:eastAsia="宋体"/>
                <w:color w:val="auto"/>
                <w:sz w:val="21"/>
                <w:highlight w:val="none"/>
              </w:rPr>
            </w:pPr>
          </w:p>
          <w:p w14:paraId="79A9DCEB">
            <w:pPr>
              <w:rPr>
                <w:rFonts w:ascii="宋体" w:hAnsi="宋体" w:eastAsia="宋体"/>
                <w:color w:val="auto"/>
                <w:sz w:val="21"/>
                <w:highlight w:val="none"/>
              </w:rPr>
            </w:pPr>
          </w:p>
          <w:p w14:paraId="55F47591">
            <w:pPr>
              <w:rPr>
                <w:rFonts w:ascii="宋体" w:hAnsi="宋体" w:eastAsia="宋体"/>
                <w:color w:val="auto"/>
                <w:sz w:val="21"/>
                <w:highlight w:val="none"/>
              </w:rPr>
            </w:pPr>
          </w:p>
          <w:p w14:paraId="2580DC7C">
            <w:pPr>
              <w:rPr>
                <w:rFonts w:ascii="宋体" w:hAnsi="宋体" w:eastAsia="宋体"/>
                <w:color w:val="auto"/>
                <w:sz w:val="21"/>
                <w:highlight w:val="none"/>
              </w:rPr>
            </w:pPr>
          </w:p>
          <w:p w14:paraId="4C7ECF85">
            <w:pPr>
              <w:rPr>
                <w:rFonts w:ascii="宋体" w:hAnsi="宋体" w:eastAsia="宋体"/>
                <w:color w:val="auto"/>
                <w:sz w:val="21"/>
                <w:highlight w:val="none"/>
              </w:rPr>
            </w:pPr>
          </w:p>
          <w:p w14:paraId="759589DA">
            <w:pPr>
              <w:rPr>
                <w:rFonts w:ascii="宋体" w:hAnsi="宋体" w:eastAsia="宋体"/>
                <w:color w:val="auto"/>
                <w:sz w:val="21"/>
                <w:highlight w:val="none"/>
              </w:rPr>
            </w:pPr>
          </w:p>
          <w:p w14:paraId="4788AE3A">
            <w:pPr>
              <w:rPr>
                <w:rFonts w:ascii="宋体" w:hAnsi="宋体" w:eastAsia="宋体"/>
                <w:color w:val="auto"/>
                <w:sz w:val="21"/>
                <w:highlight w:val="none"/>
              </w:rPr>
            </w:pPr>
          </w:p>
          <w:p w14:paraId="3F93B329">
            <w:pPr>
              <w:rPr>
                <w:color w:val="auto"/>
                <w:highlight w:val="none"/>
              </w:rPr>
            </w:pPr>
            <w:r>
              <w:rPr>
                <w:rFonts w:ascii="宋体" w:hAnsi="宋体" w:eastAsia="宋体"/>
                <w:color w:val="auto"/>
                <w:sz w:val="21"/>
                <w:highlight w:val="none"/>
              </w:rPr>
              <w:t>一、系统接口对接</w:t>
            </w:r>
          </w:p>
        </w:tc>
        <w:tc>
          <w:tcPr>
            <w:tcW w:w="1570" w:type="dxa"/>
            <w:shd w:val="clear" w:color="auto" w:fill="auto"/>
          </w:tcPr>
          <w:p w14:paraId="7147C693">
            <w:pPr>
              <w:rPr>
                <w:color w:val="auto"/>
                <w:highlight w:val="none"/>
              </w:rPr>
            </w:pPr>
            <w:r>
              <w:rPr>
                <w:rFonts w:ascii="宋体" w:hAnsi="宋体" w:eastAsia="宋体"/>
                <w:color w:val="auto"/>
                <w:sz w:val="21"/>
                <w:highlight w:val="none"/>
              </w:rPr>
              <w:t>院内业务系统对接</w:t>
            </w:r>
          </w:p>
        </w:tc>
        <w:tc>
          <w:tcPr>
            <w:tcW w:w="5460" w:type="dxa"/>
            <w:shd w:val="clear" w:color="auto" w:fill="auto"/>
          </w:tcPr>
          <w:p w14:paraId="3DA30E81">
            <w:pPr>
              <w:rPr>
                <w:color w:val="auto"/>
                <w:highlight w:val="none"/>
              </w:rPr>
            </w:pPr>
            <w:r>
              <w:rPr>
                <w:rFonts w:ascii="宋体" w:hAnsi="宋体" w:eastAsia="宋体"/>
                <w:color w:val="auto"/>
                <w:sz w:val="21"/>
                <w:highlight w:val="none"/>
              </w:rPr>
              <w:t>需实现与院内现有病案无纸化系统、HIS、EMR、LIS、PACS</w:t>
            </w:r>
            <w:r>
              <w:rPr>
                <w:rFonts w:hint="eastAsia" w:ascii="宋体" w:hAnsi="宋体" w:eastAsia="宋体"/>
                <w:color w:val="auto"/>
                <w:sz w:val="21"/>
                <w:highlight w:val="none"/>
                <w:lang w:eastAsia="zh-CN"/>
              </w:rPr>
              <w:t>、</w:t>
            </w:r>
            <w:r>
              <w:rPr>
                <w:rFonts w:ascii="宋体" w:hAnsi="宋体" w:eastAsia="宋体"/>
                <w:color w:val="auto"/>
                <w:sz w:val="21"/>
                <w:highlight w:val="none"/>
              </w:rPr>
              <w:t>护理系统、手麻系统、重症系统等院内患者</w:t>
            </w:r>
            <w:r>
              <w:rPr>
                <w:rFonts w:hint="eastAsia" w:ascii="宋体" w:hAnsi="宋体" w:eastAsia="宋体"/>
                <w:color w:val="auto"/>
                <w:sz w:val="21"/>
                <w:highlight w:val="none"/>
                <w:lang w:val="en-US" w:eastAsia="zh-CN"/>
              </w:rPr>
              <w:t>医疗</w:t>
            </w:r>
            <w:r>
              <w:rPr>
                <w:rFonts w:ascii="宋体" w:hAnsi="宋体" w:eastAsia="宋体"/>
                <w:color w:val="auto"/>
                <w:sz w:val="21"/>
                <w:highlight w:val="none"/>
              </w:rPr>
              <w:t>相关业务系统的标准化对接，完成电子病历、检验检查报告、护理记录、手术记录、监护记录等各类医疗文书的接入与收集。</w:t>
            </w:r>
          </w:p>
        </w:tc>
      </w:tr>
      <w:tr w14:paraId="6F1B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D2C7635">
            <w:pPr>
              <w:rPr>
                <w:color w:val="auto"/>
                <w:highlight w:val="none"/>
              </w:rPr>
            </w:pPr>
          </w:p>
        </w:tc>
        <w:tc>
          <w:tcPr>
            <w:tcW w:w="1570" w:type="dxa"/>
            <w:shd w:val="clear" w:color="auto" w:fill="auto"/>
          </w:tcPr>
          <w:p w14:paraId="17268923">
            <w:pPr>
              <w:rPr>
                <w:color w:val="auto"/>
                <w:highlight w:val="none"/>
              </w:rPr>
            </w:pPr>
            <w:r>
              <w:rPr>
                <w:rFonts w:ascii="宋体" w:hAnsi="宋体" w:eastAsia="宋体"/>
                <w:color w:val="auto"/>
                <w:sz w:val="21"/>
                <w:highlight w:val="none"/>
              </w:rPr>
              <w:t>患者信息接入</w:t>
            </w:r>
          </w:p>
        </w:tc>
        <w:tc>
          <w:tcPr>
            <w:tcW w:w="5460" w:type="dxa"/>
            <w:shd w:val="clear" w:color="auto" w:fill="auto"/>
          </w:tcPr>
          <w:p w14:paraId="5BBED7DC">
            <w:pPr>
              <w:rPr>
                <w:color w:val="auto"/>
                <w:highlight w:val="none"/>
              </w:rPr>
            </w:pPr>
            <w:r>
              <w:rPr>
                <w:rFonts w:ascii="宋体" w:hAnsi="宋体" w:eastAsia="宋体"/>
                <w:color w:val="auto"/>
                <w:sz w:val="21"/>
                <w:highlight w:val="none"/>
              </w:rPr>
              <w:t>支持通过标准化患者信息同步接口，实时收集、更新患者基本信息与就诊信息，保障病案数据与业务系统患者标识的同一性。</w:t>
            </w:r>
          </w:p>
        </w:tc>
      </w:tr>
      <w:tr w14:paraId="02B0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9B7AC6D">
            <w:pPr>
              <w:rPr>
                <w:color w:val="auto"/>
                <w:highlight w:val="none"/>
              </w:rPr>
            </w:pPr>
          </w:p>
        </w:tc>
        <w:tc>
          <w:tcPr>
            <w:tcW w:w="1570" w:type="dxa"/>
            <w:shd w:val="clear" w:color="auto" w:fill="auto"/>
          </w:tcPr>
          <w:p w14:paraId="0C94F9F8">
            <w:pPr>
              <w:rPr>
                <w:color w:val="auto"/>
                <w:highlight w:val="none"/>
              </w:rPr>
            </w:pPr>
            <w:r>
              <w:rPr>
                <w:rFonts w:ascii="宋体" w:hAnsi="宋体" w:eastAsia="宋体"/>
                <w:color w:val="auto"/>
                <w:sz w:val="21"/>
                <w:highlight w:val="none"/>
              </w:rPr>
              <w:t>基础数据对接</w:t>
            </w:r>
          </w:p>
        </w:tc>
        <w:tc>
          <w:tcPr>
            <w:tcW w:w="5460" w:type="dxa"/>
            <w:shd w:val="clear" w:color="auto" w:fill="auto"/>
          </w:tcPr>
          <w:p w14:paraId="33EC0111">
            <w:pPr>
              <w:rPr>
                <w:color w:val="auto"/>
                <w:highlight w:val="none"/>
              </w:rPr>
            </w:pPr>
            <w:r>
              <w:rPr>
                <w:rFonts w:ascii="宋体" w:hAnsi="宋体" w:eastAsia="宋体"/>
                <w:color w:val="auto"/>
                <w:sz w:val="21"/>
                <w:highlight w:val="none"/>
              </w:rPr>
              <w:t>支持对接院内HIS或</w:t>
            </w:r>
            <w:r>
              <w:rPr>
                <w:rFonts w:hint="eastAsia" w:ascii="宋体" w:hAnsi="宋体" w:eastAsia="宋体"/>
                <w:color w:val="auto"/>
                <w:sz w:val="21"/>
                <w:highlight w:val="none"/>
                <w:lang w:val="en-US" w:eastAsia="zh-CN"/>
              </w:rPr>
              <w:t>数据中台</w:t>
            </w:r>
            <w:r>
              <w:rPr>
                <w:rFonts w:ascii="宋体" w:hAnsi="宋体" w:eastAsia="宋体"/>
                <w:color w:val="auto"/>
                <w:sz w:val="21"/>
                <w:highlight w:val="none"/>
              </w:rPr>
              <w:t>，同步获取组织架构、用户信息、科室字典、诊断字典、手术字典等全院统一基础数据。</w:t>
            </w:r>
          </w:p>
        </w:tc>
      </w:tr>
      <w:tr w14:paraId="2C49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346F8B3">
            <w:pPr>
              <w:rPr>
                <w:color w:val="auto"/>
                <w:highlight w:val="none"/>
              </w:rPr>
            </w:pPr>
          </w:p>
        </w:tc>
        <w:tc>
          <w:tcPr>
            <w:tcW w:w="1570" w:type="dxa"/>
            <w:shd w:val="clear" w:color="auto" w:fill="auto"/>
          </w:tcPr>
          <w:p w14:paraId="6C608FE3">
            <w:pPr>
              <w:rPr>
                <w:color w:val="auto"/>
                <w:highlight w:val="none"/>
              </w:rPr>
            </w:pPr>
            <w:r>
              <w:rPr>
                <w:rFonts w:ascii="宋体" w:hAnsi="宋体" w:eastAsia="宋体"/>
                <w:color w:val="auto"/>
                <w:sz w:val="21"/>
                <w:highlight w:val="none"/>
              </w:rPr>
              <w:t>电子签章对接</w:t>
            </w:r>
          </w:p>
        </w:tc>
        <w:tc>
          <w:tcPr>
            <w:tcW w:w="5460" w:type="dxa"/>
            <w:shd w:val="clear" w:color="auto" w:fill="auto"/>
          </w:tcPr>
          <w:p w14:paraId="7416432A">
            <w:pPr>
              <w:rPr>
                <w:color w:val="auto"/>
                <w:highlight w:val="none"/>
              </w:rPr>
            </w:pPr>
            <w:r>
              <w:rPr>
                <w:rFonts w:ascii="宋体" w:hAnsi="宋体" w:eastAsia="宋体"/>
                <w:color w:val="auto"/>
                <w:sz w:val="21"/>
                <w:highlight w:val="none"/>
              </w:rPr>
              <w:t>（1）支持与院内电子签章系统深度对接，文书生成时同步采集过程签名及可信时间戳数据，将过程签、时间戳固化到OFD-H版式文件中一并归档；</w:t>
            </w:r>
          </w:p>
          <w:p w14:paraId="7D19F923">
            <w:pPr>
              <w:rPr>
                <w:color w:val="auto"/>
                <w:highlight w:val="none"/>
              </w:rPr>
            </w:pPr>
            <w:r>
              <w:rPr>
                <w:rFonts w:ascii="宋体" w:hAnsi="宋体" w:eastAsia="宋体"/>
                <w:color w:val="auto"/>
                <w:sz w:val="21"/>
                <w:highlight w:val="none"/>
              </w:rPr>
              <w:t>（2）支持对OFD-H医疗文件批量加盖医院公章、病案专用章；</w:t>
            </w:r>
          </w:p>
          <w:p w14:paraId="1B5B35B6">
            <w:pPr>
              <w:rPr>
                <w:color w:val="auto"/>
                <w:highlight w:val="none"/>
              </w:rPr>
            </w:pPr>
            <w:r>
              <w:rPr>
                <w:rFonts w:ascii="宋体" w:hAnsi="宋体" w:eastAsia="宋体"/>
                <w:color w:val="auto"/>
                <w:sz w:val="21"/>
                <w:highlight w:val="none"/>
              </w:rPr>
              <w:t>（3）支持国密SM2/SM3/SM4算法，实现电子签名与可信时间戳固化归档。</w:t>
            </w:r>
          </w:p>
        </w:tc>
      </w:tr>
      <w:tr w14:paraId="2CC6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9978123">
            <w:pPr>
              <w:rPr>
                <w:color w:val="auto"/>
                <w:highlight w:val="none"/>
              </w:rPr>
            </w:pPr>
          </w:p>
        </w:tc>
        <w:tc>
          <w:tcPr>
            <w:tcW w:w="1570" w:type="dxa"/>
            <w:shd w:val="clear" w:color="auto" w:fill="auto"/>
          </w:tcPr>
          <w:p w14:paraId="636BFACD">
            <w:pPr>
              <w:rPr>
                <w:color w:val="auto"/>
                <w:highlight w:val="none"/>
              </w:rPr>
            </w:pPr>
            <w:r>
              <w:rPr>
                <w:rFonts w:ascii="宋体" w:hAnsi="宋体" w:eastAsia="宋体"/>
                <w:color w:val="auto"/>
                <w:sz w:val="21"/>
                <w:highlight w:val="none"/>
              </w:rPr>
              <w:t>结构化数据接入</w:t>
            </w:r>
          </w:p>
        </w:tc>
        <w:tc>
          <w:tcPr>
            <w:tcW w:w="5460" w:type="dxa"/>
            <w:shd w:val="clear" w:color="auto" w:fill="auto"/>
          </w:tcPr>
          <w:p w14:paraId="7366AA55">
            <w:pPr>
              <w:rPr>
                <w:color w:val="auto"/>
                <w:highlight w:val="none"/>
              </w:rPr>
            </w:pPr>
            <w:r>
              <w:rPr>
                <w:rFonts w:ascii="宋体" w:hAnsi="宋体" w:eastAsia="宋体"/>
                <w:color w:val="auto"/>
                <w:sz w:val="21"/>
                <w:highlight w:val="none"/>
              </w:rPr>
              <w:t>支持提供标准化数据上传接口，同步收集接入文件对应的结构化语义数据，</w:t>
            </w:r>
            <w:r>
              <w:rPr>
                <w:rFonts w:hint="eastAsia" w:ascii="宋体" w:hAnsi="宋体" w:eastAsia="宋体"/>
                <w:color w:val="auto"/>
                <w:highlight w:val="none"/>
              </w:rPr>
              <w:t>实现版式与数据一体化的文书生成</w:t>
            </w:r>
            <w:r>
              <w:rPr>
                <w:rFonts w:ascii="宋体" w:hAnsi="宋体" w:eastAsia="宋体"/>
                <w:color w:val="auto"/>
                <w:sz w:val="21"/>
                <w:highlight w:val="none"/>
              </w:rPr>
              <w:t>。</w:t>
            </w:r>
          </w:p>
        </w:tc>
      </w:tr>
      <w:tr w14:paraId="1B9E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70D2EE1">
            <w:pPr>
              <w:rPr>
                <w:color w:val="auto"/>
                <w:highlight w:val="none"/>
              </w:rPr>
            </w:pPr>
          </w:p>
        </w:tc>
        <w:tc>
          <w:tcPr>
            <w:tcW w:w="1570" w:type="dxa"/>
            <w:shd w:val="clear" w:color="auto" w:fill="auto"/>
          </w:tcPr>
          <w:p w14:paraId="59682F48">
            <w:pPr>
              <w:rPr>
                <w:color w:val="auto"/>
                <w:highlight w:val="none"/>
              </w:rPr>
            </w:pPr>
            <w:r>
              <w:rPr>
                <w:rFonts w:ascii="宋体" w:hAnsi="宋体" w:eastAsia="宋体"/>
                <w:color w:val="auto"/>
                <w:sz w:val="21"/>
                <w:highlight w:val="none"/>
              </w:rPr>
              <w:t>文件接入</w:t>
            </w:r>
          </w:p>
        </w:tc>
        <w:tc>
          <w:tcPr>
            <w:tcW w:w="5460" w:type="dxa"/>
            <w:shd w:val="clear" w:color="auto" w:fill="auto"/>
          </w:tcPr>
          <w:p w14:paraId="73E1F95B">
            <w:pPr>
              <w:rPr>
                <w:color w:val="auto"/>
                <w:highlight w:val="none"/>
              </w:rPr>
            </w:pPr>
            <w:r>
              <w:rPr>
                <w:rFonts w:ascii="宋体" w:hAnsi="宋体" w:eastAsia="宋体"/>
                <w:color w:val="auto"/>
                <w:sz w:val="21"/>
                <w:highlight w:val="none"/>
              </w:rPr>
              <w:t>提供标准化文件及关键数据上传接口，可快速对接院内各业务系统，接收医疗活动中形成的各类文件。</w:t>
            </w:r>
            <w:r>
              <w:rPr>
                <w:rFonts w:ascii="宋体" w:hAnsi="宋体" w:eastAsia="宋体"/>
                <w:color w:val="auto"/>
                <w:highlight w:val="none"/>
              </w:rPr>
              <w:t>支持接入高拍仪硬件，对非脱纸文件进行高拍加工存入系统。</w:t>
            </w:r>
          </w:p>
        </w:tc>
      </w:tr>
      <w:tr w14:paraId="22BB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A3C580A">
            <w:pPr>
              <w:rPr>
                <w:color w:val="auto"/>
                <w:highlight w:val="none"/>
              </w:rPr>
            </w:pPr>
          </w:p>
        </w:tc>
        <w:tc>
          <w:tcPr>
            <w:tcW w:w="1570" w:type="dxa"/>
            <w:shd w:val="clear" w:color="auto" w:fill="auto"/>
          </w:tcPr>
          <w:p w14:paraId="15B27AE5">
            <w:pPr>
              <w:rPr>
                <w:color w:val="auto"/>
                <w:highlight w:val="none"/>
              </w:rPr>
            </w:pPr>
            <w:r>
              <w:rPr>
                <w:rFonts w:ascii="宋体" w:hAnsi="宋体" w:eastAsia="宋体"/>
                <w:color w:val="auto"/>
                <w:sz w:val="21"/>
                <w:highlight w:val="none"/>
              </w:rPr>
              <w:t>附件接入</w:t>
            </w:r>
          </w:p>
        </w:tc>
        <w:tc>
          <w:tcPr>
            <w:tcW w:w="5460" w:type="dxa"/>
            <w:shd w:val="clear" w:color="auto" w:fill="auto"/>
          </w:tcPr>
          <w:p w14:paraId="1041B0BC">
            <w:pPr>
              <w:rPr>
                <w:color w:val="auto"/>
                <w:highlight w:val="none"/>
              </w:rPr>
            </w:pPr>
            <w:r>
              <w:rPr>
                <w:rFonts w:ascii="宋体" w:hAnsi="宋体" w:eastAsia="宋体"/>
                <w:color w:val="auto"/>
                <w:sz w:val="21"/>
                <w:highlight w:val="none"/>
              </w:rPr>
              <w:t>提供标准化附件上传接口，收集与接入文件关联的音视频、DICOM影像、图片等附件信息。</w:t>
            </w:r>
          </w:p>
        </w:tc>
      </w:tr>
      <w:tr w14:paraId="4117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2334CED">
            <w:pPr>
              <w:rPr>
                <w:color w:val="auto"/>
                <w:highlight w:val="none"/>
              </w:rPr>
            </w:pPr>
          </w:p>
        </w:tc>
        <w:tc>
          <w:tcPr>
            <w:tcW w:w="1570" w:type="dxa"/>
            <w:shd w:val="clear" w:color="auto" w:fill="auto"/>
          </w:tcPr>
          <w:p w14:paraId="4F20F654">
            <w:pPr>
              <w:rPr>
                <w:color w:val="auto"/>
                <w:highlight w:val="none"/>
              </w:rPr>
            </w:pPr>
            <w:r>
              <w:rPr>
                <w:rFonts w:ascii="宋体" w:hAnsi="宋体" w:eastAsia="宋体"/>
                <w:color w:val="auto"/>
                <w:sz w:val="21"/>
                <w:highlight w:val="none"/>
              </w:rPr>
              <w:t>短信平台对接</w:t>
            </w:r>
          </w:p>
        </w:tc>
        <w:tc>
          <w:tcPr>
            <w:tcW w:w="5460" w:type="dxa"/>
            <w:shd w:val="clear" w:color="auto" w:fill="auto"/>
          </w:tcPr>
          <w:p w14:paraId="5F61AAC8">
            <w:pPr>
              <w:rPr>
                <w:color w:val="auto"/>
                <w:highlight w:val="none"/>
              </w:rPr>
            </w:pPr>
            <w:r>
              <w:rPr>
                <w:rFonts w:ascii="宋体" w:hAnsi="宋体" w:eastAsia="宋体"/>
                <w:color w:val="auto"/>
                <w:sz w:val="21"/>
                <w:highlight w:val="none"/>
              </w:rPr>
              <w:t>对接院内短信平台，实现跨院调阅授权通知、病案申请审核结果、领取确认、物流信息等场景的短信推送。</w:t>
            </w:r>
          </w:p>
        </w:tc>
      </w:tr>
      <w:tr w14:paraId="026E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1EB8DDEA">
            <w:pPr>
              <w:rPr>
                <w:color w:val="auto"/>
                <w:highlight w:val="none"/>
              </w:rPr>
            </w:pPr>
          </w:p>
        </w:tc>
        <w:tc>
          <w:tcPr>
            <w:tcW w:w="1570" w:type="dxa"/>
            <w:shd w:val="clear" w:color="auto" w:fill="auto"/>
          </w:tcPr>
          <w:p w14:paraId="11127106">
            <w:pPr>
              <w:rPr>
                <w:color w:val="auto"/>
                <w:highlight w:val="none"/>
              </w:rPr>
            </w:pPr>
            <w:r>
              <w:rPr>
                <w:rFonts w:ascii="宋体" w:hAnsi="宋体" w:eastAsia="宋体"/>
                <w:color w:val="auto"/>
                <w:sz w:val="21"/>
                <w:highlight w:val="none"/>
              </w:rPr>
              <w:t>院内文书库/临床数据中心对接</w:t>
            </w:r>
          </w:p>
        </w:tc>
        <w:tc>
          <w:tcPr>
            <w:tcW w:w="5460" w:type="dxa"/>
            <w:shd w:val="clear" w:color="auto" w:fill="auto"/>
          </w:tcPr>
          <w:p w14:paraId="68A20100">
            <w:pPr>
              <w:rPr>
                <w:color w:val="auto"/>
                <w:highlight w:val="none"/>
              </w:rPr>
            </w:pPr>
            <w:r>
              <w:rPr>
                <w:rFonts w:ascii="宋体" w:hAnsi="宋体" w:eastAsia="宋体"/>
                <w:color w:val="auto"/>
                <w:sz w:val="21"/>
                <w:highlight w:val="none"/>
              </w:rPr>
              <w:t>对接院内文书库或临床数据中心，批量获取存量历史文件并转换为标准OFD-H格式文件。</w:t>
            </w:r>
          </w:p>
        </w:tc>
      </w:tr>
      <w:tr w14:paraId="799A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F1AE8D0">
            <w:pPr>
              <w:rPr>
                <w:color w:val="auto"/>
                <w:highlight w:val="none"/>
              </w:rPr>
            </w:pPr>
          </w:p>
        </w:tc>
        <w:tc>
          <w:tcPr>
            <w:tcW w:w="1570" w:type="dxa"/>
            <w:shd w:val="clear" w:color="auto" w:fill="auto"/>
          </w:tcPr>
          <w:p w14:paraId="43AE910F">
            <w:pPr>
              <w:rPr>
                <w:color w:val="auto"/>
                <w:highlight w:val="none"/>
              </w:rPr>
            </w:pPr>
            <w:r>
              <w:rPr>
                <w:rFonts w:ascii="宋体" w:hAnsi="宋体" w:eastAsia="宋体"/>
                <w:color w:val="auto"/>
                <w:sz w:val="21"/>
                <w:highlight w:val="none"/>
              </w:rPr>
              <w:t>区域卫生信息平台对接</w:t>
            </w:r>
          </w:p>
        </w:tc>
        <w:tc>
          <w:tcPr>
            <w:tcW w:w="5460" w:type="dxa"/>
            <w:shd w:val="clear" w:color="auto" w:fill="auto"/>
          </w:tcPr>
          <w:p w14:paraId="26517795">
            <w:pPr>
              <w:rPr>
                <w:color w:val="auto"/>
                <w:highlight w:val="none"/>
              </w:rPr>
            </w:pPr>
            <w:r>
              <w:rPr>
                <w:rFonts w:ascii="宋体" w:hAnsi="宋体" w:eastAsia="宋体"/>
                <w:color w:val="auto"/>
                <w:sz w:val="21"/>
                <w:highlight w:val="none"/>
              </w:rPr>
              <w:t>支持对接</w:t>
            </w:r>
            <w:r>
              <w:rPr>
                <w:rFonts w:hint="eastAsia" w:ascii="宋体" w:hAnsi="宋体" w:eastAsia="宋体"/>
                <w:color w:val="auto"/>
                <w:sz w:val="21"/>
                <w:highlight w:val="none"/>
                <w:lang w:val="en-US" w:eastAsia="zh-CN"/>
              </w:rPr>
              <w:t>自治区</w:t>
            </w:r>
            <w:r>
              <w:rPr>
                <w:rFonts w:ascii="宋体" w:hAnsi="宋体" w:eastAsia="宋体"/>
                <w:color w:val="auto"/>
                <w:sz w:val="21"/>
                <w:highlight w:val="none"/>
              </w:rPr>
              <w:t>、市级区域卫生信息平台及医联体平台，实现跨机构病案数据的标准化交换与调阅，支持在本院病历书写过程中引用外部医疗机构的OFD-H病案数据。</w:t>
            </w:r>
          </w:p>
        </w:tc>
      </w:tr>
      <w:tr w14:paraId="5DFA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08B7663">
            <w:pPr>
              <w:rPr>
                <w:color w:val="auto"/>
                <w:highlight w:val="none"/>
              </w:rPr>
            </w:pPr>
          </w:p>
        </w:tc>
        <w:tc>
          <w:tcPr>
            <w:tcW w:w="1570" w:type="dxa"/>
            <w:shd w:val="clear" w:color="auto" w:fill="auto"/>
          </w:tcPr>
          <w:p w14:paraId="39A71FB4">
            <w:pPr>
              <w:rPr>
                <w:color w:val="auto"/>
                <w:highlight w:val="none"/>
              </w:rPr>
            </w:pPr>
            <w:r>
              <w:rPr>
                <w:rFonts w:ascii="宋体" w:hAnsi="宋体" w:eastAsia="宋体"/>
                <w:color w:val="auto"/>
                <w:sz w:val="21"/>
                <w:highlight w:val="none"/>
              </w:rPr>
              <w:t>第三方服务对接</w:t>
            </w:r>
          </w:p>
        </w:tc>
        <w:tc>
          <w:tcPr>
            <w:tcW w:w="5460" w:type="dxa"/>
            <w:shd w:val="clear" w:color="auto" w:fill="auto"/>
          </w:tcPr>
          <w:p w14:paraId="1D471688">
            <w:pPr>
              <w:rPr>
                <w:color w:val="auto"/>
                <w:highlight w:val="none"/>
              </w:rPr>
            </w:pPr>
            <w:r>
              <w:rPr>
                <w:rFonts w:ascii="宋体" w:hAnsi="宋体" w:eastAsia="宋体"/>
                <w:color w:val="auto"/>
                <w:sz w:val="21"/>
                <w:highlight w:val="none"/>
              </w:rPr>
              <w:t>对接院</w:t>
            </w:r>
            <w:r>
              <w:rPr>
                <w:rFonts w:hint="eastAsia" w:ascii="宋体" w:hAnsi="宋体" w:eastAsia="宋体"/>
                <w:color w:val="auto"/>
                <w:sz w:val="21"/>
                <w:highlight w:val="none"/>
                <w:lang w:val="en-US" w:eastAsia="zh-CN"/>
              </w:rPr>
              <w:t>内医疗核心系统、</w:t>
            </w:r>
            <w:r>
              <w:rPr>
                <w:rFonts w:ascii="宋体" w:hAnsi="宋体" w:eastAsia="宋体"/>
                <w:color w:val="auto"/>
                <w:sz w:val="21"/>
                <w:highlight w:val="none"/>
              </w:rPr>
              <w:t>支付平台</w:t>
            </w:r>
            <w:r>
              <w:rPr>
                <w:rFonts w:hint="eastAsia" w:ascii="宋体" w:hAnsi="宋体" w:eastAsia="宋体"/>
                <w:color w:val="auto"/>
                <w:sz w:val="21"/>
                <w:highlight w:val="none"/>
                <w:lang w:val="en-US" w:eastAsia="zh-CN"/>
              </w:rPr>
              <w:t>和</w:t>
            </w:r>
            <w:r>
              <w:rPr>
                <w:rFonts w:ascii="宋体" w:hAnsi="宋体" w:eastAsia="宋体"/>
                <w:color w:val="auto"/>
                <w:sz w:val="21"/>
                <w:highlight w:val="none"/>
              </w:rPr>
              <w:t>电子发票平台，支撑患者端病案自助服务全流程闭环</w:t>
            </w: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含自助机和互联网医院</w:t>
            </w:r>
            <w:r>
              <w:rPr>
                <w:rFonts w:hint="eastAsia" w:ascii="宋体" w:hAnsi="宋体" w:eastAsia="宋体"/>
                <w:color w:val="auto"/>
                <w:sz w:val="21"/>
                <w:highlight w:val="none"/>
                <w:lang w:eastAsia="zh-CN"/>
              </w:rPr>
              <w:t>）</w:t>
            </w:r>
            <w:r>
              <w:rPr>
                <w:rFonts w:ascii="宋体" w:hAnsi="宋体" w:eastAsia="宋体"/>
                <w:color w:val="auto"/>
                <w:sz w:val="21"/>
                <w:highlight w:val="none"/>
              </w:rPr>
              <w:t>，接口开发、联调费用全部包含在总报价中。</w:t>
            </w:r>
          </w:p>
        </w:tc>
      </w:tr>
      <w:tr w14:paraId="1393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6308C774">
            <w:pPr>
              <w:rPr>
                <w:rFonts w:ascii="宋体" w:hAnsi="宋体" w:eastAsia="宋体"/>
                <w:color w:val="auto"/>
                <w:sz w:val="21"/>
                <w:highlight w:val="none"/>
              </w:rPr>
            </w:pPr>
          </w:p>
          <w:p w14:paraId="26017049">
            <w:pPr>
              <w:rPr>
                <w:rFonts w:ascii="宋体" w:hAnsi="宋体" w:eastAsia="宋体"/>
                <w:color w:val="auto"/>
                <w:sz w:val="21"/>
                <w:highlight w:val="none"/>
              </w:rPr>
            </w:pPr>
          </w:p>
          <w:p w14:paraId="4AD95DB7">
            <w:pPr>
              <w:rPr>
                <w:rFonts w:ascii="宋体" w:hAnsi="宋体" w:eastAsia="宋体"/>
                <w:color w:val="auto"/>
                <w:sz w:val="21"/>
                <w:highlight w:val="none"/>
              </w:rPr>
            </w:pPr>
          </w:p>
          <w:p w14:paraId="559DDF51">
            <w:pPr>
              <w:rPr>
                <w:rFonts w:ascii="宋体" w:hAnsi="宋体" w:eastAsia="宋体"/>
                <w:color w:val="auto"/>
                <w:sz w:val="21"/>
                <w:highlight w:val="none"/>
              </w:rPr>
            </w:pPr>
          </w:p>
          <w:p w14:paraId="42B9E3A9">
            <w:pPr>
              <w:rPr>
                <w:rFonts w:ascii="宋体" w:hAnsi="宋体" w:eastAsia="宋体"/>
                <w:color w:val="auto"/>
                <w:sz w:val="21"/>
                <w:highlight w:val="none"/>
              </w:rPr>
            </w:pPr>
          </w:p>
          <w:p w14:paraId="5F046A2F">
            <w:pPr>
              <w:rPr>
                <w:rFonts w:ascii="宋体" w:hAnsi="宋体" w:eastAsia="宋体"/>
                <w:color w:val="auto"/>
                <w:sz w:val="21"/>
                <w:highlight w:val="none"/>
              </w:rPr>
            </w:pPr>
          </w:p>
          <w:p w14:paraId="057597CB">
            <w:pPr>
              <w:rPr>
                <w:rFonts w:ascii="宋体" w:hAnsi="宋体" w:eastAsia="宋体"/>
                <w:color w:val="auto"/>
                <w:sz w:val="21"/>
                <w:highlight w:val="none"/>
              </w:rPr>
            </w:pPr>
          </w:p>
          <w:p w14:paraId="35F184EB">
            <w:pPr>
              <w:rPr>
                <w:rFonts w:ascii="宋体" w:hAnsi="宋体" w:eastAsia="宋体"/>
                <w:color w:val="auto"/>
                <w:sz w:val="21"/>
                <w:highlight w:val="none"/>
              </w:rPr>
            </w:pPr>
          </w:p>
          <w:p w14:paraId="4FA8A395">
            <w:pPr>
              <w:rPr>
                <w:rFonts w:ascii="宋体" w:hAnsi="宋体" w:eastAsia="宋体"/>
                <w:color w:val="auto"/>
                <w:sz w:val="21"/>
                <w:highlight w:val="none"/>
              </w:rPr>
            </w:pPr>
          </w:p>
          <w:p w14:paraId="554360C1">
            <w:pPr>
              <w:rPr>
                <w:rFonts w:ascii="宋体" w:hAnsi="宋体" w:eastAsia="宋体"/>
                <w:color w:val="auto"/>
                <w:sz w:val="21"/>
                <w:highlight w:val="none"/>
              </w:rPr>
            </w:pPr>
          </w:p>
          <w:p w14:paraId="20AD1837">
            <w:pPr>
              <w:rPr>
                <w:rFonts w:ascii="宋体" w:hAnsi="宋体" w:eastAsia="宋体"/>
                <w:color w:val="auto"/>
                <w:sz w:val="21"/>
                <w:highlight w:val="none"/>
              </w:rPr>
            </w:pPr>
          </w:p>
          <w:p w14:paraId="4D6F87D9">
            <w:pPr>
              <w:rPr>
                <w:rFonts w:ascii="宋体" w:hAnsi="宋体" w:eastAsia="宋体"/>
                <w:color w:val="auto"/>
                <w:sz w:val="21"/>
                <w:highlight w:val="none"/>
              </w:rPr>
            </w:pPr>
          </w:p>
          <w:p w14:paraId="428BB763">
            <w:pPr>
              <w:rPr>
                <w:rFonts w:ascii="宋体" w:hAnsi="宋体" w:eastAsia="宋体"/>
                <w:color w:val="auto"/>
                <w:sz w:val="21"/>
                <w:highlight w:val="none"/>
              </w:rPr>
            </w:pPr>
          </w:p>
          <w:p w14:paraId="5542EC18">
            <w:pPr>
              <w:rPr>
                <w:rFonts w:ascii="宋体" w:hAnsi="宋体" w:eastAsia="宋体"/>
                <w:color w:val="auto"/>
                <w:sz w:val="21"/>
                <w:highlight w:val="none"/>
              </w:rPr>
            </w:pPr>
          </w:p>
          <w:p w14:paraId="7B04941F">
            <w:pPr>
              <w:rPr>
                <w:rFonts w:ascii="宋体" w:hAnsi="宋体" w:eastAsia="宋体"/>
                <w:color w:val="auto"/>
                <w:sz w:val="21"/>
                <w:highlight w:val="none"/>
              </w:rPr>
            </w:pPr>
          </w:p>
          <w:p w14:paraId="1AD4D6C1">
            <w:pPr>
              <w:rPr>
                <w:rFonts w:ascii="宋体" w:hAnsi="宋体" w:eastAsia="宋体"/>
                <w:color w:val="auto"/>
                <w:sz w:val="21"/>
                <w:highlight w:val="none"/>
              </w:rPr>
            </w:pPr>
          </w:p>
          <w:p w14:paraId="4D16909A">
            <w:pPr>
              <w:rPr>
                <w:rFonts w:ascii="宋体" w:hAnsi="宋体" w:eastAsia="宋体"/>
                <w:color w:val="auto"/>
                <w:sz w:val="21"/>
                <w:highlight w:val="none"/>
              </w:rPr>
            </w:pPr>
          </w:p>
          <w:p w14:paraId="3AB0BBF5">
            <w:pPr>
              <w:rPr>
                <w:rFonts w:ascii="宋体" w:hAnsi="宋体" w:eastAsia="宋体"/>
                <w:color w:val="auto"/>
                <w:sz w:val="21"/>
                <w:highlight w:val="none"/>
              </w:rPr>
            </w:pPr>
          </w:p>
          <w:p w14:paraId="0C8897A6">
            <w:pPr>
              <w:rPr>
                <w:rFonts w:ascii="宋体" w:hAnsi="宋体" w:eastAsia="宋体"/>
                <w:color w:val="auto"/>
                <w:sz w:val="21"/>
                <w:highlight w:val="none"/>
              </w:rPr>
            </w:pPr>
          </w:p>
          <w:p w14:paraId="1DEB64AA">
            <w:pPr>
              <w:rPr>
                <w:rFonts w:ascii="宋体" w:hAnsi="宋体" w:eastAsia="宋体"/>
                <w:color w:val="auto"/>
                <w:sz w:val="21"/>
                <w:highlight w:val="none"/>
              </w:rPr>
            </w:pPr>
          </w:p>
          <w:p w14:paraId="4896D311">
            <w:pPr>
              <w:rPr>
                <w:rFonts w:ascii="宋体" w:hAnsi="宋体" w:eastAsia="宋体"/>
                <w:color w:val="auto"/>
                <w:sz w:val="21"/>
                <w:highlight w:val="none"/>
              </w:rPr>
            </w:pPr>
          </w:p>
          <w:p w14:paraId="73FA885D">
            <w:pPr>
              <w:rPr>
                <w:rFonts w:ascii="宋体" w:hAnsi="宋体" w:eastAsia="宋体"/>
                <w:color w:val="auto"/>
                <w:sz w:val="21"/>
                <w:highlight w:val="none"/>
              </w:rPr>
            </w:pPr>
          </w:p>
          <w:p w14:paraId="709B3D96">
            <w:pPr>
              <w:rPr>
                <w:color w:val="auto"/>
                <w:highlight w:val="none"/>
              </w:rPr>
            </w:pPr>
            <w:r>
              <w:rPr>
                <w:rFonts w:ascii="宋体" w:hAnsi="宋体" w:eastAsia="宋体"/>
                <w:color w:val="auto"/>
                <w:sz w:val="21"/>
                <w:highlight w:val="none"/>
              </w:rPr>
              <w:t>二、OFD-H生成加工</w:t>
            </w:r>
          </w:p>
        </w:tc>
        <w:tc>
          <w:tcPr>
            <w:tcW w:w="1570" w:type="dxa"/>
            <w:shd w:val="clear" w:color="auto" w:fill="auto"/>
          </w:tcPr>
          <w:p w14:paraId="2ABEE64E">
            <w:pPr>
              <w:rPr>
                <w:color w:val="auto"/>
                <w:highlight w:val="none"/>
              </w:rPr>
            </w:pPr>
            <w:r>
              <w:rPr>
                <w:rFonts w:ascii="宋体" w:hAnsi="宋体" w:eastAsia="宋体"/>
                <w:color w:val="auto"/>
                <w:sz w:val="21"/>
                <w:highlight w:val="none"/>
              </w:rPr>
              <w:t>OFD-H生成服务</w:t>
            </w:r>
          </w:p>
        </w:tc>
        <w:tc>
          <w:tcPr>
            <w:tcW w:w="5460" w:type="dxa"/>
            <w:shd w:val="clear" w:color="auto" w:fill="auto"/>
          </w:tcPr>
          <w:p w14:paraId="7DB08F10">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（1）支持 XML/HTML 格式病历文书解析与标准化处理，原生生成符合国标 GB/T 33190-2016 及医疗行业 OFD-H 标准的版式文件，生成过程中同步封装结构化语义数据，实现 "数版一体"；对于业务系统新产生的归档文书，</w:t>
            </w:r>
            <w:r>
              <w:rPr>
                <w:rFonts w:hint="eastAsia" w:ascii="宋体" w:hAnsi="宋体" w:eastAsia="宋体"/>
                <w:color w:val="auto"/>
                <w:sz w:val="21"/>
                <w:highlight w:val="none"/>
                <w:lang w:val="en-US" w:eastAsia="zh-CN"/>
              </w:rPr>
              <w:t>应</w:t>
            </w:r>
            <w:r>
              <w:rPr>
                <w:rFonts w:ascii="宋体" w:hAnsi="宋体" w:eastAsia="宋体"/>
                <w:color w:val="auto"/>
                <w:sz w:val="21"/>
                <w:highlight w:val="none"/>
              </w:rPr>
              <w:t>采用原生生成方式，确保</w:t>
            </w:r>
            <w:r>
              <w:rPr>
                <w:rFonts w:hint="eastAsia" w:ascii="宋体" w:hAnsi="宋体" w:eastAsia="宋体"/>
                <w:color w:val="auto"/>
                <w:sz w:val="21"/>
                <w:highlight w:val="none"/>
                <w:lang w:val="en-US" w:eastAsia="zh-CN"/>
              </w:rPr>
              <w:t>OFD归档文件</w:t>
            </w:r>
            <w:r>
              <w:rPr>
                <w:rFonts w:ascii="宋体" w:hAnsi="宋体" w:eastAsia="宋体"/>
                <w:color w:val="auto"/>
                <w:sz w:val="21"/>
                <w:highlight w:val="none"/>
              </w:rPr>
              <w:t>结构化数据完整保留（提供系统截图加盖公章）；</w:t>
            </w:r>
          </w:p>
          <w:p w14:paraId="298EFC19">
            <w:pPr>
              <w:rPr>
                <w:color w:val="auto"/>
                <w:highlight w:val="none"/>
              </w:rPr>
            </w:pPr>
            <w:r>
              <w:rPr>
                <w:rFonts w:ascii="宋体" w:hAnsi="宋体" w:eastAsia="宋体"/>
                <w:color w:val="auto"/>
                <w:sz w:val="21"/>
                <w:highlight w:val="none"/>
              </w:rPr>
              <w:t>（2）支持基于模板设计及业务数据动态绑定的套打生成。</w:t>
            </w:r>
          </w:p>
        </w:tc>
      </w:tr>
      <w:tr w14:paraId="496C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45541ED">
            <w:pPr>
              <w:rPr>
                <w:color w:val="auto"/>
                <w:highlight w:val="none"/>
              </w:rPr>
            </w:pPr>
          </w:p>
        </w:tc>
        <w:tc>
          <w:tcPr>
            <w:tcW w:w="1570" w:type="dxa"/>
            <w:shd w:val="clear" w:color="auto" w:fill="auto"/>
          </w:tcPr>
          <w:p w14:paraId="4C7D6109">
            <w:pPr>
              <w:rPr>
                <w:color w:val="auto"/>
                <w:highlight w:val="none"/>
              </w:rPr>
            </w:pPr>
            <w:r>
              <w:rPr>
                <w:rFonts w:ascii="宋体" w:hAnsi="宋体" w:eastAsia="宋体"/>
                <w:color w:val="auto"/>
                <w:sz w:val="21"/>
                <w:highlight w:val="none"/>
              </w:rPr>
              <w:t>OFD-H文件转换</w:t>
            </w:r>
          </w:p>
        </w:tc>
        <w:tc>
          <w:tcPr>
            <w:tcW w:w="5460" w:type="dxa"/>
            <w:shd w:val="clear" w:color="auto" w:fill="auto"/>
          </w:tcPr>
          <w:p w14:paraId="19E8C56D">
            <w:pPr>
              <w:rPr>
                <w:color w:val="auto"/>
                <w:highlight w:val="none"/>
              </w:rPr>
            </w:pPr>
            <w:r>
              <w:rPr>
                <w:rFonts w:ascii="宋体" w:hAnsi="宋体" w:eastAsia="宋体"/>
                <w:color w:val="auto"/>
                <w:sz w:val="21"/>
                <w:highlight w:val="none"/>
              </w:rPr>
              <w:t>（1）</w:t>
            </w:r>
            <w:r>
              <w:rPr>
                <w:rFonts w:hint="eastAsia" w:ascii="宋体" w:hAnsi="宋体" w:eastAsia="宋体"/>
                <w:color w:val="auto"/>
                <w:sz w:val="21"/>
                <w:highlight w:val="none"/>
                <w:lang w:eastAsia="zh-CN"/>
              </w:rPr>
              <w:t>△</w:t>
            </w:r>
            <w:r>
              <w:rPr>
                <w:rFonts w:ascii="宋体" w:hAnsi="宋体" w:eastAsia="宋体"/>
                <w:color w:val="auto"/>
                <w:sz w:val="21"/>
                <w:highlight w:val="none"/>
              </w:rPr>
              <w:t>支持将</w:t>
            </w:r>
            <w:r>
              <w:rPr>
                <w:rFonts w:hint="eastAsia" w:ascii="宋体" w:hAnsi="宋体" w:eastAsia="宋体"/>
                <w:color w:val="auto"/>
                <w:sz w:val="21"/>
                <w:highlight w:val="none"/>
                <w:lang w:val="en-US"/>
              </w:rPr>
              <w:t>TXT</w:t>
            </w:r>
            <w:r>
              <w:rPr>
                <w:rFonts w:hint="eastAsia" w:ascii="宋体" w:hAnsi="宋体" w:eastAsia="宋体"/>
                <w:color w:val="auto"/>
                <w:sz w:val="21"/>
                <w:highlight w:val="none"/>
              </w:rPr>
              <w:t>、</w:t>
            </w:r>
            <w:r>
              <w:rPr>
                <w:rFonts w:hint="eastAsia" w:ascii="宋体" w:hAnsi="宋体" w:eastAsia="宋体"/>
                <w:color w:val="auto"/>
                <w:sz w:val="21"/>
                <w:highlight w:val="none"/>
                <w:lang w:val="en-US"/>
              </w:rPr>
              <w:t>RTF</w:t>
            </w:r>
            <w:r>
              <w:rPr>
                <w:rFonts w:hint="eastAsia" w:ascii="宋体" w:hAnsi="宋体" w:eastAsia="宋体"/>
                <w:color w:val="auto"/>
                <w:sz w:val="21"/>
                <w:highlight w:val="none"/>
              </w:rPr>
              <w:t>、</w:t>
            </w:r>
            <w:r>
              <w:rPr>
                <w:rFonts w:hint="eastAsia" w:ascii="宋体" w:hAnsi="宋体" w:eastAsia="宋体"/>
                <w:color w:val="auto"/>
                <w:sz w:val="21"/>
                <w:highlight w:val="none"/>
                <w:lang w:val="en-US"/>
              </w:rPr>
              <w:t>WPS</w:t>
            </w:r>
            <w:r>
              <w:rPr>
                <w:rFonts w:hint="eastAsia" w:ascii="宋体" w:hAnsi="宋体" w:eastAsia="宋体"/>
                <w:color w:val="auto"/>
                <w:sz w:val="21"/>
                <w:highlight w:val="none"/>
              </w:rPr>
              <w:t>、</w:t>
            </w:r>
            <w:r>
              <w:rPr>
                <w:rFonts w:hint="eastAsia" w:ascii="宋体" w:hAnsi="宋体" w:eastAsia="宋体"/>
                <w:color w:val="auto"/>
                <w:sz w:val="21"/>
                <w:highlight w:val="none"/>
                <w:lang w:val="en-US"/>
              </w:rPr>
              <w:t>DPS</w:t>
            </w:r>
            <w:r>
              <w:rPr>
                <w:rFonts w:hint="eastAsia" w:ascii="宋体" w:hAnsi="宋体" w:eastAsia="宋体"/>
                <w:color w:val="auto"/>
                <w:sz w:val="21"/>
                <w:highlight w:val="none"/>
              </w:rPr>
              <w:t>、</w:t>
            </w:r>
            <w:r>
              <w:rPr>
                <w:rFonts w:hint="eastAsia" w:ascii="宋体" w:hAnsi="宋体" w:eastAsia="宋体"/>
                <w:color w:val="auto"/>
                <w:sz w:val="21"/>
                <w:highlight w:val="none"/>
                <w:lang w:val="en-US"/>
              </w:rPr>
              <w:t>UOS</w:t>
            </w:r>
            <w:r>
              <w:rPr>
                <w:rFonts w:hint="eastAsia" w:ascii="宋体" w:hAnsi="宋体" w:eastAsia="宋体"/>
                <w:color w:val="auto"/>
                <w:sz w:val="21"/>
                <w:highlight w:val="none"/>
              </w:rPr>
              <w:t>、</w:t>
            </w:r>
            <w:r>
              <w:rPr>
                <w:rFonts w:hint="eastAsia" w:ascii="宋体" w:hAnsi="宋体" w:eastAsia="宋体"/>
                <w:color w:val="auto"/>
                <w:sz w:val="21"/>
                <w:highlight w:val="none"/>
                <w:lang w:val="en-US"/>
              </w:rPr>
              <w:t>UOP</w:t>
            </w:r>
            <w:r>
              <w:rPr>
                <w:rFonts w:hint="eastAsia" w:ascii="宋体" w:hAnsi="宋体" w:eastAsia="宋体"/>
                <w:color w:val="auto"/>
                <w:sz w:val="21"/>
                <w:highlight w:val="none"/>
              </w:rPr>
              <w:t>、</w:t>
            </w:r>
            <w:r>
              <w:rPr>
                <w:rFonts w:hint="eastAsia" w:ascii="宋体" w:hAnsi="宋体" w:eastAsia="宋体"/>
                <w:color w:val="auto"/>
                <w:sz w:val="21"/>
                <w:highlight w:val="none"/>
                <w:lang w:val="en-US"/>
              </w:rPr>
              <w:t>PDF</w:t>
            </w:r>
            <w:r>
              <w:rPr>
                <w:rFonts w:hint="eastAsia" w:ascii="宋体" w:hAnsi="宋体" w:eastAsia="宋体"/>
                <w:color w:val="auto"/>
                <w:sz w:val="21"/>
                <w:highlight w:val="none"/>
              </w:rPr>
              <w:t>、</w:t>
            </w:r>
            <w:r>
              <w:rPr>
                <w:rFonts w:hint="eastAsia" w:ascii="宋体" w:hAnsi="宋体" w:eastAsia="宋体"/>
                <w:color w:val="auto"/>
                <w:sz w:val="21"/>
                <w:highlight w:val="none"/>
                <w:lang w:val="en-US"/>
              </w:rPr>
              <w:t>DOC/DOCX</w:t>
            </w:r>
            <w:r>
              <w:rPr>
                <w:rFonts w:hint="eastAsia" w:ascii="宋体" w:hAnsi="宋体" w:eastAsia="宋体"/>
                <w:color w:val="auto"/>
                <w:sz w:val="21"/>
                <w:highlight w:val="none"/>
              </w:rPr>
              <w:t>、</w:t>
            </w:r>
            <w:r>
              <w:rPr>
                <w:rFonts w:hint="eastAsia" w:ascii="宋体" w:hAnsi="宋体" w:eastAsia="宋体"/>
                <w:color w:val="auto"/>
                <w:sz w:val="21"/>
                <w:highlight w:val="none"/>
                <w:lang w:val="en-US"/>
              </w:rPr>
              <w:t>XLS/XLSX</w:t>
            </w:r>
            <w:r>
              <w:rPr>
                <w:rFonts w:hint="eastAsia" w:ascii="宋体" w:hAnsi="宋体" w:eastAsia="宋体"/>
                <w:color w:val="auto"/>
                <w:sz w:val="21"/>
                <w:highlight w:val="none"/>
              </w:rPr>
              <w:t>、</w:t>
            </w:r>
            <w:r>
              <w:rPr>
                <w:rFonts w:hint="eastAsia" w:ascii="宋体" w:hAnsi="宋体" w:eastAsia="宋体"/>
                <w:color w:val="auto"/>
                <w:sz w:val="21"/>
                <w:highlight w:val="none"/>
                <w:lang w:val="en-US"/>
              </w:rPr>
              <w:t>PPT/PPTX</w:t>
            </w:r>
            <w:r>
              <w:rPr>
                <w:rFonts w:hint="eastAsia" w:ascii="宋体" w:hAnsi="宋体" w:eastAsia="宋体"/>
                <w:color w:val="auto"/>
                <w:sz w:val="21"/>
                <w:highlight w:val="none"/>
              </w:rPr>
              <w:t>、</w:t>
            </w:r>
            <w:r>
              <w:rPr>
                <w:rFonts w:hint="eastAsia" w:ascii="宋体" w:hAnsi="宋体" w:eastAsia="宋体"/>
                <w:color w:val="auto"/>
                <w:sz w:val="21"/>
                <w:highlight w:val="none"/>
                <w:lang w:val="en-US"/>
              </w:rPr>
              <w:t>HTML</w:t>
            </w:r>
            <w:r>
              <w:rPr>
                <w:rFonts w:hint="eastAsia" w:ascii="宋体" w:hAnsi="宋体" w:eastAsia="宋体"/>
                <w:color w:val="auto"/>
                <w:sz w:val="21"/>
                <w:highlight w:val="none"/>
              </w:rPr>
              <w:t>、</w:t>
            </w:r>
            <w:r>
              <w:rPr>
                <w:rFonts w:hint="eastAsia" w:ascii="宋体" w:hAnsi="宋体" w:eastAsia="宋体"/>
                <w:color w:val="auto"/>
                <w:sz w:val="21"/>
                <w:highlight w:val="none"/>
                <w:lang w:val="en-US"/>
              </w:rPr>
              <w:t>XLSM</w:t>
            </w:r>
            <w:r>
              <w:rPr>
                <w:rFonts w:hint="eastAsia" w:ascii="宋体" w:hAnsi="宋体" w:eastAsia="宋体"/>
                <w:color w:val="auto"/>
                <w:sz w:val="21"/>
                <w:highlight w:val="none"/>
              </w:rPr>
              <w:t>、</w:t>
            </w:r>
            <w:r>
              <w:rPr>
                <w:rFonts w:hint="eastAsia" w:ascii="宋体" w:hAnsi="宋体" w:eastAsia="宋体"/>
                <w:color w:val="auto"/>
                <w:sz w:val="21"/>
                <w:highlight w:val="none"/>
                <w:lang w:val="en-US"/>
              </w:rPr>
              <w:t>DWG</w:t>
            </w:r>
            <w:r>
              <w:rPr>
                <w:rFonts w:hint="eastAsia" w:ascii="宋体" w:hAnsi="宋体" w:eastAsia="宋体"/>
                <w:color w:val="auto"/>
                <w:sz w:val="21"/>
                <w:highlight w:val="none"/>
              </w:rPr>
              <w:t>、</w:t>
            </w:r>
            <w:r>
              <w:rPr>
                <w:rFonts w:hint="eastAsia" w:ascii="宋体" w:hAnsi="宋体" w:eastAsia="宋体"/>
                <w:color w:val="auto"/>
                <w:sz w:val="21"/>
                <w:highlight w:val="none"/>
                <w:lang w:val="en-US"/>
              </w:rPr>
              <w:t>CEB/CEBX</w:t>
            </w:r>
            <w:r>
              <w:rPr>
                <w:rFonts w:hint="eastAsia" w:ascii="宋体" w:hAnsi="宋体" w:eastAsia="宋体"/>
                <w:color w:val="auto"/>
                <w:sz w:val="21"/>
                <w:highlight w:val="none"/>
              </w:rPr>
              <w:t>、</w:t>
            </w:r>
            <w:r>
              <w:rPr>
                <w:rFonts w:hint="eastAsia" w:ascii="宋体" w:hAnsi="宋体" w:eastAsia="宋体"/>
                <w:color w:val="auto"/>
                <w:sz w:val="21"/>
                <w:highlight w:val="none"/>
                <w:lang w:val="en-US"/>
              </w:rPr>
              <w:t>JPG</w:t>
            </w:r>
            <w:r>
              <w:rPr>
                <w:rFonts w:hint="eastAsia" w:ascii="宋体" w:hAnsi="宋体" w:eastAsia="宋体"/>
                <w:color w:val="auto"/>
                <w:sz w:val="21"/>
                <w:highlight w:val="none"/>
              </w:rPr>
              <w:t>、</w:t>
            </w:r>
            <w:r>
              <w:rPr>
                <w:rFonts w:hint="eastAsia" w:ascii="宋体" w:hAnsi="宋体" w:eastAsia="宋体"/>
                <w:color w:val="auto"/>
                <w:sz w:val="21"/>
                <w:highlight w:val="none"/>
                <w:lang w:val="en-US"/>
              </w:rPr>
              <w:t>TIF</w:t>
            </w:r>
            <w:r>
              <w:rPr>
                <w:rFonts w:hint="eastAsia" w:ascii="宋体" w:hAnsi="宋体" w:eastAsia="宋体"/>
                <w:color w:val="auto"/>
                <w:sz w:val="21"/>
                <w:highlight w:val="none"/>
              </w:rPr>
              <w:t>等多种格式文档</w:t>
            </w:r>
            <w:r>
              <w:rPr>
                <w:rFonts w:ascii="宋体" w:hAnsi="宋体" w:eastAsia="宋体"/>
                <w:color w:val="auto"/>
                <w:sz w:val="21"/>
                <w:highlight w:val="none"/>
              </w:rPr>
              <w:t>转换为符合电子病历长期保存要求的国标OFD-H版式文档（提供系统截图加盖公章）；</w:t>
            </w:r>
          </w:p>
          <w:p w14:paraId="0CA034DC">
            <w:pPr>
              <w:rPr>
                <w:color w:val="auto"/>
                <w:highlight w:val="none"/>
              </w:rPr>
            </w:pPr>
            <w:r>
              <w:rPr>
                <w:rFonts w:ascii="宋体" w:hAnsi="宋体" w:eastAsia="宋体"/>
                <w:color w:val="auto"/>
                <w:sz w:val="21"/>
                <w:highlight w:val="none"/>
              </w:rPr>
              <w:t>（2）支持网页转换版式文件时自定义参数配置，支持长网页自动分页；</w:t>
            </w:r>
          </w:p>
          <w:p w14:paraId="74E272C4">
            <w:pPr>
              <w:rPr>
                <w:color w:val="auto"/>
                <w:highlight w:val="none"/>
              </w:rPr>
            </w:pPr>
            <w:r>
              <w:rPr>
                <w:rFonts w:ascii="宋体" w:hAnsi="宋体" w:eastAsia="宋体"/>
                <w:color w:val="auto"/>
                <w:sz w:val="21"/>
                <w:highlight w:val="none"/>
              </w:rPr>
              <w:t>（3）支持文件转换过程嵌入文档所用字体，保障各环境下原版原式呈现。</w:t>
            </w:r>
          </w:p>
        </w:tc>
      </w:tr>
      <w:tr w14:paraId="4362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E8EFB4A">
            <w:pPr>
              <w:rPr>
                <w:color w:val="auto"/>
                <w:highlight w:val="none"/>
              </w:rPr>
            </w:pPr>
          </w:p>
        </w:tc>
        <w:tc>
          <w:tcPr>
            <w:tcW w:w="1570" w:type="dxa"/>
            <w:shd w:val="clear" w:color="auto" w:fill="auto"/>
          </w:tcPr>
          <w:p w14:paraId="3B124CA8">
            <w:pPr>
              <w:rPr>
                <w:color w:val="auto"/>
                <w:highlight w:val="none"/>
              </w:rPr>
            </w:pPr>
            <w:r>
              <w:rPr>
                <w:rFonts w:ascii="宋体" w:hAnsi="宋体" w:eastAsia="宋体"/>
                <w:color w:val="auto"/>
                <w:sz w:val="21"/>
                <w:highlight w:val="none"/>
              </w:rPr>
              <w:t>OFD-H病案加工</w:t>
            </w:r>
          </w:p>
        </w:tc>
        <w:tc>
          <w:tcPr>
            <w:tcW w:w="5460" w:type="dxa"/>
            <w:shd w:val="clear" w:color="auto" w:fill="auto"/>
          </w:tcPr>
          <w:p w14:paraId="67492E06">
            <w:pPr>
              <w:rPr>
                <w:color w:val="auto"/>
                <w:highlight w:val="none"/>
              </w:rPr>
            </w:pPr>
            <w:r>
              <w:rPr>
                <w:rFonts w:ascii="宋体" w:hAnsi="宋体" w:eastAsia="宋体"/>
                <w:color w:val="auto"/>
                <w:sz w:val="21"/>
                <w:highlight w:val="none"/>
              </w:rPr>
              <w:t>（1）</w:t>
            </w:r>
            <w:r>
              <w:rPr>
                <w:rFonts w:hint="eastAsia" w:ascii="宋体" w:hAnsi="宋体" w:eastAsia="宋体"/>
                <w:color w:val="auto"/>
                <w:sz w:val="21"/>
                <w:highlight w:val="none"/>
                <w:lang w:eastAsia="zh-CN"/>
              </w:rPr>
              <w:t>△</w:t>
            </w:r>
            <w:r>
              <w:rPr>
                <w:rFonts w:ascii="宋体" w:hAnsi="宋体" w:eastAsia="宋体"/>
                <w:color w:val="auto"/>
                <w:sz w:val="21"/>
                <w:highlight w:val="none"/>
              </w:rPr>
              <w:t>支持OFD-H电子病历附件添加功能，支持以OFD-H文档为核心加载各类附件信息（提供系统截图加盖公章）；</w:t>
            </w:r>
          </w:p>
          <w:p w14:paraId="7EE854B8">
            <w:pPr>
              <w:rPr>
                <w:color w:val="auto"/>
                <w:highlight w:val="none"/>
              </w:rPr>
            </w:pPr>
            <w:r>
              <w:rPr>
                <w:rFonts w:ascii="宋体" w:hAnsi="宋体" w:eastAsia="宋体"/>
                <w:color w:val="auto"/>
                <w:sz w:val="21"/>
                <w:highlight w:val="none"/>
              </w:rPr>
              <w:t>（2）</w:t>
            </w:r>
            <w:r>
              <w:rPr>
                <w:rFonts w:hint="eastAsia" w:ascii="宋体" w:hAnsi="宋体" w:eastAsia="宋体"/>
                <w:color w:val="auto"/>
                <w:sz w:val="21"/>
                <w:highlight w:val="none"/>
                <w:lang w:eastAsia="zh-CN"/>
              </w:rPr>
              <w:t>△</w:t>
            </w:r>
            <w:r>
              <w:rPr>
                <w:rFonts w:ascii="宋体" w:hAnsi="宋体" w:eastAsia="宋体"/>
                <w:color w:val="auto"/>
                <w:sz w:val="21"/>
                <w:highlight w:val="none"/>
              </w:rPr>
              <w:t>提供数据封装能力，不同类型的结构化数据以带层级的自定义标引存储于文件中，形成双层OFD-H文档（提供系统截图加盖公章）；</w:t>
            </w:r>
          </w:p>
          <w:p w14:paraId="3BBB1B39">
            <w:pPr>
              <w:rPr>
                <w:color w:val="auto"/>
                <w:highlight w:val="none"/>
              </w:rPr>
            </w:pPr>
            <w:r>
              <w:rPr>
                <w:rFonts w:ascii="宋体" w:hAnsi="宋体" w:eastAsia="宋体"/>
                <w:color w:val="auto"/>
                <w:sz w:val="21"/>
                <w:highlight w:val="none"/>
              </w:rPr>
              <w:t>（3）支持以患者诊次为单位封装OFD-H医疗档案卷，组卷封装时支持自定义目录大纲；</w:t>
            </w:r>
          </w:p>
          <w:p w14:paraId="4FECD98B">
            <w:pPr>
              <w:rPr>
                <w:color w:val="auto"/>
                <w:highlight w:val="none"/>
              </w:rPr>
            </w:pPr>
            <w:r>
              <w:rPr>
                <w:rFonts w:ascii="宋体" w:hAnsi="宋体" w:eastAsia="宋体"/>
                <w:color w:val="auto"/>
                <w:sz w:val="21"/>
                <w:highlight w:val="none"/>
              </w:rPr>
              <w:t>（4）支持为OFD-H文件添加动态水印，防止截图、拍照泄露；</w:t>
            </w:r>
          </w:p>
          <w:p w14:paraId="643A9853">
            <w:pPr>
              <w:rPr>
                <w:color w:val="auto"/>
                <w:highlight w:val="none"/>
              </w:rPr>
            </w:pPr>
            <w:r>
              <w:rPr>
                <w:rFonts w:ascii="宋体" w:hAnsi="宋体" w:eastAsia="宋体"/>
                <w:color w:val="auto"/>
                <w:sz w:val="21"/>
                <w:highlight w:val="none"/>
              </w:rPr>
              <w:t>（5）支持在OFD-H文件中设置打印、拷贝、阅读有效期等权限控制；</w:t>
            </w:r>
          </w:p>
          <w:p w14:paraId="1F980F3A">
            <w:pPr>
              <w:rPr>
                <w:rFonts w:hint="eastAsia" w:ascii="宋体" w:hAnsi="宋体" w:eastAsia="宋体"/>
                <w:color w:val="auto"/>
                <w:sz w:val="21"/>
                <w:highlight w:val="none"/>
                <w:lang w:eastAsia="zh-CN"/>
              </w:rPr>
            </w:pPr>
            <w:r>
              <w:rPr>
                <w:rFonts w:ascii="宋体" w:hAnsi="宋体" w:eastAsia="宋体"/>
                <w:color w:val="auto"/>
                <w:sz w:val="21"/>
                <w:highlight w:val="none"/>
              </w:rPr>
              <w:t>（6）支持在OFD-H文件中嵌入DICOM影像文件</w:t>
            </w:r>
            <w:r>
              <w:rPr>
                <w:rFonts w:hint="eastAsia" w:ascii="宋体" w:hAnsi="宋体" w:eastAsia="宋体"/>
                <w:color w:val="auto"/>
                <w:sz w:val="21"/>
                <w:highlight w:val="none"/>
                <w:lang w:eastAsia="zh-CN"/>
              </w:rPr>
              <w:t>；</w:t>
            </w:r>
          </w:p>
          <w:p w14:paraId="6C776EC7">
            <w:pPr>
              <w:rPr>
                <w:rFonts w:hint="eastAsia" w:ascii="宋体" w:hAnsi="宋体" w:eastAsia="宋体"/>
                <w:color w:val="auto"/>
                <w:highlight w:val="none"/>
              </w:rPr>
            </w:pPr>
            <w:r>
              <w:rPr>
                <w:rFonts w:hint="eastAsia" w:ascii="宋体" w:hAnsi="宋体" w:eastAsia="宋体"/>
                <w:color w:val="auto"/>
                <w:sz w:val="21"/>
                <w:highlight w:val="none"/>
                <w:lang w:eastAsia="zh-CN"/>
              </w:rPr>
              <w:t>（7）支持生成带元数据标引的OFD版式文档；</w:t>
            </w:r>
          </w:p>
          <w:p w14:paraId="31BB22B6">
            <w:pPr>
              <w:rPr>
                <w:color w:val="auto"/>
                <w:highlight w:val="none"/>
              </w:rPr>
            </w:pP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8</w:t>
            </w:r>
            <w:r>
              <w:rPr>
                <w:rFonts w:hint="eastAsia" w:ascii="宋体" w:hAnsi="宋体" w:eastAsia="宋体"/>
                <w:color w:val="auto"/>
                <w:highlight w:val="none"/>
                <w:lang w:eastAsia="zh-CN"/>
              </w:rPr>
              <w:t>）</w:t>
            </w:r>
            <w:r>
              <w:rPr>
                <w:rFonts w:hint="eastAsia" w:ascii="宋体" w:hAnsi="宋体" w:eastAsia="宋体"/>
                <w:color w:val="auto"/>
                <w:highlight w:val="none"/>
              </w:rPr>
              <w:t>支持对OFD文档的压缩处理。</w:t>
            </w:r>
          </w:p>
          <w:p w14:paraId="56E456E6">
            <w:pPr>
              <w:rPr>
                <w:color w:val="auto"/>
                <w:highlight w:val="none"/>
              </w:rPr>
            </w:pPr>
            <w:r>
              <w:rPr>
                <w:rFonts w:ascii="宋体" w:hAnsi="宋体" w:eastAsia="宋体"/>
                <w:color w:val="auto"/>
                <w:highlight w:val="none"/>
              </w:rPr>
              <w:t>（9）支持多文档合并与大纲导览添加功能，可将多份OFD-H文档合并为一份完整文档并自动生成文档导航大纲。</w:t>
            </w:r>
          </w:p>
        </w:tc>
      </w:tr>
      <w:tr w14:paraId="08E8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F20DBF6">
            <w:pPr>
              <w:rPr>
                <w:color w:val="auto"/>
                <w:highlight w:val="none"/>
              </w:rPr>
            </w:pPr>
          </w:p>
        </w:tc>
        <w:tc>
          <w:tcPr>
            <w:tcW w:w="1570" w:type="dxa"/>
            <w:shd w:val="clear" w:color="auto" w:fill="auto"/>
          </w:tcPr>
          <w:p w14:paraId="3CAA0E2E">
            <w:pPr>
              <w:rPr>
                <w:color w:val="auto"/>
                <w:highlight w:val="none"/>
              </w:rPr>
            </w:pPr>
            <w:r>
              <w:rPr>
                <w:rFonts w:ascii="宋体" w:hAnsi="宋体" w:eastAsia="宋体"/>
                <w:color w:val="auto"/>
                <w:sz w:val="21"/>
                <w:highlight w:val="none"/>
              </w:rPr>
              <w:t>OFD-H文件内容识别</w:t>
            </w:r>
          </w:p>
        </w:tc>
        <w:tc>
          <w:tcPr>
            <w:tcW w:w="5460" w:type="dxa"/>
            <w:shd w:val="clear" w:color="auto" w:fill="auto"/>
          </w:tcPr>
          <w:p w14:paraId="718D877C">
            <w:pPr>
              <w:rPr>
                <w:color w:val="auto"/>
                <w:highlight w:val="none"/>
              </w:rPr>
            </w:pPr>
            <w:r>
              <w:rPr>
                <w:rFonts w:ascii="宋体" w:hAnsi="宋体" w:eastAsia="宋体"/>
                <w:color w:val="auto"/>
                <w:sz w:val="21"/>
                <w:highlight w:val="none"/>
              </w:rPr>
              <w:t>（1）支持将纸质病历扫描件进行OCR识别并提取文字内容，生成带结构化语义的双层国标OFD-H版式文件；</w:t>
            </w:r>
          </w:p>
          <w:p w14:paraId="19FB67D8">
            <w:pPr>
              <w:rPr>
                <w:color w:val="auto"/>
                <w:highlight w:val="none"/>
              </w:rPr>
            </w:pPr>
            <w:r>
              <w:rPr>
                <w:rFonts w:ascii="宋体" w:hAnsi="宋体" w:eastAsia="宋体"/>
                <w:color w:val="auto"/>
                <w:sz w:val="21"/>
                <w:highlight w:val="none"/>
              </w:rPr>
              <w:t>（2）支持识别宋体、仿宋、楷体、黑体等多种文档字体；</w:t>
            </w:r>
          </w:p>
          <w:p w14:paraId="72D01B80">
            <w:pPr>
              <w:rPr>
                <w:color w:val="auto"/>
                <w:highlight w:val="none"/>
              </w:rPr>
            </w:pPr>
            <w:r>
              <w:rPr>
                <w:rFonts w:ascii="宋体" w:hAnsi="宋体" w:eastAsia="宋体"/>
                <w:color w:val="auto"/>
                <w:sz w:val="21"/>
                <w:highlight w:val="none"/>
              </w:rPr>
              <w:t>（3）印刷体汉字、英文识别率≥95%；标准A4纸内容识别速度≥480字/秒，手写体识别速度≥400字/秒。</w:t>
            </w:r>
          </w:p>
        </w:tc>
      </w:tr>
      <w:tr w14:paraId="707B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6C6D247">
            <w:pPr>
              <w:rPr>
                <w:color w:val="auto"/>
                <w:highlight w:val="none"/>
              </w:rPr>
            </w:pPr>
          </w:p>
        </w:tc>
        <w:tc>
          <w:tcPr>
            <w:tcW w:w="1570" w:type="dxa"/>
            <w:shd w:val="clear" w:color="auto" w:fill="auto"/>
          </w:tcPr>
          <w:p w14:paraId="34689982">
            <w:pPr>
              <w:rPr>
                <w:color w:val="auto"/>
                <w:highlight w:val="none"/>
              </w:rPr>
            </w:pPr>
            <w:r>
              <w:rPr>
                <w:rFonts w:ascii="宋体" w:hAnsi="宋体" w:eastAsia="宋体"/>
                <w:color w:val="auto"/>
                <w:sz w:val="21"/>
                <w:highlight w:val="none"/>
              </w:rPr>
              <w:t>OFD-H版式文件设计（模板设计）</w:t>
            </w:r>
          </w:p>
        </w:tc>
        <w:tc>
          <w:tcPr>
            <w:tcW w:w="5460" w:type="dxa"/>
            <w:shd w:val="clear" w:color="auto" w:fill="auto"/>
          </w:tcPr>
          <w:p w14:paraId="694D2704">
            <w:pPr>
              <w:rPr>
                <w:color w:val="auto"/>
                <w:highlight w:val="none"/>
              </w:rPr>
            </w:pPr>
            <w:r>
              <w:rPr>
                <w:rFonts w:ascii="宋体" w:hAnsi="宋体" w:eastAsia="宋体"/>
                <w:color w:val="auto"/>
                <w:sz w:val="21"/>
                <w:highlight w:val="none"/>
              </w:rPr>
              <w:t>（1）页面管理：支持新建或导入模板，支持模板页面编辑管理；</w:t>
            </w:r>
          </w:p>
          <w:p w14:paraId="20C470ED">
            <w:pPr>
              <w:rPr>
                <w:color w:val="auto"/>
                <w:highlight w:val="none"/>
              </w:rPr>
            </w:pPr>
            <w:r>
              <w:rPr>
                <w:rFonts w:ascii="宋体" w:hAnsi="宋体" w:eastAsia="宋体"/>
                <w:color w:val="auto"/>
                <w:sz w:val="21"/>
                <w:highlight w:val="none"/>
              </w:rPr>
              <w:t>（2）模板设计：支持文本、表格、图片、条码等多种模板组件的设计与操作；</w:t>
            </w:r>
          </w:p>
          <w:p w14:paraId="2D2691DB">
            <w:pPr>
              <w:rPr>
                <w:color w:val="auto"/>
                <w:highlight w:val="none"/>
              </w:rPr>
            </w:pPr>
            <w:r>
              <w:rPr>
                <w:rFonts w:ascii="宋体" w:hAnsi="宋体" w:eastAsia="宋体"/>
                <w:color w:val="auto"/>
                <w:sz w:val="21"/>
                <w:highlight w:val="none"/>
              </w:rPr>
              <w:t>（3）内容排版：支持对文档内容进行精细化排版设计；</w:t>
            </w:r>
          </w:p>
          <w:p w14:paraId="3C36A624">
            <w:pPr>
              <w:rPr>
                <w:color w:val="auto"/>
                <w:highlight w:val="none"/>
              </w:rPr>
            </w:pPr>
            <w:r>
              <w:rPr>
                <w:rFonts w:ascii="宋体" w:hAnsi="宋体" w:eastAsia="宋体"/>
                <w:color w:val="auto"/>
                <w:sz w:val="21"/>
                <w:highlight w:val="none"/>
              </w:rPr>
              <w:t>（4）模板预览：支持模板设计实时预览生成结果；</w:t>
            </w:r>
          </w:p>
          <w:p w14:paraId="2FB90C68">
            <w:pPr>
              <w:rPr>
                <w:color w:val="auto"/>
                <w:highlight w:val="none"/>
              </w:rPr>
            </w:pPr>
            <w:r>
              <w:rPr>
                <w:rFonts w:ascii="宋体" w:hAnsi="宋体" w:eastAsia="宋体"/>
                <w:color w:val="auto"/>
                <w:sz w:val="21"/>
                <w:highlight w:val="none"/>
              </w:rPr>
              <w:t>（5）复杂模板制作：支持基于模板设计及业务数据动态绑定，实现数据到版面的自动编排；</w:t>
            </w:r>
          </w:p>
          <w:p w14:paraId="6A44CC0F">
            <w:pPr>
              <w:rPr>
                <w:color w:val="auto"/>
                <w:highlight w:val="none"/>
              </w:rPr>
            </w:pPr>
            <w:r>
              <w:rPr>
                <w:rFonts w:ascii="宋体" w:hAnsi="宋体" w:eastAsia="宋体"/>
                <w:color w:val="auto"/>
                <w:sz w:val="21"/>
                <w:highlight w:val="none"/>
              </w:rPr>
              <w:t>（6）套打生成：支持业务数据套打生成OFD-H结果文档。</w:t>
            </w:r>
          </w:p>
        </w:tc>
      </w:tr>
      <w:tr w14:paraId="732C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16467B5">
            <w:pPr>
              <w:rPr>
                <w:color w:val="auto"/>
                <w:highlight w:val="none"/>
              </w:rPr>
            </w:pPr>
          </w:p>
        </w:tc>
        <w:tc>
          <w:tcPr>
            <w:tcW w:w="1570" w:type="dxa"/>
            <w:shd w:val="clear" w:color="auto" w:fill="auto"/>
          </w:tcPr>
          <w:p w14:paraId="5F336547">
            <w:pPr>
              <w:rPr>
                <w:color w:val="auto"/>
                <w:highlight w:val="none"/>
              </w:rPr>
            </w:pPr>
            <w:r>
              <w:rPr>
                <w:rFonts w:ascii="宋体" w:hAnsi="宋体" w:eastAsia="宋体"/>
                <w:color w:val="auto"/>
                <w:sz w:val="21"/>
                <w:highlight w:val="none"/>
              </w:rPr>
              <w:t>门诊OFD-H文书模板制作及对接服务</w:t>
            </w:r>
          </w:p>
        </w:tc>
        <w:tc>
          <w:tcPr>
            <w:tcW w:w="5460" w:type="dxa"/>
            <w:shd w:val="clear" w:color="auto" w:fill="auto"/>
          </w:tcPr>
          <w:p w14:paraId="414F98DA">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w:t>
            </w:r>
            <w:r>
              <w:rPr>
                <w:rFonts w:hint="eastAsia" w:ascii="宋体" w:hAnsi="宋体" w:eastAsia="宋体"/>
                <w:color w:val="auto"/>
                <w:sz w:val="21"/>
                <w:highlight w:val="none"/>
                <w:lang w:eastAsia="zh-CN"/>
              </w:rPr>
              <w:t>）</w:t>
            </w:r>
            <w:r>
              <w:rPr>
                <w:rFonts w:ascii="宋体" w:hAnsi="宋体" w:eastAsia="宋体"/>
                <w:color w:val="auto"/>
                <w:sz w:val="21"/>
                <w:highlight w:val="none"/>
              </w:rPr>
              <w:t xml:space="preserve"> 收集梳理HIS、LIS、EMR、PACS等系统的全部门诊文书类型、清单与样式；</w:t>
            </w:r>
          </w:p>
          <w:p w14:paraId="518583D3">
            <w:pPr>
              <w:rPr>
                <w:rFonts w:ascii="宋体" w:hAnsi="宋体" w:eastAsia="宋体"/>
                <w:color w:val="auto"/>
                <w:sz w:val="21"/>
                <w:highlight w:val="none"/>
              </w:rPr>
            </w:pP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2</w:t>
            </w:r>
            <w:r>
              <w:rPr>
                <w:rFonts w:hint="eastAsia" w:ascii="宋体" w:hAnsi="宋体" w:eastAsia="宋体"/>
                <w:color w:val="auto"/>
                <w:sz w:val="21"/>
                <w:highlight w:val="none"/>
                <w:lang w:eastAsia="zh-CN"/>
              </w:rPr>
              <w:t>）</w:t>
            </w:r>
            <w:r>
              <w:rPr>
                <w:rFonts w:ascii="宋体" w:hAnsi="宋体" w:eastAsia="宋体"/>
                <w:color w:val="auto"/>
                <w:sz w:val="21"/>
                <w:highlight w:val="none"/>
              </w:rPr>
              <w:t xml:space="preserve"> 参照版式要求及OFD-H标准制作模板，完成排版、语义项设定，输出结构化数据示例提供给业务系统厂商对接；</w:t>
            </w:r>
          </w:p>
          <w:p w14:paraId="2DB78551">
            <w:pPr>
              <w:rPr>
                <w:rFonts w:hint="eastAsia" w:ascii="宋体" w:hAnsi="宋体" w:eastAsia="宋体"/>
                <w:color w:val="auto"/>
                <w:sz w:val="21"/>
                <w:highlight w:val="none"/>
                <w:lang w:val="en-US" w:eastAsia="zh-CN"/>
              </w:rPr>
            </w:pPr>
            <w:r>
              <w:rPr>
                <w:rFonts w:hint="eastAsia" w:ascii="宋体" w:hAnsi="宋体" w:eastAsia="宋体"/>
                <w:color w:val="auto"/>
                <w:sz w:val="21"/>
                <w:highlight w:val="none"/>
                <w:lang w:val="en-US" w:eastAsia="zh-CN"/>
              </w:rPr>
              <w:t>（3）</w:t>
            </w:r>
            <w:r>
              <w:rPr>
                <w:rFonts w:hint="eastAsia" w:ascii="宋体" w:hAnsi="宋体" w:eastAsia="宋体"/>
                <w:color w:val="auto"/>
                <w:highlight w:val="none"/>
              </w:rPr>
              <w:t>通过解析文书流式数据文件，结合匹配的JSON/XML结构化数据，生成带结构化数据的OFD-H文件</w:t>
            </w:r>
            <w:r>
              <w:rPr>
                <w:rFonts w:hint="eastAsia" w:ascii="宋体" w:hAnsi="宋体" w:eastAsia="宋体"/>
                <w:color w:val="auto"/>
                <w:highlight w:val="none"/>
                <w:lang w:eastAsia="zh-CN"/>
              </w:rPr>
              <w:t>；</w:t>
            </w:r>
          </w:p>
          <w:p w14:paraId="7437A6DE">
            <w:pPr>
              <w:rPr>
                <w:color w:val="auto"/>
                <w:highlight w:val="none"/>
              </w:rPr>
            </w:pPr>
            <w:r>
              <w:rPr>
                <w:rFonts w:hint="eastAsia" w:ascii="宋体" w:hAnsi="宋体" w:eastAsia="宋体"/>
                <w:color w:val="auto"/>
                <w:sz w:val="21"/>
                <w:highlight w:val="none"/>
                <w:lang w:val="en-US" w:eastAsia="zh-CN"/>
              </w:rPr>
              <w:t>（4）</w:t>
            </w:r>
            <w:r>
              <w:rPr>
                <w:rFonts w:ascii="宋体" w:hAnsi="宋体" w:eastAsia="宋体"/>
                <w:color w:val="auto"/>
                <w:sz w:val="21"/>
                <w:highlight w:val="none"/>
              </w:rPr>
              <w:t xml:space="preserve"> 提交文书版式、名称、分类至业务科室确认，直至通过并上线。</w:t>
            </w:r>
          </w:p>
        </w:tc>
      </w:tr>
      <w:tr w14:paraId="5842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C705D35">
            <w:pPr>
              <w:rPr>
                <w:color w:val="auto"/>
                <w:highlight w:val="none"/>
              </w:rPr>
            </w:pPr>
          </w:p>
        </w:tc>
        <w:tc>
          <w:tcPr>
            <w:tcW w:w="1570" w:type="dxa"/>
            <w:shd w:val="clear" w:color="auto" w:fill="auto"/>
          </w:tcPr>
          <w:p w14:paraId="4B7AECF8">
            <w:pPr>
              <w:rPr>
                <w:color w:val="auto"/>
                <w:highlight w:val="none"/>
              </w:rPr>
            </w:pPr>
            <w:r>
              <w:rPr>
                <w:rFonts w:ascii="宋体" w:hAnsi="宋体" w:eastAsia="宋体"/>
                <w:color w:val="auto"/>
                <w:sz w:val="21"/>
                <w:highlight w:val="none"/>
              </w:rPr>
              <w:t>住院OFD-H文书模板制作及解析服务</w:t>
            </w:r>
          </w:p>
        </w:tc>
        <w:tc>
          <w:tcPr>
            <w:tcW w:w="5460" w:type="dxa"/>
            <w:shd w:val="clear" w:color="auto" w:fill="auto"/>
          </w:tcPr>
          <w:p w14:paraId="612318B6">
            <w:pPr>
              <w:rPr>
                <w:color w:val="auto"/>
                <w:highlight w:val="none"/>
              </w:rPr>
            </w:pP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1</w:t>
            </w:r>
            <w:r>
              <w:rPr>
                <w:rFonts w:hint="eastAsia" w:ascii="宋体" w:hAnsi="宋体" w:eastAsia="宋体"/>
                <w:color w:val="auto"/>
                <w:sz w:val="21"/>
                <w:highlight w:val="none"/>
                <w:lang w:eastAsia="zh-CN"/>
              </w:rPr>
              <w:t>）</w:t>
            </w:r>
            <w:r>
              <w:rPr>
                <w:rFonts w:ascii="宋体" w:hAnsi="宋体" w:eastAsia="宋体"/>
                <w:color w:val="auto"/>
                <w:sz w:val="21"/>
                <w:highlight w:val="none"/>
              </w:rPr>
              <w:t>收集梳理HIS、LIS、EMR、PACS、护理、手麻、重症等系统的全部住院文书类型、清单、样式及流式数据文件；</w:t>
            </w:r>
          </w:p>
          <w:p w14:paraId="1790EA36">
            <w:pPr>
              <w:rPr>
                <w:rFonts w:ascii="宋体" w:hAnsi="宋体" w:eastAsia="宋体"/>
                <w:color w:val="auto"/>
                <w:sz w:val="21"/>
                <w:highlight w:val="none"/>
              </w:rPr>
            </w:pP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2</w:t>
            </w:r>
            <w:r>
              <w:rPr>
                <w:rFonts w:hint="eastAsia" w:ascii="宋体" w:hAnsi="宋体" w:eastAsia="宋体"/>
                <w:color w:val="auto"/>
                <w:sz w:val="21"/>
                <w:highlight w:val="none"/>
                <w:lang w:eastAsia="zh-CN"/>
              </w:rPr>
              <w:t>）</w:t>
            </w:r>
            <w:r>
              <w:rPr>
                <w:rFonts w:ascii="宋体" w:hAnsi="宋体" w:eastAsia="宋体"/>
                <w:color w:val="auto"/>
                <w:sz w:val="21"/>
                <w:highlight w:val="none"/>
              </w:rPr>
              <w:t>支持两种生成模式：解析流式数据结合结构化数据生成带语义的OFD-H文件、基于定制模板套打生成OFD-H文件；</w:t>
            </w:r>
          </w:p>
          <w:p w14:paraId="1D7493B6">
            <w:pPr>
              <w:rPr>
                <w:rFonts w:ascii="宋体" w:hAnsi="宋体" w:eastAsia="宋体"/>
                <w:color w:val="auto"/>
                <w:sz w:val="21"/>
                <w:highlight w:val="none"/>
              </w:rPr>
            </w:pPr>
            <w:r>
              <w:rPr>
                <w:rFonts w:hint="eastAsia" w:ascii="宋体" w:hAnsi="宋体" w:eastAsia="宋体"/>
                <w:color w:val="auto"/>
                <w:sz w:val="21"/>
                <w:highlight w:val="none"/>
                <w:lang w:val="en-US" w:eastAsia="zh-CN"/>
              </w:rPr>
              <w:t>（3）</w:t>
            </w:r>
            <w:r>
              <w:rPr>
                <w:rFonts w:hint="eastAsia" w:ascii="宋体" w:hAnsi="宋体" w:eastAsia="宋体"/>
                <w:color w:val="auto"/>
                <w:highlight w:val="none"/>
              </w:rPr>
              <w:t>通过解析文书流式数据文件，结合匹配的JSON/XML结构化数据，生成带结构化数据的OFD-H文件</w:t>
            </w:r>
            <w:r>
              <w:rPr>
                <w:rFonts w:hint="eastAsia" w:ascii="宋体" w:hAnsi="宋体" w:eastAsia="宋体"/>
                <w:color w:val="auto"/>
                <w:highlight w:val="none"/>
                <w:lang w:eastAsia="zh-CN"/>
              </w:rPr>
              <w:t>；</w:t>
            </w:r>
          </w:p>
          <w:p w14:paraId="1684253F">
            <w:pPr>
              <w:rPr>
                <w:color w:val="auto"/>
                <w:highlight w:val="none"/>
              </w:rPr>
            </w:pPr>
            <w:r>
              <w:rPr>
                <w:rFonts w:hint="eastAsia" w:ascii="宋体" w:hAnsi="宋体" w:eastAsia="宋体"/>
                <w:color w:val="auto"/>
                <w:sz w:val="21"/>
                <w:highlight w:val="none"/>
                <w:lang w:val="en-US" w:eastAsia="zh-CN"/>
              </w:rPr>
              <w:t>（4）</w:t>
            </w:r>
            <w:r>
              <w:rPr>
                <w:rFonts w:ascii="宋体" w:hAnsi="宋体" w:eastAsia="宋体"/>
                <w:color w:val="auto"/>
                <w:sz w:val="21"/>
                <w:highlight w:val="none"/>
              </w:rPr>
              <w:t xml:space="preserve"> 参照OFD-H标准制作模板，完成语义项设定与结构化数据输出，提交业务科室确认通过。</w:t>
            </w:r>
          </w:p>
        </w:tc>
      </w:tr>
      <w:tr w14:paraId="012B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78E67757">
            <w:pPr>
              <w:rPr>
                <w:rFonts w:ascii="宋体" w:hAnsi="宋体" w:eastAsia="宋体"/>
                <w:color w:val="auto"/>
                <w:sz w:val="21"/>
                <w:highlight w:val="none"/>
              </w:rPr>
            </w:pPr>
          </w:p>
          <w:p w14:paraId="014EBFE2">
            <w:pPr>
              <w:rPr>
                <w:rFonts w:ascii="宋体" w:hAnsi="宋体" w:eastAsia="宋体"/>
                <w:color w:val="auto"/>
                <w:sz w:val="21"/>
                <w:highlight w:val="none"/>
              </w:rPr>
            </w:pPr>
          </w:p>
          <w:p w14:paraId="59795291">
            <w:pPr>
              <w:rPr>
                <w:rFonts w:ascii="宋体" w:hAnsi="宋体" w:eastAsia="宋体"/>
                <w:color w:val="auto"/>
                <w:sz w:val="21"/>
                <w:highlight w:val="none"/>
              </w:rPr>
            </w:pPr>
          </w:p>
          <w:p w14:paraId="66AA937F">
            <w:pPr>
              <w:rPr>
                <w:rFonts w:ascii="宋体" w:hAnsi="宋体" w:eastAsia="宋体"/>
                <w:color w:val="auto"/>
                <w:sz w:val="21"/>
                <w:highlight w:val="none"/>
              </w:rPr>
            </w:pPr>
          </w:p>
          <w:p w14:paraId="53870E89">
            <w:pPr>
              <w:rPr>
                <w:rFonts w:ascii="宋体" w:hAnsi="宋体" w:eastAsia="宋体"/>
                <w:color w:val="auto"/>
                <w:sz w:val="21"/>
                <w:highlight w:val="none"/>
              </w:rPr>
            </w:pPr>
          </w:p>
          <w:p w14:paraId="0CAFC298">
            <w:pPr>
              <w:rPr>
                <w:rFonts w:ascii="宋体" w:hAnsi="宋体" w:eastAsia="宋体"/>
                <w:color w:val="auto"/>
                <w:sz w:val="21"/>
                <w:highlight w:val="none"/>
              </w:rPr>
            </w:pPr>
          </w:p>
          <w:p w14:paraId="1EAD448B">
            <w:pPr>
              <w:rPr>
                <w:rFonts w:ascii="宋体" w:hAnsi="宋体" w:eastAsia="宋体"/>
                <w:color w:val="auto"/>
                <w:sz w:val="21"/>
                <w:highlight w:val="none"/>
              </w:rPr>
            </w:pPr>
          </w:p>
          <w:p w14:paraId="657E8F8F">
            <w:pPr>
              <w:rPr>
                <w:rFonts w:ascii="宋体" w:hAnsi="宋体" w:eastAsia="宋体"/>
                <w:color w:val="auto"/>
                <w:sz w:val="21"/>
                <w:highlight w:val="none"/>
              </w:rPr>
            </w:pPr>
          </w:p>
          <w:p w14:paraId="2B6DA8EB">
            <w:pPr>
              <w:rPr>
                <w:rFonts w:ascii="宋体" w:hAnsi="宋体" w:eastAsia="宋体"/>
                <w:color w:val="auto"/>
                <w:sz w:val="21"/>
                <w:highlight w:val="none"/>
              </w:rPr>
            </w:pPr>
          </w:p>
          <w:p w14:paraId="529883D3">
            <w:pPr>
              <w:rPr>
                <w:rFonts w:ascii="宋体" w:hAnsi="宋体" w:eastAsia="宋体"/>
                <w:color w:val="auto"/>
                <w:sz w:val="21"/>
                <w:highlight w:val="none"/>
              </w:rPr>
            </w:pPr>
          </w:p>
          <w:p w14:paraId="64218065">
            <w:pPr>
              <w:rPr>
                <w:rFonts w:ascii="宋体" w:hAnsi="宋体" w:eastAsia="宋体"/>
                <w:color w:val="auto"/>
                <w:sz w:val="21"/>
                <w:highlight w:val="none"/>
              </w:rPr>
            </w:pPr>
          </w:p>
          <w:p w14:paraId="16B36D93">
            <w:pPr>
              <w:rPr>
                <w:rFonts w:ascii="宋体" w:hAnsi="宋体" w:eastAsia="宋体"/>
                <w:color w:val="auto"/>
                <w:sz w:val="21"/>
                <w:highlight w:val="none"/>
              </w:rPr>
            </w:pPr>
          </w:p>
          <w:p w14:paraId="7F024A98">
            <w:pPr>
              <w:rPr>
                <w:color w:val="auto"/>
                <w:highlight w:val="none"/>
              </w:rPr>
            </w:pPr>
            <w:r>
              <w:rPr>
                <w:rFonts w:ascii="宋体" w:hAnsi="宋体" w:eastAsia="宋体"/>
                <w:color w:val="auto"/>
                <w:sz w:val="21"/>
                <w:highlight w:val="none"/>
              </w:rPr>
              <w:t>三、病案检索</w:t>
            </w:r>
          </w:p>
        </w:tc>
        <w:tc>
          <w:tcPr>
            <w:tcW w:w="1570" w:type="dxa"/>
            <w:shd w:val="clear" w:color="auto" w:fill="auto"/>
          </w:tcPr>
          <w:p w14:paraId="181F5987">
            <w:pPr>
              <w:rPr>
                <w:color w:val="auto"/>
                <w:highlight w:val="none"/>
              </w:rPr>
            </w:pPr>
            <w:r>
              <w:rPr>
                <w:rFonts w:ascii="宋体" w:hAnsi="宋体" w:eastAsia="宋体"/>
                <w:color w:val="auto"/>
                <w:sz w:val="21"/>
                <w:highlight w:val="none"/>
              </w:rPr>
              <w:t>全文检索</w:t>
            </w:r>
          </w:p>
        </w:tc>
        <w:tc>
          <w:tcPr>
            <w:tcW w:w="5460" w:type="dxa"/>
            <w:shd w:val="clear" w:color="auto" w:fill="auto"/>
          </w:tcPr>
          <w:p w14:paraId="223E2AAC">
            <w:pPr>
              <w:rPr>
                <w:color w:val="auto"/>
                <w:highlight w:val="none"/>
              </w:rPr>
            </w:pPr>
            <w:r>
              <w:rPr>
                <w:rFonts w:ascii="宋体" w:hAnsi="宋体" w:eastAsia="宋体"/>
                <w:color w:val="auto"/>
                <w:sz w:val="21"/>
                <w:highlight w:val="none"/>
              </w:rPr>
              <w:t>支持基于关键词的全文检索功能，能够对病历文书进行智能分词处理；支持多关键词组合检索，关键词以空格分隔，逻辑关系为</w:t>
            </w:r>
            <w:r>
              <w:rPr>
                <w:rFonts w:hint="eastAsia" w:ascii="宋体" w:hAnsi="宋体" w:eastAsia="宋体"/>
                <w:color w:val="auto"/>
                <w:sz w:val="21"/>
                <w:highlight w:val="none"/>
                <w:lang w:eastAsia="zh-CN"/>
              </w:rPr>
              <w:t>“</w:t>
            </w:r>
            <w:r>
              <w:rPr>
                <w:rFonts w:ascii="宋体" w:hAnsi="宋体" w:eastAsia="宋体"/>
                <w:color w:val="auto"/>
                <w:sz w:val="21"/>
                <w:highlight w:val="none"/>
              </w:rPr>
              <w:t>and</w:t>
            </w:r>
            <w:r>
              <w:rPr>
                <w:rFonts w:hint="eastAsia" w:ascii="宋体" w:hAnsi="宋体" w:eastAsia="宋体"/>
                <w:color w:val="auto"/>
                <w:sz w:val="21"/>
                <w:highlight w:val="none"/>
                <w:lang w:eastAsia="zh-CN"/>
              </w:rPr>
              <w:t>”</w:t>
            </w:r>
            <w:r>
              <w:rPr>
                <w:rFonts w:ascii="宋体" w:hAnsi="宋体" w:eastAsia="宋体"/>
                <w:color w:val="auto"/>
                <w:sz w:val="21"/>
                <w:highlight w:val="none"/>
              </w:rPr>
              <w:t>（提供系统截图加盖公章）。</w:t>
            </w:r>
          </w:p>
        </w:tc>
      </w:tr>
      <w:tr w14:paraId="01F6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90899EB">
            <w:pPr>
              <w:rPr>
                <w:color w:val="auto"/>
                <w:highlight w:val="none"/>
              </w:rPr>
            </w:pPr>
          </w:p>
        </w:tc>
        <w:tc>
          <w:tcPr>
            <w:tcW w:w="1570" w:type="dxa"/>
            <w:shd w:val="clear" w:color="auto" w:fill="auto"/>
          </w:tcPr>
          <w:p w14:paraId="67254C81">
            <w:pPr>
              <w:rPr>
                <w:color w:val="auto"/>
                <w:highlight w:val="none"/>
              </w:rPr>
            </w:pPr>
            <w:r>
              <w:rPr>
                <w:rFonts w:ascii="宋体" w:hAnsi="宋体" w:eastAsia="宋体"/>
                <w:color w:val="auto"/>
                <w:sz w:val="21"/>
                <w:highlight w:val="none"/>
              </w:rPr>
              <w:t>患者姓名检索</w:t>
            </w:r>
          </w:p>
        </w:tc>
        <w:tc>
          <w:tcPr>
            <w:tcW w:w="5460" w:type="dxa"/>
            <w:shd w:val="clear" w:color="auto" w:fill="auto"/>
          </w:tcPr>
          <w:p w14:paraId="7F75A8D5">
            <w:pPr>
              <w:rPr>
                <w:color w:val="auto"/>
                <w:highlight w:val="none"/>
              </w:rPr>
            </w:pPr>
            <w:r>
              <w:rPr>
                <w:rFonts w:ascii="宋体" w:hAnsi="宋体" w:eastAsia="宋体"/>
                <w:color w:val="auto"/>
                <w:sz w:val="21"/>
                <w:highlight w:val="none"/>
              </w:rPr>
              <w:t>支持通过患者姓名进行病历检索。</w:t>
            </w:r>
          </w:p>
        </w:tc>
      </w:tr>
      <w:tr w14:paraId="6229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8A6D738">
            <w:pPr>
              <w:rPr>
                <w:color w:val="auto"/>
                <w:highlight w:val="none"/>
              </w:rPr>
            </w:pPr>
          </w:p>
        </w:tc>
        <w:tc>
          <w:tcPr>
            <w:tcW w:w="1570" w:type="dxa"/>
            <w:shd w:val="clear" w:color="auto" w:fill="auto"/>
          </w:tcPr>
          <w:p w14:paraId="3385657A">
            <w:pPr>
              <w:rPr>
                <w:color w:val="auto"/>
                <w:highlight w:val="none"/>
              </w:rPr>
            </w:pPr>
            <w:r>
              <w:rPr>
                <w:rFonts w:ascii="宋体" w:hAnsi="宋体" w:eastAsia="宋体"/>
                <w:color w:val="auto"/>
                <w:sz w:val="21"/>
                <w:highlight w:val="none"/>
              </w:rPr>
              <w:t>患者ID检索</w:t>
            </w:r>
          </w:p>
        </w:tc>
        <w:tc>
          <w:tcPr>
            <w:tcW w:w="5460" w:type="dxa"/>
            <w:shd w:val="clear" w:color="auto" w:fill="auto"/>
          </w:tcPr>
          <w:p w14:paraId="3B59BE70">
            <w:pPr>
              <w:rPr>
                <w:color w:val="auto"/>
                <w:highlight w:val="none"/>
              </w:rPr>
            </w:pPr>
            <w:r>
              <w:rPr>
                <w:rFonts w:ascii="宋体" w:hAnsi="宋体" w:eastAsia="宋体"/>
                <w:color w:val="auto"/>
                <w:sz w:val="21"/>
                <w:highlight w:val="none"/>
              </w:rPr>
              <w:t>支持通过患者标识（住院号、就诊号、患者ID）进行精准病历检索。</w:t>
            </w:r>
          </w:p>
        </w:tc>
      </w:tr>
      <w:tr w14:paraId="6085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87D4A2D">
            <w:pPr>
              <w:rPr>
                <w:color w:val="auto"/>
                <w:highlight w:val="none"/>
              </w:rPr>
            </w:pPr>
          </w:p>
        </w:tc>
        <w:tc>
          <w:tcPr>
            <w:tcW w:w="1570" w:type="dxa"/>
            <w:shd w:val="clear" w:color="auto" w:fill="auto"/>
          </w:tcPr>
          <w:p w14:paraId="7DBD4FA8">
            <w:pPr>
              <w:rPr>
                <w:color w:val="auto"/>
                <w:highlight w:val="none"/>
              </w:rPr>
            </w:pPr>
            <w:r>
              <w:rPr>
                <w:rFonts w:ascii="宋体" w:hAnsi="宋体" w:eastAsia="宋体"/>
                <w:color w:val="auto"/>
                <w:sz w:val="21"/>
                <w:highlight w:val="none"/>
              </w:rPr>
              <w:t>病案首页结构化检索</w:t>
            </w:r>
          </w:p>
        </w:tc>
        <w:tc>
          <w:tcPr>
            <w:tcW w:w="5460" w:type="dxa"/>
            <w:shd w:val="clear" w:color="auto" w:fill="auto"/>
          </w:tcPr>
          <w:p w14:paraId="796D9478">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提供基于病案首页结构化字段的高级检索功能，可自定义检索条件，支持多条件复杂逻辑组合检索，逻辑运算符支持</w:t>
            </w:r>
            <w:r>
              <w:rPr>
                <w:rFonts w:hint="eastAsia" w:ascii="宋体" w:hAnsi="宋体" w:eastAsia="宋体"/>
                <w:color w:val="auto"/>
                <w:sz w:val="21"/>
                <w:highlight w:val="none"/>
                <w:lang w:eastAsia="zh-CN"/>
              </w:rPr>
              <w:t>“</w:t>
            </w:r>
            <w:r>
              <w:rPr>
                <w:rFonts w:ascii="宋体" w:hAnsi="宋体" w:eastAsia="宋体"/>
                <w:color w:val="auto"/>
                <w:sz w:val="21"/>
                <w:highlight w:val="none"/>
              </w:rPr>
              <w:t>and</w:t>
            </w: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or</w:t>
            </w:r>
            <w:r>
              <w:rPr>
                <w:rFonts w:hint="eastAsia" w:ascii="宋体" w:hAnsi="宋体" w:eastAsia="宋体"/>
                <w:color w:val="auto"/>
                <w:sz w:val="21"/>
                <w:highlight w:val="none"/>
                <w:lang w:eastAsia="zh-CN"/>
              </w:rPr>
              <w:t>”</w:t>
            </w:r>
            <w:r>
              <w:rPr>
                <w:rFonts w:ascii="宋体" w:hAnsi="宋体" w:eastAsia="宋体"/>
                <w:color w:val="auto"/>
                <w:sz w:val="21"/>
                <w:highlight w:val="none"/>
              </w:rPr>
              <w:t>（提供系统截图加盖公章）。</w:t>
            </w:r>
          </w:p>
        </w:tc>
      </w:tr>
      <w:tr w14:paraId="18F3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5660010">
            <w:pPr>
              <w:rPr>
                <w:color w:val="auto"/>
                <w:highlight w:val="none"/>
              </w:rPr>
            </w:pPr>
          </w:p>
        </w:tc>
        <w:tc>
          <w:tcPr>
            <w:tcW w:w="1570" w:type="dxa"/>
            <w:shd w:val="clear" w:color="auto" w:fill="auto"/>
          </w:tcPr>
          <w:p w14:paraId="07158376">
            <w:pPr>
              <w:rPr>
                <w:color w:val="auto"/>
                <w:highlight w:val="none"/>
              </w:rPr>
            </w:pPr>
            <w:r>
              <w:rPr>
                <w:rFonts w:ascii="宋体" w:hAnsi="宋体" w:eastAsia="宋体"/>
                <w:color w:val="auto"/>
                <w:sz w:val="21"/>
                <w:highlight w:val="none"/>
              </w:rPr>
              <w:t>元数据检索</w:t>
            </w:r>
          </w:p>
        </w:tc>
        <w:tc>
          <w:tcPr>
            <w:tcW w:w="5460" w:type="dxa"/>
            <w:shd w:val="clear" w:color="auto" w:fill="auto"/>
          </w:tcPr>
          <w:p w14:paraId="5B81DC89">
            <w:pPr>
              <w:rPr>
                <w:color w:val="auto"/>
                <w:highlight w:val="none"/>
              </w:rPr>
            </w:pPr>
            <w:r>
              <w:rPr>
                <w:rFonts w:ascii="宋体" w:hAnsi="宋体" w:eastAsia="宋体"/>
                <w:color w:val="auto"/>
                <w:sz w:val="21"/>
                <w:highlight w:val="none"/>
              </w:rPr>
              <w:t>提供多字段逻辑组合检索，可自由选择元数据检索项构造检索式，借助字段间关系运算符与检索值限定运算符，灵活构建复杂检索表达式。</w:t>
            </w:r>
          </w:p>
        </w:tc>
      </w:tr>
      <w:tr w14:paraId="7300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2086DA8">
            <w:pPr>
              <w:rPr>
                <w:color w:val="auto"/>
                <w:highlight w:val="none"/>
              </w:rPr>
            </w:pPr>
          </w:p>
        </w:tc>
        <w:tc>
          <w:tcPr>
            <w:tcW w:w="1570" w:type="dxa"/>
            <w:shd w:val="clear" w:color="auto" w:fill="auto"/>
          </w:tcPr>
          <w:p w14:paraId="68F2C436">
            <w:pPr>
              <w:rPr>
                <w:color w:val="auto"/>
                <w:highlight w:val="none"/>
              </w:rPr>
            </w:pPr>
            <w:r>
              <w:rPr>
                <w:rFonts w:ascii="宋体" w:hAnsi="宋体" w:eastAsia="宋体"/>
                <w:color w:val="auto"/>
                <w:sz w:val="21"/>
                <w:highlight w:val="none"/>
              </w:rPr>
              <w:t>标签检索</w:t>
            </w:r>
          </w:p>
        </w:tc>
        <w:tc>
          <w:tcPr>
            <w:tcW w:w="5460" w:type="dxa"/>
            <w:shd w:val="clear" w:color="auto" w:fill="auto"/>
          </w:tcPr>
          <w:p w14:paraId="39E6F5D2">
            <w:pPr>
              <w:rPr>
                <w:color w:val="auto"/>
                <w:highlight w:val="none"/>
              </w:rPr>
            </w:pPr>
            <w:r>
              <w:rPr>
                <w:rFonts w:ascii="宋体" w:hAnsi="宋体" w:eastAsia="宋体"/>
                <w:color w:val="auto"/>
                <w:sz w:val="21"/>
                <w:highlight w:val="none"/>
              </w:rPr>
              <w:t>提供文档标签检索，支持按单个或多个标签精准筛选，快速定位对应文件。</w:t>
            </w:r>
          </w:p>
        </w:tc>
      </w:tr>
      <w:tr w14:paraId="484A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E403FCF">
            <w:pPr>
              <w:rPr>
                <w:color w:val="auto"/>
                <w:highlight w:val="none"/>
              </w:rPr>
            </w:pPr>
          </w:p>
        </w:tc>
        <w:tc>
          <w:tcPr>
            <w:tcW w:w="1570" w:type="dxa"/>
            <w:shd w:val="clear" w:color="auto" w:fill="auto"/>
          </w:tcPr>
          <w:p w14:paraId="727AB064">
            <w:pPr>
              <w:rPr>
                <w:color w:val="auto"/>
                <w:highlight w:val="none"/>
              </w:rPr>
            </w:pPr>
            <w:r>
              <w:rPr>
                <w:rFonts w:ascii="宋体" w:hAnsi="宋体" w:eastAsia="宋体"/>
                <w:color w:val="auto"/>
                <w:sz w:val="21"/>
                <w:highlight w:val="none"/>
              </w:rPr>
              <w:t>智能组合检索</w:t>
            </w:r>
          </w:p>
        </w:tc>
        <w:tc>
          <w:tcPr>
            <w:tcW w:w="5460" w:type="dxa"/>
            <w:shd w:val="clear" w:color="auto" w:fill="auto"/>
          </w:tcPr>
          <w:p w14:paraId="494E791B">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提供全文检索、元数据、标签多条件组合检索，可灵活配置条件组合，构建多层级、多维度的复杂检索表达式，实现精准高效的复合条件检索</w:t>
            </w:r>
            <w:r>
              <w:rPr>
                <w:rFonts w:hint="eastAsia" w:ascii="宋体" w:hAnsi="宋体" w:eastAsia="宋体"/>
                <w:color w:val="auto"/>
                <w:sz w:val="21"/>
                <w:highlight w:val="none"/>
                <w:lang w:eastAsia="zh-CN"/>
              </w:rPr>
              <w:t>，</w:t>
            </w:r>
            <w:r>
              <w:rPr>
                <w:rFonts w:hint="eastAsia" w:ascii="宋体" w:hAnsi="宋体" w:cs="宋体"/>
                <w:color w:val="auto"/>
                <w:highlight w:val="none"/>
                <w:lang w:eastAsia="zh-CN"/>
              </w:rPr>
              <w:t>获取高度匹配需求的目标结果</w:t>
            </w:r>
            <w:r>
              <w:rPr>
                <w:rFonts w:ascii="宋体" w:hAnsi="宋体" w:eastAsia="宋体"/>
                <w:color w:val="auto"/>
                <w:sz w:val="21"/>
                <w:highlight w:val="none"/>
              </w:rPr>
              <w:t>（提供系统截图加盖公章）。</w:t>
            </w:r>
          </w:p>
        </w:tc>
      </w:tr>
      <w:tr w14:paraId="6350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B858A8E">
            <w:pPr>
              <w:rPr>
                <w:color w:val="auto"/>
                <w:highlight w:val="none"/>
              </w:rPr>
            </w:pPr>
          </w:p>
        </w:tc>
        <w:tc>
          <w:tcPr>
            <w:tcW w:w="1570" w:type="dxa"/>
            <w:shd w:val="clear" w:color="auto" w:fill="auto"/>
          </w:tcPr>
          <w:p w14:paraId="6C178462">
            <w:pPr>
              <w:rPr>
                <w:color w:val="auto"/>
                <w:highlight w:val="none"/>
              </w:rPr>
            </w:pPr>
            <w:r>
              <w:rPr>
                <w:rFonts w:ascii="宋体" w:hAnsi="宋体" w:eastAsia="宋体"/>
                <w:color w:val="auto"/>
                <w:sz w:val="21"/>
                <w:highlight w:val="none"/>
              </w:rPr>
              <w:t>专科病历检索</w:t>
            </w:r>
          </w:p>
        </w:tc>
        <w:tc>
          <w:tcPr>
            <w:tcW w:w="5460" w:type="dxa"/>
            <w:shd w:val="clear" w:color="auto" w:fill="auto"/>
          </w:tcPr>
          <w:p w14:paraId="43257C82">
            <w:pPr>
              <w:rPr>
                <w:color w:val="auto"/>
                <w:highlight w:val="none"/>
              </w:rPr>
            </w:pPr>
            <w:r>
              <w:rPr>
                <w:rFonts w:ascii="宋体" w:hAnsi="宋体" w:eastAsia="宋体"/>
                <w:color w:val="auto"/>
                <w:sz w:val="21"/>
                <w:highlight w:val="none"/>
              </w:rPr>
              <w:t>支持按专科病种维度检索，内置专科专属检索字段，适配专科诊疗管理与科研需求。</w:t>
            </w:r>
          </w:p>
        </w:tc>
      </w:tr>
      <w:tr w14:paraId="627F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72AAF72E">
            <w:pPr>
              <w:rPr>
                <w:rFonts w:ascii="宋体" w:hAnsi="宋体" w:eastAsia="宋体"/>
                <w:color w:val="auto"/>
                <w:sz w:val="21"/>
                <w:highlight w:val="none"/>
              </w:rPr>
            </w:pPr>
          </w:p>
          <w:p w14:paraId="3917EEEB">
            <w:pPr>
              <w:rPr>
                <w:rFonts w:ascii="宋体" w:hAnsi="宋体" w:eastAsia="宋体"/>
                <w:color w:val="auto"/>
                <w:sz w:val="21"/>
                <w:highlight w:val="none"/>
              </w:rPr>
            </w:pPr>
          </w:p>
          <w:p w14:paraId="298FBEDD">
            <w:pPr>
              <w:rPr>
                <w:rFonts w:ascii="宋体" w:hAnsi="宋体" w:eastAsia="宋体"/>
                <w:color w:val="auto"/>
                <w:sz w:val="21"/>
                <w:highlight w:val="none"/>
              </w:rPr>
            </w:pPr>
          </w:p>
          <w:p w14:paraId="1F5E308A">
            <w:pPr>
              <w:rPr>
                <w:rFonts w:ascii="宋体" w:hAnsi="宋体" w:eastAsia="宋体"/>
                <w:color w:val="auto"/>
                <w:sz w:val="21"/>
                <w:highlight w:val="none"/>
              </w:rPr>
            </w:pPr>
          </w:p>
          <w:p w14:paraId="3CB8F573">
            <w:pPr>
              <w:rPr>
                <w:rFonts w:ascii="宋体" w:hAnsi="宋体" w:eastAsia="宋体"/>
                <w:color w:val="auto"/>
                <w:sz w:val="21"/>
                <w:highlight w:val="none"/>
              </w:rPr>
            </w:pPr>
          </w:p>
          <w:p w14:paraId="1E804013">
            <w:pPr>
              <w:rPr>
                <w:rFonts w:ascii="宋体" w:hAnsi="宋体" w:eastAsia="宋体"/>
                <w:color w:val="auto"/>
                <w:sz w:val="21"/>
                <w:highlight w:val="none"/>
              </w:rPr>
            </w:pPr>
          </w:p>
          <w:p w14:paraId="0C7738D4">
            <w:pPr>
              <w:rPr>
                <w:rFonts w:ascii="宋体" w:hAnsi="宋体" w:eastAsia="宋体"/>
                <w:color w:val="auto"/>
                <w:sz w:val="21"/>
                <w:highlight w:val="none"/>
              </w:rPr>
            </w:pPr>
          </w:p>
          <w:p w14:paraId="63062F71">
            <w:pPr>
              <w:rPr>
                <w:rFonts w:ascii="宋体" w:hAnsi="宋体" w:eastAsia="宋体"/>
                <w:color w:val="auto"/>
                <w:sz w:val="21"/>
                <w:highlight w:val="none"/>
              </w:rPr>
            </w:pPr>
          </w:p>
          <w:p w14:paraId="19687EA9">
            <w:pPr>
              <w:rPr>
                <w:rFonts w:ascii="宋体" w:hAnsi="宋体" w:eastAsia="宋体"/>
                <w:color w:val="auto"/>
                <w:sz w:val="21"/>
                <w:highlight w:val="none"/>
              </w:rPr>
            </w:pPr>
          </w:p>
          <w:p w14:paraId="33C07B23">
            <w:pPr>
              <w:rPr>
                <w:rFonts w:ascii="宋体" w:hAnsi="宋体" w:eastAsia="宋体"/>
                <w:color w:val="auto"/>
                <w:sz w:val="21"/>
                <w:highlight w:val="none"/>
              </w:rPr>
            </w:pPr>
          </w:p>
          <w:p w14:paraId="5DD5E7BF">
            <w:pPr>
              <w:rPr>
                <w:rFonts w:ascii="宋体" w:hAnsi="宋体" w:eastAsia="宋体"/>
                <w:color w:val="auto"/>
                <w:sz w:val="21"/>
                <w:highlight w:val="none"/>
              </w:rPr>
            </w:pPr>
            <w:r>
              <w:rPr>
                <w:rFonts w:ascii="宋体" w:hAnsi="宋体" w:eastAsia="宋体"/>
                <w:color w:val="auto"/>
                <w:sz w:val="21"/>
                <w:highlight w:val="none"/>
              </w:rPr>
              <w:t>四、OFD-H病历阅读</w:t>
            </w:r>
          </w:p>
          <w:p w14:paraId="284384E7">
            <w:pPr>
              <w:rPr>
                <w:color w:val="auto"/>
                <w:highlight w:val="none"/>
              </w:rPr>
            </w:pPr>
          </w:p>
        </w:tc>
        <w:tc>
          <w:tcPr>
            <w:tcW w:w="1570" w:type="dxa"/>
            <w:shd w:val="clear" w:color="auto" w:fill="auto"/>
          </w:tcPr>
          <w:p w14:paraId="4FC339E9">
            <w:pPr>
              <w:rPr>
                <w:color w:val="auto"/>
                <w:highlight w:val="none"/>
              </w:rPr>
            </w:pPr>
            <w:r>
              <w:rPr>
                <w:rFonts w:ascii="宋体" w:hAnsi="宋体" w:eastAsia="宋体"/>
                <w:color w:val="auto"/>
                <w:sz w:val="21"/>
                <w:highlight w:val="none"/>
              </w:rPr>
              <w:t>OFD-H基础阅读</w:t>
            </w:r>
          </w:p>
        </w:tc>
        <w:tc>
          <w:tcPr>
            <w:tcW w:w="5460" w:type="dxa"/>
            <w:shd w:val="clear" w:color="auto" w:fill="auto"/>
          </w:tcPr>
          <w:p w14:paraId="68AE43A6">
            <w:pPr>
              <w:rPr>
                <w:color w:val="auto"/>
                <w:highlight w:val="none"/>
              </w:rPr>
            </w:pPr>
            <w:r>
              <w:rPr>
                <w:rFonts w:ascii="宋体" w:hAnsi="宋体" w:eastAsia="宋体"/>
                <w:color w:val="auto"/>
                <w:sz w:val="21"/>
                <w:highlight w:val="none"/>
              </w:rPr>
              <w:t>（1）无需安装任何软件或插件，提供OFD-H文件在线阅读功能，支持翻页、缩放、目录跳转等基础阅读功能；</w:t>
            </w:r>
          </w:p>
          <w:p w14:paraId="0CF91BAC">
            <w:pPr>
              <w:rPr>
                <w:color w:val="auto"/>
                <w:highlight w:val="none"/>
              </w:rPr>
            </w:pPr>
            <w:r>
              <w:rPr>
                <w:rFonts w:ascii="宋体" w:hAnsi="宋体" w:eastAsia="宋体"/>
                <w:color w:val="auto"/>
                <w:sz w:val="21"/>
                <w:highlight w:val="none"/>
              </w:rPr>
              <w:t>（2）支持PDF、PNG、DOC等多种常见格式的在线阅读；</w:t>
            </w:r>
          </w:p>
          <w:p w14:paraId="55EAFDD5">
            <w:pPr>
              <w:rPr>
                <w:color w:val="auto"/>
                <w:highlight w:val="none"/>
              </w:rPr>
            </w:pPr>
            <w:r>
              <w:rPr>
                <w:rFonts w:ascii="宋体" w:hAnsi="宋体" w:eastAsia="宋体"/>
                <w:color w:val="auto"/>
                <w:sz w:val="21"/>
                <w:highlight w:val="none"/>
              </w:rPr>
              <w:t>（3）支持大文件病历内容按需分页推送，保障大文件加载流畅。</w:t>
            </w:r>
          </w:p>
        </w:tc>
      </w:tr>
      <w:tr w14:paraId="32C1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8CAC6C5">
            <w:pPr>
              <w:rPr>
                <w:color w:val="auto"/>
                <w:highlight w:val="none"/>
              </w:rPr>
            </w:pPr>
          </w:p>
        </w:tc>
        <w:tc>
          <w:tcPr>
            <w:tcW w:w="1570" w:type="dxa"/>
            <w:shd w:val="clear" w:color="auto" w:fill="auto"/>
          </w:tcPr>
          <w:p w14:paraId="370A0195">
            <w:pPr>
              <w:rPr>
                <w:color w:val="auto"/>
                <w:highlight w:val="none"/>
              </w:rPr>
            </w:pPr>
            <w:r>
              <w:rPr>
                <w:rFonts w:ascii="宋体" w:hAnsi="宋体" w:eastAsia="宋体"/>
                <w:color w:val="auto"/>
                <w:sz w:val="21"/>
                <w:highlight w:val="none"/>
              </w:rPr>
              <w:t>高级阅读能力</w:t>
            </w:r>
          </w:p>
        </w:tc>
        <w:tc>
          <w:tcPr>
            <w:tcW w:w="5460" w:type="dxa"/>
            <w:shd w:val="clear" w:color="auto" w:fill="auto"/>
          </w:tcPr>
          <w:p w14:paraId="667DAD34">
            <w:pPr>
              <w:rPr>
                <w:color w:val="auto"/>
                <w:highlight w:val="none"/>
              </w:rPr>
            </w:pPr>
            <w:r>
              <w:rPr>
                <w:rFonts w:ascii="宋体" w:hAnsi="宋体" w:eastAsia="宋体"/>
                <w:color w:val="auto"/>
                <w:sz w:val="21"/>
                <w:highlight w:val="none"/>
              </w:rPr>
              <w:t>（1）</w:t>
            </w:r>
            <w:r>
              <w:rPr>
                <w:rFonts w:hint="eastAsia" w:ascii="宋体" w:hAnsi="宋体" w:eastAsia="宋体"/>
                <w:color w:val="auto"/>
                <w:sz w:val="21"/>
                <w:highlight w:val="none"/>
                <w:lang w:eastAsia="zh-CN"/>
              </w:rPr>
              <w:t>△</w:t>
            </w:r>
            <w:r>
              <w:rPr>
                <w:rFonts w:ascii="宋体" w:hAnsi="宋体" w:eastAsia="宋体"/>
                <w:color w:val="auto"/>
                <w:sz w:val="21"/>
                <w:highlight w:val="none"/>
              </w:rPr>
              <w:t>具备文件内容选择与复制功能，支持目录、语义、数字签名和附件导览（提供系统截图加盖公章）；</w:t>
            </w:r>
          </w:p>
          <w:p w14:paraId="56F5FD31">
            <w:pPr>
              <w:rPr>
                <w:color w:val="auto"/>
                <w:highlight w:val="none"/>
              </w:rPr>
            </w:pPr>
            <w:r>
              <w:rPr>
                <w:rFonts w:ascii="宋体" w:hAnsi="宋体" w:eastAsia="宋体"/>
                <w:color w:val="auto"/>
                <w:sz w:val="21"/>
                <w:highlight w:val="none"/>
              </w:rPr>
              <w:t>（2）支持按文件维度展示检索结果，同步展示文件关联的患者信息、附件信息；</w:t>
            </w:r>
          </w:p>
          <w:p w14:paraId="277D01E2">
            <w:pPr>
              <w:rPr>
                <w:color w:val="auto"/>
                <w:highlight w:val="none"/>
              </w:rPr>
            </w:pPr>
            <w:r>
              <w:rPr>
                <w:rFonts w:ascii="宋体" w:hAnsi="宋体" w:eastAsia="宋体"/>
                <w:color w:val="auto"/>
                <w:sz w:val="21"/>
                <w:highlight w:val="none"/>
              </w:rPr>
              <w:t>（3）支持以患者为核心的全量文档按时间轴展示，历史纸质病历数字化处理后可合并展示。</w:t>
            </w:r>
          </w:p>
          <w:p w14:paraId="072A4223">
            <w:pPr>
              <w:rPr>
                <w:color w:val="auto"/>
                <w:highlight w:val="none"/>
              </w:rPr>
            </w:pPr>
            <w:r>
              <w:rPr>
                <w:rFonts w:ascii="宋体" w:hAnsi="宋体" w:eastAsia="宋体"/>
                <w:color w:val="auto"/>
                <w:highlight w:val="none"/>
              </w:rPr>
              <w:t>（4）支持患者维度展示文档时的触发比照阅读功能，以同屏双栏的形式分别调阅患者历次病历文档进行比照。</w:t>
            </w:r>
          </w:p>
        </w:tc>
      </w:tr>
      <w:tr w14:paraId="3E7F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A2631A4">
            <w:pPr>
              <w:rPr>
                <w:color w:val="auto"/>
                <w:highlight w:val="none"/>
              </w:rPr>
            </w:pPr>
          </w:p>
        </w:tc>
        <w:tc>
          <w:tcPr>
            <w:tcW w:w="1570" w:type="dxa"/>
            <w:shd w:val="clear" w:color="auto" w:fill="auto"/>
          </w:tcPr>
          <w:p w14:paraId="6F1784B6">
            <w:pPr>
              <w:rPr>
                <w:color w:val="auto"/>
                <w:highlight w:val="none"/>
              </w:rPr>
            </w:pPr>
            <w:r>
              <w:rPr>
                <w:rFonts w:ascii="宋体" w:hAnsi="宋体" w:eastAsia="宋体"/>
                <w:color w:val="auto"/>
                <w:sz w:val="21"/>
                <w:highlight w:val="none"/>
              </w:rPr>
              <w:t>安全阅读管控</w:t>
            </w:r>
          </w:p>
        </w:tc>
        <w:tc>
          <w:tcPr>
            <w:tcW w:w="5460" w:type="dxa"/>
            <w:shd w:val="clear" w:color="auto" w:fill="auto"/>
          </w:tcPr>
          <w:p w14:paraId="7208355F">
            <w:pPr>
              <w:rPr>
                <w:color w:val="auto"/>
                <w:highlight w:val="none"/>
              </w:rPr>
            </w:pPr>
            <w:r>
              <w:rPr>
                <w:rFonts w:ascii="宋体" w:hAnsi="宋体" w:eastAsia="宋体"/>
                <w:color w:val="auto"/>
                <w:sz w:val="21"/>
                <w:highlight w:val="none"/>
              </w:rPr>
              <w:t>（1）</w:t>
            </w:r>
            <w:r>
              <w:rPr>
                <w:rFonts w:hint="eastAsia" w:ascii="宋体" w:hAnsi="宋体" w:eastAsia="宋体"/>
                <w:color w:val="auto"/>
                <w:sz w:val="21"/>
                <w:highlight w:val="none"/>
                <w:lang w:eastAsia="zh-CN"/>
              </w:rPr>
              <w:t>△</w:t>
            </w:r>
            <w:r>
              <w:rPr>
                <w:rFonts w:ascii="宋体" w:hAnsi="宋体" w:eastAsia="宋体"/>
                <w:color w:val="auto"/>
                <w:sz w:val="21"/>
                <w:highlight w:val="none"/>
              </w:rPr>
              <w:t>浏览电子病历时，自动依据脱敏规则对患者敏感信息进行脱敏处理（提供系统截图加盖公章）；</w:t>
            </w:r>
          </w:p>
          <w:p w14:paraId="6DEABFE8">
            <w:pPr>
              <w:rPr>
                <w:color w:val="auto"/>
                <w:highlight w:val="none"/>
              </w:rPr>
            </w:pPr>
            <w:r>
              <w:rPr>
                <w:rFonts w:ascii="宋体" w:hAnsi="宋体" w:eastAsia="宋体"/>
                <w:color w:val="auto"/>
                <w:sz w:val="21"/>
                <w:highlight w:val="none"/>
              </w:rPr>
              <w:t>（2）</w:t>
            </w:r>
            <w:r>
              <w:rPr>
                <w:rFonts w:hint="eastAsia" w:ascii="宋体" w:hAnsi="宋体" w:eastAsia="宋体"/>
                <w:color w:val="auto"/>
                <w:sz w:val="21"/>
                <w:highlight w:val="none"/>
                <w:lang w:eastAsia="zh-CN"/>
              </w:rPr>
              <w:t>△</w:t>
            </w:r>
            <w:r>
              <w:rPr>
                <w:rFonts w:ascii="宋体" w:hAnsi="宋体" w:eastAsia="宋体"/>
                <w:color w:val="auto"/>
                <w:sz w:val="21"/>
                <w:highlight w:val="none"/>
              </w:rPr>
              <w:t>支持操作用户浏览病历时自动加载动态阅读水印，水印包含操作</w:t>
            </w:r>
            <w:r>
              <w:rPr>
                <w:rFonts w:hint="eastAsia" w:ascii="宋体" w:hAnsi="宋体" w:eastAsia="宋体"/>
                <w:color w:val="auto"/>
                <w:sz w:val="21"/>
                <w:highlight w:val="none"/>
                <w:lang w:eastAsia="zh-CN"/>
              </w:rPr>
              <w:t>人员</w:t>
            </w:r>
            <w:r>
              <w:rPr>
                <w:rFonts w:ascii="宋体" w:hAnsi="宋体" w:eastAsia="宋体"/>
                <w:color w:val="auto"/>
                <w:sz w:val="21"/>
                <w:highlight w:val="none"/>
              </w:rPr>
              <w:t>、时间、IP等信息（提供系统截图加盖公章）。</w:t>
            </w:r>
          </w:p>
        </w:tc>
      </w:tr>
      <w:tr w14:paraId="6967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57D24C2">
            <w:pPr>
              <w:rPr>
                <w:color w:val="auto"/>
                <w:highlight w:val="none"/>
              </w:rPr>
            </w:pPr>
          </w:p>
        </w:tc>
        <w:tc>
          <w:tcPr>
            <w:tcW w:w="1570" w:type="dxa"/>
            <w:shd w:val="clear" w:color="auto" w:fill="auto"/>
          </w:tcPr>
          <w:p w14:paraId="3BC8E9BB">
            <w:pPr>
              <w:rPr>
                <w:color w:val="auto"/>
                <w:highlight w:val="none"/>
              </w:rPr>
            </w:pPr>
            <w:r>
              <w:rPr>
                <w:rFonts w:ascii="宋体" w:hAnsi="宋体" w:eastAsia="宋体"/>
                <w:color w:val="auto"/>
                <w:sz w:val="21"/>
                <w:highlight w:val="none"/>
              </w:rPr>
              <w:t>签名验签能力</w:t>
            </w:r>
          </w:p>
        </w:tc>
        <w:tc>
          <w:tcPr>
            <w:tcW w:w="5460" w:type="dxa"/>
            <w:shd w:val="clear" w:color="auto" w:fill="auto"/>
          </w:tcPr>
          <w:p w14:paraId="0AE21F0B">
            <w:pPr>
              <w:rPr>
                <w:color w:val="auto"/>
                <w:highlight w:val="none"/>
              </w:rPr>
            </w:pPr>
            <w:r>
              <w:rPr>
                <w:rFonts w:hint="eastAsia" w:ascii="宋体" w:hAnsi="宋体" w:eastAsia="宋体"/>
                <w:color w:val="auto"/>
                <w:sz w:val="21"/>
                <w:highlight w:val="none"/>
                <w:lang w:eastAsia="zh-CN"/>
              </w:rPr>
              <w:t>△（1）</w:t>
            </w:r>
            <w:r>
              <w:rPr>
                <w:rFonts w:ascii="宋体" w:hAnsi="宋体" w:eastAsia="宋体"/>
                <w:color w:val="auto"/>
                <w:sz w:val="21"/>
                <w:highlight w:val="none"/>
              </w:rPr>
              <w:t>具备基于OFD-H病历+国密算法电子签章的离线验证功能，无需依赖业务系统即可独立验证签名有效性与文件完整性（提供系统截图加盖公章）。</w:t>
            </w:r>
          </w:p>
          <w:p w14:paraId="29963DED">
            <w:pPr>
              <w:rPr>
                <w:color w:val="auto"/>
                <w:highlight w:val="none"/>
              </w:rPr>
            </w:pPr>
            <w:r>
              <w:rPr>
                <w:rFonts w:ascii="宋体" w:hAnsi="宋体" w:eastAsia="宋体"/>
                <w:color w:val="auto"/>
                <w:highlight w:val="none"/>
              </w:rPr>
              <w:t>（2）支持对接第三方CA系统与电子签章系统，自身支持绝对坐标、关键字、骑缝章盖章功能。</w:t>
            </w:r>
          </w:p>
        </w:tc>
      </w:tr>
      <w:tr w14:paraId="5045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1DE988BB">
            <w:pPr>
              <w:rPr>
                <w:color w:val="auto"/>
                <w:highlight w:val="none"/>
              </w:rPr>
            </w:pPr>
          </w:p>
        </w:tc>
        <w:tc>
          <w:tcPr>
            <w:tcW w:w="1570" w:type="dxa"/>
            <w:shd w:val="clear" w:color="auto" w:fill="auto"/>
          </w:tcPr>
          <w:p w14:paraId="2EA40E78">
            <w:pPr>
              <w:rPr>
                <w:color w:val="auto"/>
                <w:highlight w:val="none"/>
              </w:rPr>
            </w:pPr>
            <w:r>
              <w:rPr>
                <w:rFonts w:ascii="宋体" w:hAnsi="宋体" w:eastAsia="宋体"/>
                <w:color w:val="auto"/>
                <w:sz w:val="21"/>
                <w:highlight w:val="none"/>
              </w:rPr>
              <w:t>移动端阅读</w:t>
            </w:r>
          </w:p>
        </w:tc>
        <w:tc>
          <w:tcPr>
            <w:tcW w:w="5460" w:type="dxa"/>
            <w:shd w:val="clear" w:color="auto" w:fill="auto"/>
          </w:tcPr>
          <w:p w14:paraId="3E209B20">
            <w:pPr>
              <w:rPr>
                <w:color w:val="auto"/>
                <w:highlight w:val="none"/>
              </w:rPr>
            </w:pPr>
            <w:r>
              <w:rPr>
                <w:rFonts w:ascii="宋体" w:hAnsi="宋体" w:eastAsia="宋体"/>
                <w:color w:val="auto"/>
                <w:sz w:val="21"/>
                <w:highlight w:val="none"/>
              </w:rPr>
              <w:t>提供移动端浏览组件，支持与</w:t>
            </w:r>
            <w:r>
              <w:rPr>
                <w:rFonts w:hint="eastAsia" w:ascii="宋体" w:hAnsi="宋体" w:eastAsia="宋体"/>
                <w:color w:val="auto"/>
                <w:sz w:val="21"/>
                <w:highlight w:val="none"/>
                <w:lang w:val="en-US" w:eastAsia="zh-CN"/>
              </w:rPr>
              <w:t>互联网医院</w:t>
            </w:r>
            <w:r>
              <w:rPr>
                <w:rFonts w:ascii="宋体" w:hAnsi="宋体" w:eastAsia="宋体"/>
                <w:color w:val="auto"/>
                <w:sz w:val="21"/>
                <w:highlight w:val="none"/>
              </w:rPr>
              <w:t>无缝集成，患者可在移动端原版原式浏览OFD-H格式病案。</w:t>
            </w:r>
          </w:p>
        </w:tc>
      </w:tr>
      <w:tr w14:paraId="0250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208E1DCC">
            <w:pPr>
              <w:rPr>
                <w:rFonts w:ascii="宋体" w:hAnsi="宋体" w:eastAsia="宋体"/>
                <w:color w:val="auto"/>
                <w:sz w:val="21"/>
                <w:highlight w:val="none"/>
              </w:rPr>
            </w:pPr>
          </w:p>
          <w:p w14:paraId="593891E9">
            <w:pPr>
              <w:rPr>
                <w:rFonts w:ascii="宋体" w:hAnsi="宋体" w:eastAsia="宋体"/>
                <w:color w:val="auto"/>
                <w:sz w:val="21"/>
                <w:highlight w:val="none"/>
              </w:rPr>
            </w:pPr>
          </w:p>
          <w:p w14:paraId="5C71C0D1">
            <w:pPr>
              <w:rPr>
                <w:rFonts w:ascii="宋体" w:hAnsi="宋体" w:eastAsia="宋体"/>
                <w:color w:val="auto"/>
                <w:sz w:val="21"/>
                <w:highlight w:val="none"/>
              </w:rPr>
            </w:pPr>
          </w:p>
          <w:p w14:paraId="75D7EEDE">
            <w:pPr>
              <w:rPr>
                <w:rFonts w:ascii="宋体" w:hAnsi="宋体" w:eastAsia="宋体"/>
                <w:color w:val="auto"/>
                <w:sz w:val="21"/>
                <w:highlight w:val="none"/>
              </w:rPr>
            </w:pPr>
          </w:p>
          <w:p w14:paraId="3D4733BF">
            <w:pPr>
              <w:rPr>
                <w:rFonts w:ascii="宋体" w:hAnsi="宋体" w:eastAsia="宋体"/>
                <w:color w:val="auto"/>
                <w:sz w:val="21"/>
                <w:highlight w:val="none"/>
              </w:rPr>
            </w:pPr>
          </w:p>
          <w:p w14:paraId="3D8644AC">
            <w:pPr>
              <w:rPr>
                <w:rFonts w:ascii="宋体" w:hAnsi="宋体" w:eastAsia="宋体"/>
                <w:color w:val="auto"/>
                <w:sz w:val="21"/>
                <w:highlight w:val="none"/>
              </w:rPr>
            </w:pPr>
          </w:p>
          <w:p w14:paraId="43C50BCB">
            <w:pPr>
              <w:rPr>
                <w:color w:val="auto"/>
                <w:highlight w:val="none"/>
              </w:rPr>
            </w:pPr>
            <w:r>
              <w:rPr>
                <w:rFonts w:ascii="宋体" w:hAnsi="宋体" w:eastAsia="宋体"/>
                <w:color w:val="auto"/>
                <w:sz w:val="21"/>
                <w:highlight w:val="none"/>
              </w:rPr>
              <w:t>五、OFD-H文件调用</w:t>
            </w:r>
          </w:p>
        </w:tc>
        <w:tc>
          <w:tcPr>
            <w:tcW w:w="1570" w:type="dxa"/>
            <w:shd w:val="clear" w:color="auto" w:fill="auto"/>
          </w:tcPr>
          <w:p w14:paraId="692A1B82">
            <w:pPr>
              <w:rPr>
                <w:color w:val="auto"/>
                <w:highlight w:val="none"/>
              </w:rPr>
            </w:pPr>
            <w:r>
              <w:rPr>
                <w:rFonts w:ascii="宋体" w:hAnsi="宋体" w:eastAsia="宋体"/>
                <w:color w:val="auto"/>
                <w:sz w:val="21"/>
                <w:highlight w:val="none"/>
              </w:rPr>
              <w:t>标准化调用接口</w:t>
            </w:r>
          </w:p>
        </w:tc>
        <w:tc>
          <w:tcPr>
            <w:tcW w:w="5460" w:type="dxa"/>
            <w:shd w:val="clear" w:color="auto" w:fill="auto"/>
          </w:tcPr>
          <w:p w14:paraId="671F4C95">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（1）系统产生的OFD-H病案文书满足</w:t>
            </w:r>
            <w:r>
              <w:rPr>
                <w:rFonts w:hint="eastAsia" w:ascii="宋体" w:hAnsi="宋体" w:eastAsia="宋体"/>
                <w:color w:val="auto"/>
                <w:sz w:val="21"/>
                <w:highlight w:val="none"/>
                <w:lang w:eastAsia="zh-CN"/>
              </w:rPr>
              <w:t>“</w:t>
            </w:r>
            <w:r>
              <w:rPr>
                <w:rFonts w:ascii="宋体" w:hAnsi="宋体" w:eastAsia="宋体"/>
                <w:color w:val="auto"/>
                <w:sz w:val="21"/>
                <w:highlight w:val="none"/>
              </w:rPr>
              <w:t>数据+版式文件</w:t>
            </w:r>
            <w:r>
              <w:rPr>
                <w:rFonts w:hint="eastAsia" w:ascii="宋体" w:hAnsi="宋体" w:eastAsia="宋体"/>
                <w:color w:val="auto"/>
                <w:sz w:val="21"/>
                <w:highlight w:val="none"/>
                <w:lang w:eastAsia="zh-CN"/>
              </w:rPr>
              <w:t>”</w:t>
            </w:r>
            <w:r>
              <w:rPr>
                <w:rFonts w:ascii="宋体" w:hAnsi="宋体" w:eastAsia="宋体"/>
                <w:color w:val="auto"/>
                <w:sz w:val="21"/>
                <w:highlight w:val="none"/>
              </w:rPr>
              <w:t>双架构要求，结构化数据与版式文件绑定封装（提供系统截图加盖公章）；</w:t>
            </w:r>
          </w:p>
          <w:p w14:paraId="167AD8FD">
            <w:pPr>
              <w:rPr>
                <w:color w:val="auto"/>
                <w:highlight w:val="none"/>
              </w:rPr>
            </w:pPr>
            <w:r>
              <w:rPr>
                <w:rFonts w:ascii="宋体" w:hAnsi="宋体" w:eastAsia="宋体"/>
                <w:color w:val="auto"/>
                <w:sz w:val="21"/>
                <w:highlight w:val="none"/>
              </w:rPr>
              <w:t>（2）提供标准API接口，支持院内其他系统申请接入，注册授权后可调用OFD-H文件预览组件，嵌入临床业务系统提供浏览服务。</w:t>
            </w:r>
          </w:p>
        </w:tc>
      </w:tr>
      <w:tr w14:paraId="143D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79B3FC0">
            <w:pPr>
              <w:rPr>
                <w:color w:val="auto"/>
                <w:highlight w:val="none"/>
              </w:rPr>
            </w:pPr>
          </w:p>
        </w:tc>
        <w:tc>
          <w:tcPr>
            <w:tcW w:w="1570" w:type="dxa"/>
            <w:shd w:val="clear" w:color="auto" w:fill="auto"/>
          </w:tcPr>
          <w:p w14:paraId="5103A014">
            <w:pPr>
              <w:rPr>
                <w:color w:val="auto"/>
                <w:highlight w:val="none"/>
              </w:rPr>
            </w:pPr>
            <w:r>
              <w:rPr>
                <w:rFonts w:ascii="宋体" w:hAnsi="宋体" w:eastAsia="宋体"/>
                <w:color w:val="auto"/>
                <w:sz w:val="21"/>
                <w:highlight w:val="none"/>
              </w:rPr>
              <w:t>多场景调用支持</w:t>
            </w:r>
          </w:p>
        </w:tc>
        <w:tc>
          <w:tcPr>
            <w:tcW w:w="5460" w:type="dxa"/>
            <w:shd w:val="clear" w:color="auto" w:fill="auto"/>
          </w:tcPr>
          <w:p w14:paraId="3EFD09E8">
            <w:pPr>
              <w:rPr>
                <w:color w:val="auto"/>
                <w:highlight w:val="none"/>
              </w:rPr>
            </w:pPr>
            <w:r>
              <w:rPr>
                <w:rFonts w:ascii="宋体" w:hAnsi="宋体" w:eastAsia="宋体"/>
                <w:color w:val="auto"/>
                <w:sz w:val="21"/>
                <w:highlight w:val="none"/>
              </w:rPr>
              <w:t>（1）支持按就诊、文档、患者等多维度进行OFD-H调阅，预览页面可嵌入临床医师工作站、护士站等业务系统；</w:t>
            </w:r>
          </w:p>
          <w:p w14:paraId="30B82AFA">
            <w:pPr>
              <w:rPr>
                <w:rFonts w:hint="eastAsia" w:eastAsia="宋体"/>
                <w:color w:val="auto"/>
                <w:highlight w:val="none"/>
                <w:lang w:eastAsia="zh-CN"/>
              </w:rPr>
            </w:pPr>
            <w:r>
              <w:rPr>
                <w:rFonts w:ascii="宋体" w:hAnsi="宋体" w:eastAsia="宋体"/>
                <w:color w:val="auto"/>
                <w:sz w:val="21"/>
                <w:highlight w:val="none"/>
              </w:rPr>
              <w:t>（2）支持临床书写病历时直接引用院内 OFD-H病案内容；引用院外 OFD 病案内容时，须经患者授权后方可调阅引用，引用内容标注来源机构与时间。</w:t>
            </w:r>
          </w:p>
        </w:tc>
      </w:tr>
      <w:tr w14:paraId="29DE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FB8EF0F">
            <w:pPr>
              <w:rPr>
                <w:color w:val="auto"/>
                <w:highlight w:val="none"/>
              </w:rPr>
            </w:pPr>
          </w:p>
        </w:tc>
        <w:tc>
          <w:tcPr>
            <w:tcW w:w="1570" w:type="dxa"/>
            <w:shd w:val="clear" w:color="auto" w:fill="auto"/>
          </w:tcPr>
          <w:p w14:paraId="5871AA54">
            <w:pPr>
              <w:rPr>
                <w:color w:val="auto"/>
                <w:highlight w:val="none"/>
              </w:rPr>
            </w:pPr>
            <w:r>
              <w:rPr>
                <w:rFonts w:ascii="宋体" w:hAnsi="宋体" w:eastAsia="宋体"/>
                <w:color w:val="auto"/>
                <w:sz w:val="21"/>
                <w:highlight w:val="none"/>
              </w:rPr>
              <w:t>调用安全管控</w:t>
            </w:r>
          </w:p>
        </w:tc>
        <w:tc>
          <w:tcPr>
            <w:tcW w:w="5460" w:type="dxa"/>
            <w:shd w:val="clear" w:color="auto" w:fill="auto"/>
          </w:tcPr>
          <w:p w14:paraId="212BBE22">
            <w:pPr>
              <w:rPr>
                <w:color w:val="auto"/>
                <w:highlight w:val="none"/>
              </w:rPr>
            </w:pPr>
            <w:r>
              <w:rPr>
                <w:rFonts w:ascii="宋体" w:hAnsi="宋体" w:eastAsia="宋体"/>
                <w:color w:val="auto"/>
                <w:sz w:val="21"/>
                <w:highlight w:val="none"/>
              </w:rPr>
              <w:t>（1）支持链接加密、OFD-H文件权限写入等安全管控机制，确保文件调用安全可控；</w:t>
            </w:r>
          </w:p>
          <w:p w14:paraId="68FE968B">
            <w:pPr>
              <w:rPr>
                <w:color w:val="auto"/>
                <w:highlight w:val="none"/>
              </w:rPr>
            </w:pPr>
            <w:r>
              <w:rPr>
                <w:rFonts w:ascii="宋体" w:hAnsi="宋体" w:eastAsia="宋体"/>
                <w:color w:val="auto"/>
                <w:sz w:val="21"/>
                <w:highlight w:val="none"/>
              </w:rPr>
              <w:t>（2）针对所有OFD-H文件调用操作，完整记录调用日志，提供可视化调用日志查询界面。</w:t>
            </w:r>
          </w:p>
        </w:tc>
      </w:tr>
      <w:tr w14:paraId="2160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36CD6C5E">
            <w:pPr>
              <w:rPr>
                <w:rFonts w:ascii="宋体" w:hAnsi="宋体" w:eastAsia="宋体"/>
                <w:color w:val="auto"/>
                <w:sz w:val="21"/>
                <w:highlight w:val="none"/>
              </w:rPr>
            </w:pPr>
          </w:p>
          <w:p w14:paraId="1FE06616">
            <w:pPr>
              <w:rPr>
                <w:rFonts w:ascii="宋体" w:hAnsi="宋体" w:eastAsia="宋体"/>
                <w:color w:val="auto"/>
                <w:sz w:val="21"/>
                <w:highlight w:val="none"/>
              </w:rPr>
            </w:pPr>
          </w:p>
          <w:p w14:paraId="752C1589">
            <w:pPr>
              <w:rPr>
                <w:rFonts w:ascii="宋体" w:hAnsi="宋体" w:eastAsia="宋体"/>
                <w:color w:val="auto"/>
                <w:sz w:val="21"/>
                <w:highlight w:val="none"/>
              </w:rPr>
            </w:pPr>
          </w:p>
          <w:p w14:paraId="517BEA02">
            <w:pPr>
              <w:rPr>
                <w:rFonts w:ascii="宋体" w:hAnsi="宋体" w:eastAsia="宋体"/>
                <w:color w:val="auto"/>
                <w:sz w:val="21"/>
                <w:highlight w:val="none"/>
              </w:rPr>
            </w:pPr>
          </w:p>
          <w:p w14:paraId="7AB4B58A">
            <w:pPr>
              <w:rPr>
                <w:rFonts w:ascii="宋体" w:hAnsi="宋体" w:eastAsia="宋体"/>
                <w:color w:val="auto"/>
                <w:sz w:val="21"/>
                <w:highlight w:val="none"/>
              </w:rPr>
            </w:pPr>
          </w:p>
          <w:p w14:paraId="7F24C120">
            <w:pPr>
              <w:rPr>
                <w:rFonts w:ascii="宋体" w:hAnsi="宋体" w:eastAsia="宋体"/>
                <w:color w:val="auto"/>
                <w:sz w:val="21"/>
                <w:highlight w:val="none"/>
              </w:rPr>
            </w:pPr>
          </w:p>
          <w:p w14:paraId="525A1A05">
            <w:pPr>
              <w:rPr>
                <w:rFonts w:ascii="宋体" w:hAnsi="宋体" w:eastAsia="宋体"/>
                <w:color w:val="auto"/>
                <w:sz w:val="21"/>
                <w:highlight w:val="none"/>
              </w:rPr>
            </w:pPr>
          </w:p>
          <w:p w14:paraId="0A85C118">
            <w:pPr>
              <w:rPr>
                <w:rFonts w:ascii="宋体" w:hAnsi="宋体" w:eastAsia="宋体"/>
                <w:color w:val="auto"/>
                <w:sz w:val="21"/>
                <w:highlight w:val="none"/>
              </w:rPr>
            </w:pPr>
          </w:p>
          <w:p w14:paraId="5724B392">
            <w:pPr>
              <w:rPr>
                <w:rFonts w:ascii="宋体" w:hAnsi="宋体" w:eastAsia="宋体"/>
                <w:color w:val="auto"/>
                <w:sz w:val="21"/>
                <w:highlight w:val="none"/>
              </w:rPr>
            </w:pPr>
            <w:r>
              <w:rPr>
                <w:rFonts w:ascii="宋体" w:hAnsi="宋体" w:eastAsia="宋体"/>
                <w:color w:val="auto"/>
                <w:sz w:val="21"/>
                <w:highlight w:val="none"/>
              </w:rPr>
              <w:t>六、借阅管理</w:t>
            </w:r>
          </w:p>
          <w:p w14:paraId="5BC83514">
            <w:pPr>
              <w:rPr>
                <w:color w:val="auto"/>
                <w:highlight w:val="none"/>
              </w:rPr>
            </w:pPr>
          </w:p>
        </w:tc>
        <w:tc>
          <w:tcPr>
            <w:tcW w:w="1570" w:type="dxa"/>
            <w:shd w:val="clear" w:color="auto" w:fill="auto"/>
          </w:tcPr>
          <w:p w14:paraId="399D5CBB">
            <w:pPr>
              <w:rPr>
                <w:color w:val="auto"/>
                <w:highlight w:val="none"/>
              </w:rPr>
            </w:pPr>
            <w:r>
              <w:rPr>
                <w:rFonts w:ascii="宋体" w:hAnsi="宋体" w:eastAsia="宋体"/>
                <w:color w:val="auto"/>
                <w:sz w:val="21"/>
                <w:highlight w:val="none"/>
              </w:rPr>
              <w:t>借阅申请管理</w:t>
            </w:r>
          </w:p>
        </w:tc>
        <w:tc>
          <w:tcPr>
            <w:tcW w:w="5460" w:type="dxa"/>
            <w:shd w:val="clear" w:color="auto" w:fill="auto"/>
          </w:tcPr>
          <w:p w14:paraId="75EFB509">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（1）针对系统内OFD-H文件具备完善的分级访问控制，对无权限查看的文件提供借阅功能，经审批通过后方可查看，支持同时申请下载、打印权限（提供系统截图加盖公章）；</w:t>
            </w:r>
          </w:p>
          <w:p w14:paraId="2EFBB785">
            <w:pPr>
              <w:rPr>
                <w:color w:val="auto"/>
                <w:highlight w:val="none"/>
              </w:rPr>
            </w:pPr>
            <w:r>
              <w:rPr>
                <w:rFonts w:ascii="宋体" w:hAnsi="宋体" w:eastAsia="宋体"/>
                <w:color w:val="auto"/>
                <w:sz w:val="21"/>
                <w:highlight w:val="none"/>
              </w:rPr>
              <w:t>（2）支持批量借阅多份文档，支持按患者就诊维度批量借阅文件；</w:t>
            </w:r>
          </w:p>
          <w:p w14:paraId="62779F16">
            <w:pPr>
              <w:rPr>
                <w:color w:val="auto"/>
                <w:highlight w:val="none"/>
              </w:rPr>
            </w:pPr>
            <w:r>
              <w:rPr>
                <w:rFonts w:ascii="宋体" w:hAnsi="宋体" w:eastAsia="宋体"/>
                <w:color w:val="auto"/>
                <w:sz w:val="21"/>
                <w:highlight w:val="none"/>
              </w:rPr>
              <w:t>（3）借阅申请支持填写借阅目的、原因、时长，可上传佐证材料。</w:t>
            </w:r>
          </w:p>
        </w:tc>
      </w:tr>
      <w:tr w14:paraId="115D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C39C1A7">
            <w:pPr>
              <w:rPr>
                <w:color w:val="auto"/>
                <w:highlight w:val="none"/>
              </w:rPr>
            </w:pPr>
          </w:p>
        </w:tc>
        <w:tc>
          <w:tcPr>
            <w:tcW w:w="1570" w:type="dxa"/>
            <w:shd w:val="clear" w:color="auto" w:fill="auto"/>
          </w:tcPr>
          <w:p w14:paraId="75F01742">
            <w:pPr>
              <w:rPr>
                <w:color w:val="auto"/>
                <w:highlight w:val="none"/>
              </w:rPr>
            </w:pPr>
            <w:r>
              <w:rPr>
                <w:rFonts w:ascii="宋体" w:hAnsi="宋体" w:eastAsia="宋体"/>
                <w:color w:val="auto"/>
                <w:sz w:val="21"/>
                <w:highlight w:val="none"/>
              </w:rPr>
              <w:t>借阅时效管控</w:t>
            </w:r>
          </w:p>
        </w:tc>
        <w:tc>
          <w:tcPr>
            <w:tcW w:w="5460" w:type="dxa"/>
            <w:shd w:val="clear" w:color="auto" w:fill="auto"/>
          </w:tcPr>
          <w:p w14:paraId="61F8251F">
            <w:pPr>
              <w:rPr>
                <w:color w:val="auto"/>
                <w:highlight w:val="none"/>
              </w:rPr>
            </w:pPr>
            <w:r>
              <w:rPr>
                <w:rFonts w:ascii="宋体" w:hAnsi="宋体" w:eastAsia="宋体"/>
                <w:color w:val="auto"/>
                <w:sz w:val="21"/>
                <w:highlight w:val="none"/>
              </w:rPr>
              <w:t>（1）支持借阅文件时效控制，有效期内可阅读、可主动归还，到期文件自动收回权限；</w:t>
            </w:r>
          </w:p>
          <w:p w14:paraId="592D75DF">
            <w:pPr>
              <w:rPr>
                <w:color w:val="auto"/>
                <w:highlight w:val="none"/>
              </w:rPr>
            </w:pPr>
            <w:r>
              <w:rPr>
                <w:rFonts w:ascii="宋体" w:hAnsi="宋体" w:eastAsia="宋体"/>
                <w:color w:val="auto"/>
                <w:sz w:val="21"/>
                <w:highlight w:val="none"/>
              </w:rPr>
              <w:t>（2）支持借出文件的主动收回功能，管理员可随时终止借阅权限。</w:t>
            </w:r>
          </w:p>
        </w:tc>
      </w:tr>
      <w:tr w14:paraId="5103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6D9DBB1">
            <w:pPr>
              <w:rPr>
                <w:color w:val="auto"/>
                <w:highlight w:val="none"/>
              </w:rPr>
            </w:pPr>
          </w:p>
        </w:tc>
        <w:tc>
          <w:tcPr>
            <w:tcW w:w="1570" w:type="dxa"/>
            <w:shd w:val="clear" w:color="auto" w:fill="auto"/>
          </w:tcPr>
          <w:p w14:paraId="439759B9">
            <w:pPr>
              <w:rPr>
                <w:color w:val="auto"/>
                <w:highlight w:val="none"/>
              </w:rPr>
            </w:pPr>
            <w:r>
              <w:rPr>
                <w:rFonts w:ascii="宋体" w:hAnsi="宋体" w:eastAsia="宋体"/>
                <w:color w:val="auto"/>
                <w:sz w:val="21"/>
                <w:highlight w:val="none"/>
              </w:rPr>
              <w:t>审批流程管理</w:t>
            </w:r>
          </w:p>
        </w:tc>
        <w:tc>
          <w:tcPr>
            <w:tcW w:w="5460" w:type="dxa"/>
            <w:shd w:val="clear" w:color="auto" w:fill="auto"/>
          </w:tcPr>
          <w:p w14:paraId="3B0B6059">
            <w:pPr>
              <w:rPr>
                <w:color w:val="auto"/>
                <w:highlight w:val="none"/>
              </w:rPr>
            </w:pPr>
            <w:r>
              <w:rPr>
                <w:rFonts w:ascii="宋体" w:hAnsi="宋体" w:eastAsia="宋体"/>
                <w:color w:val="auto"/>
                <w:sz w:val="21"/>
                <w:highlight w:val="none"/>
              </w:rPr>
              <w:t>（1）提供自定义审批流程能力，可根据管理需求设置多条审批流程，系统自动匹配规则执行对应审批流程；</w:t>
            </w:r>
          </w:p>
          <w:p w14:paraId="661B6ACA">
            <w:pPr>
              <w:rPr>
                <w:color w:val="auto"/>
                <w:highlight w:val="none"/>
              </w:rPr>
            </w:pPr>
            <w:r>
              <w:rPr>
                <w:rFonts w:ascii="宋体" w:hAnsi="宋体" w:eastAsia="宋体"/>
                <w:color w:val="auto"/>
                <w:sz w:val="21"/>
                <w:highlight w:val="none"/>
              </w:rPr>
              <w:t>（2）针对用户侧提供借阅记录查询，支持查看审批进度、发起续借申请。</w:t>
            </w:r>
          </w:p>
        </w:tc>
      </w:tr>
      <w:tr w14:paraId="7EC7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15B3042">
            <w:pPr>
              <w:rPr>
                <w:color w:val="auto"/>
                <w:highlight w:val="none"/>
              </w:rPr>
            </w:pPr>
          </w:p>
        </w:tc>
        <w:tc>
          <w:tcPr>
            <w:tcW w:w="1570" w:type="dxa"/>
            <w:shd w:val="clear" w:color="auto" w:fill="auto"/>
          </w:tcPr>
          <w:p w14:paraId="08506852">
            <w:pPr>
              <w:rPr>
                <w:color w:val="auto"/>
                <w:highlight w:val="none"/>
              </w:rPr>
            </w:pPr>
            <w:r>
              <w:rPr>
                <w:rFonts w:ascii="宋体" w:hAnsi="宋体" w:eastAsia="宋体"/>
                <w:color w:val="auto"/>
                <w:sz w:val="21"/>
                <w:highlight w:val="none"/>
              </w:rPr>
              <w:t>借阅日志追溯</w:t>
            </w:r>
          </w:p>
        </w:tc>
        <w:tc>
          <w:tcPr>
            <w:tcW w:w="5460" w:type="dxa"/>
            <w:shd w:val="clear" w:color="auto" w:fill="auto"/>
          </w:tcPr>
          <w:p w14:paraId="42424444">
            <w:pPr>
              <w:rPr>
                <w:color w:val="auto"/>
                <w:highlight w:val="none"/>
              </w:rPr>
            </w:pPr>
            <w:r>
              <w:rPr>
                <w:rFonts w:ascii="宋体" w:hAnsi="宋体" w:eastAsia="宋体"/>
                <w:color w:val="auto"/>
                <w:sz w:val="21"/>
                <w:highlight w:val="none"/>
              </w:rPr>
              <w:t>具备完整借阅日志功能，授权用户可查看所有借阅申请、阅读时间、操作记录，实现借阅全流程可追溯。</w:t>
            </w:r>
          </w:p>
        </w:tc>
      </w:tr>
      <w:tr w14:paraId="7440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0398F649">
            <w:pPr>
              <w:rPr>
                <w:rFonts w:ascii="宋体" w:hAnsi="宋体" w:eastAsia="宋体"/>
                <w:color w:val="auto"/>
                <w:sz w:val="21"/>
                <w:highlight w:val="none"/>
              </w:rPr>
            </w:pPr>
          </w:p>
          <w:p w14:paraId="16CC2762">
            <w:pPr>
              <w:rPr>
                <w:rFonts w:ascii="宋体" w:hAnsi="宋体" w:eastAsia="宋体"/>
                <w:color w:val="auto"/>
                <w:sz w:val="21"/>
                <w:highlight w:val="none"/>
              </w:rPr>
            </w:pPr>
          </w:p>
          <w:p w14:paraId="1C1155B5">
            <w:pPr>
              <w:rPr>
                <w:rFonts w:ascii="宋体" w:hAnsi="宋体" w:eastAsia="宋体"/>
                <w:color w:val="auto"/>
                <w:sz w:val="21"/>
                <w:highlight w:val="none"/>
              </w:rPr>
            </w:pPr>
          </w:p>
          <w:p w14:paraId="281B536D">
            <w:pPr>
              <w:rPr>
                <w:rFonts w:ascii="宋体" w:hAnsi="宋体" w:eastAsia="宋体"/>
                <w:color w:val="auto"/>
                <w:sz w:val="21"/>
                <w:highlight w:val="none"/>
              </w:rPr>
            </w:pPr>
          </w:p>
          <w:p w14:paraId="12BD2C05">
            <w:pPr>
              <w:rPr>
                <w:rFonts w:ascii="宋体" w:hAnsi="宋体" w:eastAsia="宋体"/>
                <w:color w:val="auto"/>
                <w:sz w:val="21"/>
                <w:highlight w:val="none"/>
              </w:rPr>
            </w:pPr>
          </w:p>
          <w:p w14:paraId="5A758E91">
            <w:pPr>
              <w:rPr>
                <w:rFonts w:ascii="宋体" w:hAnsi="宋体" w:eastAsia="宋体"/>
                <w:color w:val="auto"/>
                <w:sz w:val="21"/>
                <w:highlight w:val="none"/>
              </w:rPr>
            </w:pPr>
          </w:p>
          <w:p w14:paraId="3F5AD672">
            <w:pPr>
              <w:rPr>
                <w:rFonts w:ascii="宋体" w:hAnsi="宋体" w:eastAsia="宋体"/>
                <w:color w:val="auto"/>
                <w:sz w:val="21"/>
                <w:highlight w:val="none"/>
              </w:rPr>
            </w:pPr>
          </w:p>
          <w:p w14:paraId="57192F47">
            <w:pPr>
              <w:rPr>
                <w:rFonts w:ascii="宋体" w:hAnsi="宋体" w:eastAsia="宋体"/>
                <w:color w:val="auto"/>
                <w:sz w:val="21"/>
                <w:highlight w:val="none"/>
              </w:rPr>
            </w:pPr>
          </w:p>
          <w:p w14:paraId="2D15F7C0">
            <w:pPr>
              <w:rPr>
                <w:rFonts w:ascii="宋体" w:hAnsi="宋体" w:eastAsia="宋体"/>
                <w:color w:val="auto"/>
                <w:sz w:val="21"/>
                <w:highlight w:val="none"/>
              </w:rPr>
            </w:pPr>
            <w:r>
              <w:rPr>
                <w:rFonts w:ascii="宋体" w:hAnsi="宋体" w:eastAsia="宋体"/>
                <w:color w:val="auto"/>
                <w:sz w:val="21"/>
                <w:highlight w:val="none"/>
              </w:rPr>
              <w:t>七、跨院调阅</w:t>
            </w:r>
          </w:p>
          <w:p w14:paraId="232D4EF7">
            <w:pPr>
              <w:rPr>
                <w:color w:val="auto"/>
                <w:highlight w:val="none"/>
              </w:rPr>
            </w:pPr>
          </w:p>
        </w:tc>
        <w:tc>
          <w:tcPr>
            <w:tcW w:w="1570" w:type="dxa"/>
            <w:shd w:val="clear" w:color="auto" w:fill="auto"/>
          </w:tcPr>
          <w:p w14:paraId="1298EE8C">
            <w:pPr>
              <w:rPr>
                <w:color w:val="auto"/>
                <w:highlight w:val="none"/>
              </w:rPr>
            </w:pPr>
            <w:r>
              <w:rPr>
                <w:rFonts w:ascii="宋体" w:hAnsi="宋体" w:eastAsia="宋体"/>
                <w:color w:val="auto"/>
                <w:sz w:val="21"/>
                <w:highlight w:val="none"/>
              </w:rPr>
              <w:t>跨机构调阅申请</w:t>
            </w:r>
          </w:p>
        </w:tc>
        <w:tc>
          <w:tcPr>
            <w:tcW w:w="5460" w:type="dxa"/>
            <w:shd w:val="clear" w:color="auto" w:fill="auto"/>
          </w:tcPr>
          <w:p w14:paraId="231B42C3">
            <w:pPr>
              <w:rPr>
                <w:color w:val="auto"/>
                <w:highlight w:val="none"/>
              </w:rPr>
            </w:pPr>
            <w:r>
              <w:rPr>
                <w:rFonts w:ascii="宋体" w:hAnsi="宋体" w:eastAsia="宋体"/>
                <w:color w:val="auto"/>
                <w:sz w:val="21"/>
                <w:highlight w:val="none"/>
              </w:rPr>
              <w:t>（1）支持跨机构按需申请调阅患者病案；</w:t>
            </w:r>
          </w:p>
          <w:p w14:paraId="04DB0DD5">
            <w:pPr>
              <w:rPr>
                <w:color w:val="auto"/>
                <w:highlight w:val="none"/>
              </w:rPr>
            </w:pPr>
            <w:r>
              <w:rPr>
                <w:rFonts w:ascii="宋体" w:hAnsi="宋体" w:eastAsia="宋体"/>
                <w:color w:val="auto"/>
                <w:sz w:val="21"/>
                <w:highlight w:val="none"/>
              </w:rPr>
              <w:t>（2）支持患者通过移动端进行授权确认，授权后方可调阅；</w:t>
            </w:r>
          </w:p>
          <w:p w14:paraId="5E5F448D">
            <w:pPr>
              <w:rPr>
                <w:color w:val="auto"/>
                <w:highlight w:val="none"/>
              </w:rPr>
            </w:pPr>
            <w:r>
              <w:rPr>
                <w:rFonts w:ascii="宋体" w:hAnsi="宋体" w:eastAsia="宋体"/>
                <w:color w:val="auto"/>
                <w:sz w:val="21"/>
                <w:highlight w:val="none"/>
              </w:rPr>
              <w:t>（3）支持对跨院调阅申请记录进行全量查询与状态跟踪；</w:t>
            </w:r>
          </w:p>
          <w:p w14:paraId="224ACEAA">
            <w:pPr>
              <w:rPr>
                <w:color w:val="auto"/>
                <w:highlight w:val="none"/>
              </w:rPr>
            </w:pPr>
            <w:r>
              <w:rPr>
                <w:rFonts w:ascii="宋体" w:hAnsi="宋体" w:eastAsia="宋体"/>
                <w:color w:val="auto"/>
                <w:sz w:val="21"/>
                <w:highlight w:val="none"/>
              </w:rPr>
              <w:t>（4）支持对档案跨院共享记录进行全链路追溯。</w:t>
            </w:r>
          </w:p>
        </w:tc>
      </w:tr>
      <w:tr w14:paraId="2917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4DC60D0">
            <w:pPr>
              <w:rPr>
                <w:color w:val="auto"/>
                <w:highlight w:val="none"/>
              </w:rPr>
            </w:pPr>
          </w:p>
        </w:tc>
        <w:tc>
          <w:tcPr>
            <w:tcW w:w="1570" w:type="dxa"/>
            <w:shd w:val="clear" w:color="auto" w:fill="auto"/>
          </w:tcPr>
          <w:p w14:paraId="511FEE30">
            <w:pPr>
              <w:rPr>
                <w:color w:val="auto"/>
                <w:highlight w:val="none"/>
              </w:rPr>
            </w:pPr>
            <w:r>
              <w:rPr>
                <w:rFonts w:ascii="宋体" w:hAnsi="宋体" w:eastAsia="宋体"/>
                <w:color w:val="auto"/>
                <w:sz w:val="21"/>
                <w:highlight w:val="none"/>
              </w:rPr>
              <w:t>安全保障</w:t>
            </w:r>
          </w:p>
        </w:tc>
        <w:tc>
          <w:tcPr>
            <w:tcW w:w="5460" w:type="dxa"/>
            <w:shd w:val="clear" w:color="auto" w:fill="auto"/>
          </w:tcPr>
          <w:p w14:paraId="17FB30B0">
            <w:pPr>
              <w:rPr>
                <w:rFonts w:ascii="宋体" w:hAnsi="宋体" w:eastAsia="宋体"/>
                <w:color w:val="auto"/>
                <w:sz w:val="21"/>
                <w:highlight w:val="none"/>
              </w:rPr>
            </w:pPr>
            <w:r>
              <w:rPr>
                <w:rFonts w:ascii="宋体" w:hAnsi="宋体" w:eastAsia="宋体"/>
                <w:color w:val="auto"/>
                <w:sz w:val="21"/>
                <w:highlight w:val="none"/>
              </w:rPr>
              <w:t>（1）</w:t>
            </w:r>
            <w:r>
              <w:rPr>
                <w:rFonts w:ascii="宋体" w:hAnsi="宋体" w:eastAsia="宋体"/>
                <w:color w:val="auto"/>
                <w:highlight w:val="none"/>
              </w:rPr>
              <w:t>支持跨院调阅场景下对OFD文件进行权限动态配置（如阅读有效期、禁止打印/拷贝等），从文件本体维度管控跨机构数据安全；</w:t>
            </w:r>
          </w:p>
          <w:p w14:paraId="051ACBF7">
            <w:pPr>
              <w:rPr>
                <w:color w:val="auto"/>
                <w:highlight w:val="none"/>
              </w:rPr>
            </w:pPr>
            <w:r>
              <w:rPr>
                <w:rFonts w:ascii="宋体" w:hAnsi="宋体" w:eastAsia="宋体"/>
                <w:color w:val="auto"/>
                <w:sz w:val="21"/>
                <w:highlight w:val="none"/>
              </w:rPr>
              <w:t>（</w:t>
            </w:r>
            <w:r>
              <w:rPr>
                <w:rFonts w:hint="eastAsia" w:ascii="宋体" w:hAnsi="宋体" w:eastAsia="宋体"/>
                <w:color w:val="auto"/>
                <w:sz w:val="21"/>
                <w:highlight w:val="none"/>
                <w:lang w:val="en-US" w:eastAsia="zh-CN"/>
              </w:rPr>
              <w:t>2</w:t>
            </w:r>
            <w:r>
              <w:rPr>
                <w:rFonts w:ascii="宋体" w:hAnsi="宋体" w:eastAsia="宋体"/>
                <w:color w:val="auto"/>
                <w:sz w:val="21"/>
                <w:highlight w:val="none"/>
              </w:rPr>
              <w:t>）支持跨院调阅时自动加载动态水印，水印包含操作</w:t>
            </w:r>
            <w:r>
              <w:rPr>
                <w:rFonts w:hint="eastAsia" w:ascii="宋体" w:hAnsi="宋体" w:eastAsia="宋体"/>
                <w:color w:val="auto"/>
                <w:sz w:val="21"/>
                <w:highlight w:val="none"/>
                <w:lang w:eastAsia="zh-CN"/>
              </w:rPr>
              <w:t>人员</w:t>
            </w:r>
            <w:r>
              <w:rPr>
                <w:rFonts w:ascii="宋体" w:hAnsi="宋体" w:eastAsia="宋体"/>
                <w:color w:val="auto"/>
                <w:sz w:val="21"/>
                <w:highlight w:val="none"/>
              </w:rPr>
              <w:t>、时间、机构等信息，防止截图、拍照泄露。</w:t>
            </w:r>
          </w:p>
        </w:tc>
      </w:tr>
      <w:tr w14:paraId="1AC4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1DA65A3">
            <w:pPr>
              <w:rPr>
                <w:color w:val="auto"/>
                <w:highlight w:val="none"/>
              </w:rPr>
            </w:pPr>
          </w:p>
        </w:tc>
        <w:tc>
          <w:tcPr>
            <w:tcW w:w="1570" w:type="dxa"/>
            <w:shd w:val="clear" w:color="auto" w:fill="auto"/>
          </w:tcPr>
          <w:p w14:paraId="46E9A505">
            <w:pPr>
              <w:rPr>
                <w:color w:val="auto"/>
                <w:highlight w:val="none"/>
              </w:rPr>
            </w:pPr>
            <w:r>
              <w:rPr>
                <w:rFonts w:ascii="宋体" w:hAnsi="宋体" w:eastAsia="宋体"/>
                <w:color w:val="auto"/>
                <w:sz w:val="21"/>
                <w:highlight w:val="none"/>
              </w:rPr>
              <w:t>调阅日志与追溯</w:t>
            </w:r>
          </w:p>
        </w:tc>
        <w:tc>
          <w:tcPr>
            <w:tcW w:w="5460" w:type="dxa"/>
            <w:shd w:val="clear" w:color="auto" w:fill="auto"/>
          </w:tcPr>
          <w:p w14:paraId="672DC72C">
            <w:pPr>
              <w:rPr>
                <w:rFonts w:ascii="宋体" w:hAnsi="宋体" w:eastAsia="宋体"/>
                <w:color w:val="auto"/>
                <w:sz w:val="21"/>
                <w:highlight w:val="none"/>
              </w:rPr>
            </w:pPr>
            <w:r>
              <w:rPr>
                <w:rFonts w:ascii="宋体" w:hAnsi="宋体" w:eastAsia="宋体"/>
                <w:color w:val="auto"/>
                <w:sz w:val="21"/>
                <w:highlight w:val="none"/>
              </w:rPr>
              <w:t>（1）提供跨院调阅操作日志的查询统计功能，支持按时间、机构、患者等维度统计调阅量；</w:t>
            </w:r>
          </w:p>
          <w:p w14:paraId="7AE3F612">
            <w:pPr>
              <w:rPr>
                <w:color w:val="auto"/>
                <w:highlight w:val="none"/>
              </w:rPr>
            </w:pPr>
            <w:r>
              <w:rPr>
                <w:rFonts w:ascii="宋体" w:hAnsi="宋体" w:eastAsia="宋体"/>
                <w:color w:val="auto"/>
                <w:sz w:val="21"/>
                <w:highlight w:val="none"/>
              </w:rPr>
              <w:t>（2）所有跨院调阅行为（申请、授权、调阅、下载）全程留痕，操作日志不可篡改、全程可追溯，日志保存期限不少于 6 个月。</w:t>
            </w:r>
          </w:p>
        </w:tc>
      </w:tr>
      <w:tr w14:paraId="0C0A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49AE8F31">
            <w:pPr>
              <w:rPr>
                <w:rFonts w:ascii="宋体" w:hAnsi="宋体" w:eastAsia="宋体"/>
                <w:color w:val="auto"/>
                <w:sz w:val="21"/>
                <w:highlight w:val="none"/>
              </w:rPr>
            </w:pPr>
          </w:p>
          <w:p w14:paraId="72D8D24C">
            <w:pPr>
              <w:rPr>
                <w:rFonts w:ascii="宋体" w:hAnsi="宋体" w:eastAsia="宋体"/>
                <w:color w:val="auto"/>
                <w:sz w:val="21"/>
                <w:highlight w:val="none"/>
              </w:rPr>
            </w:pPr>
          </w:p>
          <w:p w14:paraId="364C5543">
            <w:pPr>
              <w:rPr>
                <w:rFonts w:ascii="宋体" w:hAnsi="宋体" w:eastAsia="宋体"/>
                <w:color w:val="auto"/>
                <w:sz w:val="21"/>
                <w:highlight w:val="none"/>
              </w:rPr>
            </w:pPr>
          </w:p>
          <w:p w14:paraId="3D0B4E6E">
            <w:pPr>
              <w:rPr>
                <w:rFonts w:ascii="宋体" w:hAnsi="宋体" w:eastAsia="宋体"/>
                <w:color w:val="auto"/>
                <w:sz w:val="21"/>
                <w:highlight w:val="none"/>
              </w:rPr>
            </w:pPr>
          </w:p>
          <w:p w14:paraId="6D35F6ED">
            <w:pPr>
              <w:rPr>
                <w:rFonts w:ascii="宋体" w:hAnsi="宋体" w:eastAsia="宋体"/>
                <w:color w:val="auto"/>
                <w:sz w:val="21"/>
                <w:highlight w:val="none"/>
              </w:rPr>
            </w:pPr>
          </w:p>
          <w:p w14:paraId="095D4072">
            <w:pPr>
              <w:rPr>
                <w:rFonts w:ascii="宋体" w:hAnsi="宋体" w:eastAsia="宋体"/>
                <w:color w:val="auto"/>
                <w:sz w:val="21"/>
                <w:highlight w:val="none"/>
              </w:rPr>
            </w:pPr>
          </w:p>
          <w:p w14:paraId="25070383">
            <w:pPr>
              <w:rPr>
                <w:color w:val="auto"/>
                <w:highlight w:val="none"/>
              </w:rPr>
            </w:pPr>
            <w:r>
              <w:rPr>
                <w:rFonts w:ascii="宋体" w:hAnsi="宋体" w:eastAsia="宋体"/>
                <w:color w:val="auto"/>
                <w:sz w:val="21"/>
                <w:highlight w:val="none"/>
              </w:rPr>
              <w:t>八、OFD-H文件打印</w:t>
            </w:r>
          </w:p>
        </w:tc>
        <w:tc>
          <w:tcPr>
            <w:tcW w:w="1570" w:type="dxa"/>
            <w:shd w:val="clear" w:color="auto" w:fill="auto"/>
          </w:tcPr>
          <w:p w14:paraId="4B6F8BCF">
            <w:pPr>
              <w:rPr>
                <w:color w:val="auto"/>
                <w:highlight w:val="none"/>
              </w:rPr>
            </w:pPr>
            <w:r>
              <w:rPr>
                <w:rFonts w:ascii="宋体" w:hAnsi="宋体" w:eastAsia="宋体"/>
                <w:color w:val="auto"/>
                <w:sz w:val="21"/>
                <w:highlight w:val="none"/>
              </w:rPr>
              <w:t>打印登记与套餐管理</w:t>
            </w:r>
          </w:p>
        </w:tc>
        <w:tc>
          <w:tcPr>
            <w:tcW w:w="5460" w:type="dxa"/>
            <w:shd w:val="clear" w:color="auto" w:fill="auto"/>
          </w:tcPr>
          <w:p w14:paraId="69E5E3B3">
            <w:pPr>
              <w:rPr>
                <w:color w:val="auto"/>
                <w:highlight w:val="none"/>
              </w:rPr>
            </w:pPr>
            <w:r>
              <w:rPr>
                <w:rFonts w:ascii="宋体" w:hAnsi="宋体" w:eastAsia="宋体"/>
                <w:color w:val="auto"/>
                <w:sz w:val="21"/>
                <w:highlight w:val="none"/>
              </w:rPr>
              <w:t>（1）支持根据患者信息生成打印登记单，采集患者及代理人证件信息，完成打印前登记备案；</w:t>
            </w:r>
          </w:p>
          <w:p w14:paraId="11E6D2DB">
            <w:pPr>
              <w:rPr>
                <w:color w:val="auto"/>
                <w:highlight w:val="none"/>
              </w:rPr>
            </w:pPr>
            <w:r>
              <w:rPr>
                <w:rFonts w:ascii="宋体" w:hAnsi="宋体" w:eastAsia="宋体"/>
                <w:color w:val="auto"/>
                <w:sz w:val="21"/>
                <w:highlight w:val="none"/>
              </w:rPr>
              <w:t>（2）支持自定义配置打印套餐，可预设目录顺序、文书范围；</w:t>
            </w:r>
          </w:p>
          <w:p w14:paraId="29F90651">
            <w:pPr>
              <w:rPr>
                <w:color w:val="auto"/>
                <w:highlight w:val="none"/>
              </w:rPr>
            </w:pPr>
            <w:r>
              <w:rPr>
                <w:rFonts w:ascii="宋体" w:hAnsi="宋体" w:eastAsia="宋体"/>
                <w:color w:val="auto"/>
                <w:sz w:val="21"/>
                <w:highlight w:val="none"/>
              </w:rPr>
              <w:t>（3）支持发起打印时直接选择目标套餐，系统自动勾选对应病案文件，支持在套餐基础上手动增减文档。</w:t>
            </w:r>
          </w:p>
        </w:tc>
      </w:tr>
      <w:tr w14:paraId="699D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D43B9CF">
            <w:pPr>
              <w:rPr>
                <w:color w:val="auto"/>
                <w:highlight w:val="none"/>
              </w:rPr>
            </w:pPr>
          </w:p>
        </w:tc>
        <w:tc>
          <w:tcPr>
            <w:tcW w:w="1570" w:type="dxa"/>
            <w:shd w:val="clear" w:color="auto" w:fill="auto"/>
          </w:tcPr>
          <w:p w14:paraId="0FBDDBA0">
            <w:pPr>
              <w:rPr>
                <w:color w:val="auto"/>
                <w:highlight w:val="none"/>
              </w:rPr>
            </w:pPr>
            <w:r>
              <w:rPr>
                <w:rFonts w:ascii="宋体" w:hAnsi="宋体" w:eastAsia="宋体"/>
                <w:color w:val="auto"/>
                <w:sz w:val="21"/>
                <w:highlight w:val="none"/>
              </w:rPr>
              <w:t>打印计费与签章</w:t>
            </w:r>
          </w:p>
        </w:tc>
        <w:tc>
          <w:tcPr>
            <w:tcW w:w="5460" w:type="dxa"/>
            <w:shd w:val="clear" w:color="auto" w:fill="auto"/>
          </w:tcPr>
          <w:p w14:paraId="521A9CB9">
            <w:pPr>
              <w:rPr>
                <w:color w:val="auto"/>
                <w:highlight w:val="none"/>
              </w:rPr>
            </w:pPr>
            <w:r>
              <w:rPr>
                <w:rFonts w:ascii="宋体" w:hAnsi="宋体" w:eastAsia="宋体"/>
                <w:color w:val="auto"/>
                <w:sz w:val="21"/>
                <w:highlight w:val="none"/>
              </w:rPr>
              <w:t>（1）支持按张累计、阶梯计费等多种收费模式，支持按套餐独立设置收费规则；</w:t>
            </w:r>
          </w:p>
          <w:p w14:paraId="07A13E19">
            <w:pPr>
              <w:rPr>
                <w:color w:val="auto"/>
                <w:highlight w:val="none"/>
              </w:rPr>
            </w:pPr>
            <w:r>
              <w:rPr>
                <w:rFonts w:ascii="宋体" w:hAnsi="宋体" w:eastAsia="宋体"/>
                <w:color w:val="auto"/>
                <w:sz w:val="21"/>
                <w:highlight w:val="none"/>
              </w:rPr>
              <w:t>（2）支持自动统计打印页数，按预设规则计算打印费用；</w:t>
            </w:r>
          </w:p>
          <w:p w14:paraId="30EAAF53">
            <w:pPr>
              <w:rPr>
                <w:color w:val="auto"/>
                <w:highlight w:val="none"/>
              </w:rPr>
            </w:pPr>
            <w:r>
              <w:rPr>
                <w:rFonts w:ascii="宋体" w:hAnsi="宋体" w:eastAsia="宋体"/>
                <w:color w:val="auto"/>
                <w:sz w:val="21"/>
                <w:highlight w:val="none"/>
              </w:rPr>
              <w:t>（3）支持打印前自动加盖电子签章，保障打印件法律效力。</w:t>
            </w:r>
          </w:p>
        </w:tc>
      </w:tr>
      <w:tr w14:paraId="2502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9D32FFE">
            <w:pPr>
              <w:rPr>
                <w:color w:val="auto"/>
                <w:highlight w:val="none"/>
              </w:rPr>
            </w:pPr>
          </w:p>
        </w:tc>
        <w:tc>
          <w:tcPr>
            <w:tcW w:w="1570" w:type="dxa"/>
            <w:shd w:val="clear" w:color="auto" w:fill="auto"/>
          </w:tcPr>
          <w:p w14:paraId="4D3CACF7">
            <w:pPr>
              <w:rPr>
                <w:color w:val="auto"/>
                <w:highlight w:val="none"/>
              </w:rPr>
            </w:pPr>
            <w:r>
              <w:rPr>
                <w:rFonts w:ascii="宋体" w:hAnsi="宋体" w:eastAsia="宋体"/>
                <w:color w:val="auto"/>
                <w:sz w:val="21"/>
                <w:highlight w:val="none"/>
              </w:rPr>
              <w:t>打印安全管控</w:t>
            </w:r>
          </w:p>
        </w:tc>
        <w:tc>
          <w:tcPr>
            <w:tcW w:w="5460" w:type="dxa"/>
            <w:shd w:val="clear" w:color="auto" w:fill="auto"/>
          </w:tcPr>
          <w:p w14:paraId="70B5A8D5">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支持自定义病历打印水印样式，可配置水印文字、字体、透明度、倾斜角度等参数（提供系统截图加盖公章）。</w:t>
            </w:r>
          </w:p>
        </w:tc>
      </w:tr>
      <w:tr w14:paraId="5354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EB27A51">
            <w:pPr>
              <w:rPr>
                <w:color w:val="auto"/>
                <w:highlight w:val="none"/>
              </w:rPr>
            </w:pPr>
          </w:p>
        </w:tc>
        <w:tc>
          <w:tcPr>
            <w:tcW w:w="1570" w:type="dxa"/>
            <w:shd w:val="clear" w:color="auto" w:fill="auto"/>
          </w:tcPr>
          <w:p w14:paraId="37BFD289">
            <w:pPr>
              <w:rPr>
                <w:color w:val="auto"/>
                <w:highlight w:val="none"/>
              </w:rPr>
            </w:pPr>
            <w:r>
              <w:rPr>
                <w:rFonts w:ascii="宋体" w:hAnsi="宋体" w:eastAsia="宋体"/>
                <w:color w:val="auto"/>
                <w:sz w:val="21"/>
                <w:highlight w:val="none"/>
              </w:rPr>
              <w:t>打印日志管理</w:t>
            </w:r>
          </w:p>
        </w:tc>
        <w:tc>
          <w:tcPr>
            <w:tcW w:w="5460" w:type="dxa"/>
            <w:shd w:val="clear" w:color="auto" w:fill="auto"/>
          </w:tcPr>
          <w:p w14:paraId="57AE11C4">
            <w:pPr>
              <w:rPr>
                <w:color w:val="auto"/>
                <w:highlight w:val="none"/>
              </w:rPr>
            </w:pPr>
            <w:r>
              <w:rPr>
                <w:rFonts w:ascii="宋体" w:hAnsi="宋体" w:eastAsia="宋体"/>
                <w:color w:val="auto"/>
                <w:sz w:val="21"/>
                <w:highlight w:val="none"/>
              </w:rPr>
              <w:t>提供完整打印日志功能，可查询打印费用、打印状态、打印登记单、操作人等全量信息，实现打印全流程可追溯。</w:t>
            </w:r>
          </w:p>
        </w:tc>
      </w:tr>
      <w:tr w14:paraId="6890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450A7813">
            <w:pPr>
              <w:rPr>
                <w:rFonts w:ascii="宋体" w:hAnsi="宋体" w:eastAsia="宋体"/>
                <w:color w:val="auto"/>
                <w:sz w:val="21"/>
                <w:highlight w:val="none"/>
              </w:rPr>
            </w:pPr>
          </w:p>
          <w:p w14:paraId="365DD938">
            <w:pPr>
              <w:rPr>
                <w:rFonts w:ascii="宋体" w:hAnsi="宋体" w:eastAsia="宋体"/>
                <w:color w:val="auto"/>
                <w:sz w:val="21"/>
                <w:highlight w:val="none"/>
              </w:rPr>
            </w:pPr>
          </w:p>
          <w:p w14:paraId="0899A126">
            <w:pPr>
              <w:rPr>
                <w:rFonts w:ascii="宋体" w:hAnsi="宋体" w:eastAsia="宋体"/>
                <w:color w:val="auto"/>
                <w:sz w:val="21"/>
                <w:highlight w:val="none"/>
              </w:rPr>
            </w:pPr>
          </w:p>
          <w:p w14:paraId="42C90B69">
            <w:pPr>
              <w:rPr>
                <w:rFonts w:ascii="宋体" w:hAnsi="宋体" w:eastAsia="宋体"/>
                <w:color w:val="auto"/>
                <w:sz w:val="21"/>
                <w:highlight w:val="none"/>
              </w:rPr>
            </w:pPr>
          </w:p>
          <w:p w14:paraId="2A628D77">
            <w:pPr>
              <w:rPr>
                <w:rFonts w:ascii="宋体" w:hAnsi="宋体" w:eastAsia="宋体"/>
                <w:color w:val="auto"/>
                <w:sz w:val="21"/>
                <w:highlight w:val="none"/>
              </w:rPr>
            </w:pPr>
          </w:p>
          <w:p w14:paraId="0C50199B">
            <w:pPr>
              <w:rPr>
                <w:rFonts w:ascii="宋体" w:hAnsi="宋体" w:eastAsia="宋体"/>
                <w:color w:val="auto"/>
                <w:sz w:val="21"/>
                <w:highlight w:val="none"/>
              </w:rPr>
            </w:pPr>
          </w:p>
          <w:p w14:paraId="442B4B6B">
            <w:pPr>
              <w:rPr>
                <w:rFonts w:ascii="宋体" w:hAnsi="宋体" w:eastAsia="宋体"/>
                <w:color w:val="auto"/>
                <w:sz w:val="21"/>
                <w:highlight w:val="none"/>
              </w:rPr>
            </w:pPr>
          </w:p>
          <w:p w14:paraId="5CC85AC6">
            <w:pPr>
              <w:rPr>
                <w:rFonts w:ascii="宋体" w:hAnsi="宋体" w:eastAsia="宋体"/>
                <w:color w:val="auto"/>
                <w:sz w:val="21"/>
                <w:highlight w:val="none"/>
              </w:rPr>
            </w:pPr>
          </w:p>
          <w:p w14:paraId="369B3A10">
            <w:pPr>
              <w:rPr>
                <w:rFonts w:ascii="宋体" w:hAnsi="宋体" w:eastAsia="宋体"/>
                <w:color w:val="auto"/>
                <w:sz w:val="21"/>
                <w:highlight w:val="none"/>
              </w:rPr>
            </w:pPr>
            <w:r>
              <w:rPr>
                <w:rFonts w:ascii="宋体" w:hAnsi="宋体" w:eastAsia="宋体"/>
                <w:color w:val="auto"/>
                <w:sz w:val="21"/>
                <w:highlight w:val="none"/>
              </w:rPr>
              <w:t>九、OFD-H文件导出</w:t>
            </w:r>
          </w:p>
          <w:p w14:paraId="33633B2C">
            <w:pPr>
              <w:rPr>
                <w:color w:val="auto"/>
                <w:highlight w:val="none"/>
              </w:rPr>
            </w:pPr>
          </w:p>
        </w:tc>
        <w:tc>
          <w:tcPr>
            <w:tcW w:w="1570" w:type="dxa"/>
            <w:shd w:val="clear" w:color="auto" w:fill="auto"/>
          </w:tcPr>
          <w:p w14:paraId="4996F3C4">
            <w:pPr>
              <w:rPr>
                <w:color w:val="auto"/>
                <w:highlight w:val="none"/>
              </w:rPr>
            </w:pPr>
            <w:r>
              <w:rPr>
                <w:rFonts w:ascii="宋体" w:hAnsi="宋体" w:eastAsia="宋体"/>
                <w:color w:val="auto"/>
                <w:sz w:val="21"/>
                <w:highlight w:val="none"/>
              </w:rPr>
              <w:t>导出套餐管理</w:t>
            </w:r>
          </w:p>
        </w:tc>
        <w:tc>
          <w:tcPr>
            <w:tcW w:w="5460" w:type="dxa"/>
            <w:shd w:val="clear" w:color="auto" w:fill="auto"/>
          </w:tcPr>
          <w:p w14:paraId="7AE2E7A6">
            <w:pPr>
              <w:rPr>
                <w:color w:val="auto"/>
                <w:highlight w:val="none"/>
              </w:rPr>
            </w:pPr>
            <w:r>
              <w:rPr>
                <w:rFonts w:ascii="宋体" w:hAnsi="宋体" w:eastAsia="宋体"/>
                <w:color w:val="auto"/>
                <w:sz w:val="21"/>
                <w:highlight w:val="none"/>
              </w:rPr>
              <w:t>（1）支持预先配置标准化导出套餐，明确套餐包含的病案目录，用户可直接导出目标套餐文件；</w:t>
            </w:r>
          </w:p>
          <w:p w14:paraId="00291DAF">
            <w:pPr>
              <w:rPr>
                <w:color w:val="auto"/>
                <w:highlight w:val="none"/>
              </w:rPr>
            </w:pPr>
            <w:r>
              <w:rPr>
                <w:rFonts w:ascii="宋体" w:hAnsi="宋体" w:eastAsia="宋体"/>
                <w:color w:val="auto"/>
                <w:sz w:val="21"/>
                <w:highlight w:val="none"/>
              </w:rPr>
              <w:t>（2）支持灵活调整导出病案目录，可自定义目录名称、顺序。</w:t>
            </w:r>
          </w:p>
        </w:tc>
      </w:tr>
      <w:tr w14:paraId="5C3C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173A607B">
            <w:pPr>
              <w:rPr>
                <w:color w:val="auto"/>
                <w:highlight w:val="none"/>
              </w:rPr>
            </w:pPr>
          </w:p>
        </w:tc>
        <w:tc>
          <w:tcPr>
            <w:tcW w:w="1570" w:type="dxa"/>
            <w:shd w:val="clear" w:color="auto" w:fill="auto"/>
          </w:tcPr>
          <w:p w14:paraId="09F08238">
            <w:pPr>
              <w:rPr>
                <w:color w:val="auto"/>
                <w:highlight w:val="none"/>
              </w:rPr>
            </w:pPr>
            <w:r>
              <w:rPr>
                <w:rFonts w:ascii="宋体" w:hAnsi="宋体" w:eastAsia="宋体"/>
                <w:color w:val="auto"/>
                <w:sz w:val="21"/>
                <w:highlight w:val="none"/>
              </w:rPr>
              <w:t>导出格式与能力</w:t>
            </w:r>
          </w:p>
        </w:tc>
        <w:tc>
          <w:tcPr>
            <w:tcW w:w="5460" w:type="dxa"/>
            <w:shd w:val="clear" w:color="auto" w:fill="auto"/>
          </w:tcPr>
          <w:p w14:paraId="164A336C">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（1）支持灵活选择导出OFD-H格式或PDF格式文件（提供系统截图加盖公章）；</w:t>
            </w:r>
          </w:p>
          <w:p w14:paraId="70A571B8">
            <w:pPr>
              <w:rPr>
                <w:color w:val="auto"/>
                <w:highlight w:val="none"/>
              </w:rPr>
            </w:pPr>
            <w:r>
              <w:rPr>
                <w:rFonts w:ascii="宋体" w:hAnsi="宋体" w:eastAsia="宋体"/>
                <w:color w:val="auto"/>
                <w:sz w:val="21"/>
                <w:highlight w:val="none"/>
              </w:rPr>
              <w:t>（2）支持批量导出，支持导入患者清单批量发起导出；</w:t>
            </w:r>
          </w:p>
          <w:p w14:paraId="1A4B29EA">
            <w:pPr>
              <w:rPr>
                <w:color w:val="auto"/>
                <w:highlight w:val="none"/>
              </w:rPr>
            </w:pPr>
            <w:r>
              <w:rPr>
                <w:rFonts w:ascii="宋体" w:hAnsi="宋体" w:eastAsia="宋体"/>
                <w:color w:val="auto"/>
                <w:sz w:val="21"/>
                <w:highlight w:val="none"/>
              </w:rPr>
              <w:t>（3）支持合并导出，以患者就诊维度将多份文件合并为一个OFD-H/PDF医疗档案卷，保留目录大纲结构。</w:t>
            </w:r>
          </w:p>
          <w:p w14:paraId="21036D5C">
            <w:pPr>
              <w:rPr>
                <w:color w:val="auto"/>
                <w:highlight w:val="none"/>
              </w:rPr>
            </w:pPr>
            <w:r>
              <w:rPr>
                <w:rFonts w:ascii="宋体" w:hAnsi="宋体" w:eastAsia="宋体"/>
                <w:color w:val="auto"/>
                <w:highlight w:val="none"/>
              </w:rPr>
              <w:t>（4）支持导出脱敏/非脱敏文书功能。</w:t>
            </w:r>
          </w:p>
        </w:tc>
      </w:tr>
      <w:tr w14:paraId="2DFC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552957F">
            <w:pPr>
              <w:rPr>
                <w:color w:val="auto"/>
                <w:highlight w:val="none"/>
              </w:rPr>
            </w:pPr>
          </w:p>
        </w:tc>
        <w:tc>
          <w:tcPr>
            <w:tcW w:w="1570" w:type="dxa"/>
            <w:shd w:val="clear" w:color="auto" w:fill="auto"/>
          </w:tcPr>
          <w:p w14:paraId="15A5152B">
            <w:pPr>
              <w:rPr>
                <w:color w:val="auto"/>
                <w:highlight w:val="none"/>
              </w:rPr>
            </w:pPr>
            <w:r>
              <w:rPr>
                <w:rFonts w:ascii="宋体" w:hAnsi="宋体" w:eastAsia="宋体"/>
                <w:color w:val="auto"/>
                <w:sz w:val="21"/>
                <w:highlight w:val="none"/>
              </w:rPr>
              <w:t>导出安全管控</w:t>
            </w:r>
          </w:p>
        </w:tc>
        <w:tc>
          <w:tcPr>
            <w:tcW w:w="5460" w:type="dxa"/>
            <w:shd w:val="clear" w:color="auto" w:fill="auto"/>
          </w:tcPr>
          <w:p w14:paraId="7D47A4F1">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（1）支持导出文件时嵌入水印信息，防止文件外泄扩散（提供系统截图加盖公章）；</w:t>
            </w:r>
          </w:p>
          <w:p w14:paraId="0EC883B0">
            <w:pPr>
              <w:rPr>
                <w:color w:val="auto"/>
                <w:highlight w:val="none"/>
              </w:rPr>
            </w:pPr>
            <w:r>
              <w:rPr>
                <w:rFonts w:ascii="宋体" w:hAnsi="宋体" w:eastAsia="宋体"/>
                <w:color w:val="auto"/>
                <w:sz w:val="21"/>
                <w:highlight w:val="none"/>
              </w:rPr>
              <w:t>（2）支持导出文件加盖电子签章；</w:t>
            </w:r>
          </w:p>
          <w:p w14:paraId="2107D225">
            <w:pPr>
              <w:rPr>
                <w:color w:val="auto"/>
                <w:highlight w:val="none"/>
              </w:rPr>
            </w:pPr>
            <w:r>
              <w:rPr>
                <w:rFonts w:ascii="宋体" w:hAnsi="宋体" w:eastAsia="宋体"/>
                <w:color w:val="auto"/>
                <w:sz w:val="21"/>
                <w:highlight w:val="none"/>
              </w:rPr>
              <w:t>（3）文件导出受权限控制，须经审批通过后方可执行。</w:t>
            </w:r>
          </w:p>
        </w:tc>
      </w:tr>
      <w:tr w14:paraId="283B0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D669931">
            <w:pPr>
              <w:rPr>
                <w:color w:val="auto"/>
                <w:highlight w:val="none"/>
              </w:rPr>
            </w:pPr>
          </w:p>
        </w:tc>
        <w:tc>
          <w:tcPr>
            <w:tcW w:w="1570" w:type="dxa"/>
            <w:shd w:val="clear" w:color="auto" w:fill="auto"/>
          </w:tcPr>
          <w:p w14:paraId="458A050C">
            <w:pPr>
              <w:rPr>
                <w:color w:val="auto"/>
                <w:highlight w:val="none"/>
              </w:rPr>
            </w:pPr>
            <w:r>
              <w:rPr>
                <w:rFonts w:ascii="宋体" w:hAnsi="宋体" w:eastAsia="宋体"/>
                <w:color w:val="auto"/>
                <w:sz w:val="21"/>
                <w:highlight w:val="none"/>
              </w:rPr>
              <w:t>导出流程与日志</w:t>
            </w:r>
          </w:p>
        </w:tc>
        <w:tc>
          <w:tcPr>
            <w:tcW w:w="5460" w:type="dxa"/>
            <w:shd w:val="clear" w:color="auto" w:fill="auto"/>
          </w:tcPr>
          <w:p w14:paraId="74288FBE">
            <w:pPr>
              <w:rPr>
                <w:color w:val="auto"/>
                <w:highlight w:val="none"/>
              </w:rPr>
            </w:pPr>
            <w:r>
              <w:rPr>
                <w:rFonts w:ascii="宋体" w:hAnsi="宋体" w:eastAsia="宋体"/>
                <w:color w:val="auto"/>
                <w:sz w:val="21"/>
                <w:highlight w:val="none"/>
              </w:rPr>
              <w:t>（1）提供自定义审批流程能力，可设置多条导出审批规则，系统自动匹配执行；</w:t>
            </w:r>
          </w:p>
          <w:p w14:paraId="5C6D3D79">
            <w:pPr>
              <w:rPr>
                <w:color w:val="auto"/>
                <w:highlight w:val="none"/>
              </w:rPr>
            </w:pPr>
            <w:r>
              <w:rPr>
                <w:rFonts w:ascii="宋体" w:hAnsi="宋体" w:eastAsia="宋体"/>
                <w:color w:val="auto"/>
                <w:sz w:val="21"/>
                <w:highlight w:val="none"/>
              </w:rPr>
              <w:t>（2）提供完整导出操作记录，可查看导出状态、导出明细、操作人等信息。</w:t>
            </w:r>
          </w:p>
        </w:tc>
      </w:tr>
      <w:tr w14:paraId="54E8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vAlign w:val="center"/>
          </w:tcPr>
          <w:p w14:paraId="05CA7550">
            <w:pPr>
              <w:jc w:val="cente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十、门诊OFD-H病历无纸化管理</w:t>
            </w:r>
          </w:p>
        </w:tc>
        <w:tc>
          <w:tcPr>
            <w:tcW w:w="1570" w:type="dxa"/>
            <w:shd w:val="clear" w:color="auto" w:fill="auto"/>
            <w:vAlign w:val="top"/>
          </w:tcPr>
          <w:p w14:paraId="56D3B3D0">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门诊病历接收</w:t>
            </w:r>
          </w:p>
        </w:tc>
        <w:tc>
          <w:tcPr>
            <w:tcW w:w="5460" w:type="dxa"/>
            <w:shd w:val="clear" w:color="auto" w:fill="auto"/>
            <w:vAlign w:val="top"/>
          </w:tcPr>
          <w:p w14:paraId="3D962217">
            <w:pPr>
              <w:rPr>
                <w:color w:val="auto"/>
                <w:highlight w:val="none"/>
              </w:rPr>
            </w:pPr>
            <w:r>
              <w:rPr>
                <w:rFonts w:ascii="宋体" w:hAnsi="宋体" w:eastAsia="宋体"/>
                <w:color w:val="auto"/>
                <w:sz w:val="21"/>
                <w:highlight w:val="none"/>
              </w:rPr>
              <w:t>（1）提供标准文书接收接口，供门诊业务系统调用，实时接收门诊病历文书；</w:t>
            </w:r>
          </w:p>
          <w:p w14:paraId="3109E05A">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（2）对接门诊业务系统，自动获取患者基本信息与门诊就诊信息，保障数据同步一致。</w:t>
            </w:r>
          </w:p>
        </w:tc>
      </w:tr>
      <w:tr w14:paraId="4DD9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49E8D9F">
            <w:pPr>
              <w:rPr>
                <w:color w:val="auto"/>
                <w:highlight w:val="none"/>
              </w:rPr>
            </w:pPr>
          </w:p>
        </w:tc>
        <w:tc>
          <w:tcPr>
            <w:tcW w:w="1570" w:type="dxa"/>
            <w:shd w:val="clear" w:color="auto" w:fill="auto"/>
            <w:vAlign w:val="top"/>
          </w:tcPr>
          <w:p w14:paraId="401884DB">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OFD门诊病历存储</w:t>
            </w:r>
          </w:p>
        </w:tc>
        <w:tc>
          <w:tcPr>
            <w:tcW w:w="5460" w:type="dxa"/>
            <w:shd w:val="clear" w:color="auto" w:fill="auto"/>
            <w:vAlign w:val="top"/>
          </w:tcPr>
          <w:p w14:paraId="49443B05">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对经标准化生成的OFD-H门诊病历文书进行统一存储，纳入全院OFD-H文档湖管理，与住院病案统一患者主索引。</w:t>
            </w:r>
          </w:p>
        </w:tc>
      </w:tr>
      <w:tr w14:paraId="4A19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50421EB">
            <w:pPr>
              <w:rPr>
                <w:color w:val="auto"/>
                <w:highlight w:val="none"/>
              </w:rPr>
            </w:pPr>
          </w:p>
        </w:tc>
        <w:tc>
          <w:tcPr>
            <w:tcW w:w="1570" w:type="dxa"/>
            <w:shd w:val="clear" w:color="auto" w:fill="auto"/>
            <w:vAlign w:val="top"/>
          </w:tcPr>
          <w:p w14:paraId="4C0D9380">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门诊病历管理</w:t>
            </w:r>
          </w:p>
        </w:tc>
        <w:tc>
          <w:tcPr>
            <w:tcW w:w="5460" w:type="dxa"/>
            <w:shd w:val="clear" w:color="auto" w:fill="auto"/>
            <w:vAlign w:val="top"/>
          </w:tcPr>
          <w:p w14:paraId="645F8747">
            <w:pPr>
              <w:rPr>
                <w:color w:val="auto"/>
                <w:highlight w:val="none"/>
              </w:rPr>
            </w:pPr>
            <w:r>
              <w:rPr>
                <w:rFonts w:ascii="宋体" w:hAnsi="宋体" w:eastAsia="宋体"/>
                <w:color w:val="auto"/>
                <w:sz w:val="21"/>
                <w:highlight w:val="none"/>
              </w:rPr>
              <w:t>（1）按</w:t>
            </w:r>
            <w:r>
              <w:rPr>
                <w:rFonts w:hint="eastAsia" w:ascii="宋体" w:hAnsi="宋体" w:eastAsia="宋体"/>
                <w:color w:val="auto"/>
                <w:sz w:val="21"/>
                <w:highlight w:val="none"/>
                <w:lang w:eastAsia="zh-CN"/>
              </w:rPr>
              <w:t>“</w:t>
            </w:r>
            <w:r>
              <w:rPr>
                <w:rFonts w:ascii="宋体" w:hAnsi="宋体" w:eastAsia="宋体"/>
                <w:color w:val="auto"/>
                <w:sz w:val="21"/>
                <w:highlight w:val="none"/>
              </w:rPr>
              <w:t>患者+单次就诊</w:t>
            </w:r>
            <w:r>
              <w:rPr>
                <w:rFonts w:hint="eastAsia" w:ascii="宋体" w:hAnsi="宋体" w:eastAsia="宋体"/>
                <w:color w:val="auto"/>
                <w:sz w:val="21"/>
                <w:highlight w:val="none"/>
                <w:lang w:eastAsia="zh-CN"/>
              </w:rPr>
              <w:t>”</w:t>
            </w:r>
            <w:r>
              <w:rPr>
                <w:rFonts w:ascii="宋体" w:hAnsi="宋体" w:eastAsia="宋体"/>
                <w:color w:val="auto"/>
                <w:sz w:val="21"/>
                <w:highlight w:val="none"/>
              </w:rPr>
              <w:t>维度归集OFD-H门诊病历文书，实现统一管理；</w:t>
            </w:r>
          </w:p>
          <w:p w14:paraId="2B2499BE">
            <w:pPr>
              <w:rPr>
                <w:color w:val="auto"/>
                <w:highlight w:val="none"/>
              </w:rPr>
            </w:pPr>
            <w:r>
              <w:rPr>
                <w:rFonts w:ascii="宋体" w:hAnsi="宋体" w:eastAsia="宋体"/>
                <w:color w:val="auto"/>
                <w:sz w:val="21"/>
                <w:highlight w:val="none"/>
              </w:rPr>
              <w:t>（2）支持按就诊时间、患者信息、科室、医生等维度检索门诊病历；</w:t>
            </w:r>
          </w:p>
          <w:p w14:paraId="4BB3477C">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（3）支持按单次就诊查阅所有OFD-H门诊病历详情，支持多份文书无缝切换查看。</w:t>
            </w:r>
          </w:p>
        </w:tc>
      </w:tr>
      <w:tr w14:paraId="10AD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DD3A676">
            <w:pPr>
              <w:rPr>
                <w:color w:val="auto"/>
                <w:highlight w:val="none"/>
              </w:rPr>
            </w:pPr>
          </w:p>
        </w:tc>
        <w:tc>
          <w:tcPr>
            <w:tcW w:w="1570" w:type="dxa"/>
            <w:shd w:val="clear" w:color="auto" w:fill="auto"/>
            <w:vAlign w:val="top"/>
          </w:tcPr>
          <w:p w14:paraId="529E6AF1">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门诊病历服务</w:t>
            </w:r>
          </w:p>
        </w:tc>
        <w:tc>
          <w:tcPr>
            <w:tcW w:w="5460" w:type="dxa"/>
            <w:shd w:val="clear" w:color="auto" w:fill="auto"/>
            <w:vAlign w:val="top"/>
          </w:tcPr>
          <w:p w14:paraId="5A2C64E6">
            <w:pPr>
              <w:rPr>
                <w:color w:val="auto"/>
                <w:highlight w:val="none"/>
              </w:rPr>
            </w:pPr>
            <w:r>
              <w:rPr>
                <w:rFonts w:ascii="宋体" w:hAnsi="宋体" w:eastAsia="宋体"/>
                <w:color w:val="auto"/>
                <w:sz w:val="21"/>
                <w:highlight w:val="none"/>
              </w:rPr>
              <w:t>（1）支持对接打印设备输出纸质版门诊病历；</w:t>
            </w:r>
          </w:p>
          <w:p w14:paraId="1CE4307C">
            <w:pPr>
              <w:rPr>
                <w:color w:val="auto"/>
                <w:highlight w:val="none"/>
              </w:rPr>
            </w:pPr>
            <w:r>
              <w:rPr>
                <w:rFonts w:ascii="宋体" w:hAnsi="宋体" w:eastAsia="宋体"/>
                <w:color w:val="auto"/>
                <w:sz w:val="21"/>
                <w:highlight w:val="none"/>
              </w:rPr>
              <w:t>（2）提供移动端H5预览页面，可嵌入医院移动端应用展示；</w:t>
            </w:r>
          </w:p>
          <w:p w14:paraId="43CEBD8F">
            <w:pPr>
              <w:rPr>
                <w:rFonts w:asciiTheme="minorHAnsi" w:hAnsiTheme="minorHAnsi" w:eastAsiaTheme="minorEastAsia" w:cstheme="minorBidi"/>
                <w:color w:val="auto"/>
                <w:kern w:val="2"/>
                <w:sz w:val="21"/>
                <w:szCs w:val="22"/>
                <w:highlight w:val="none"/>
                <w:lang w:val="en-US" w:eastAsia="zh-CN" w:bidi="ar-SA"/>
              </w:rPr>
            </w:pPr>
            <w:r>
              <w:rPr>
                <w:rFonts w:ascii="宋体" w:hAnsi="宋体" w:eastAsia="宋体"/>
                <w:color w:val="auto"/>
                <w:sz w:val="21"/>
                <w:highlight w:val="none"/>
              </w:rPr>
              <w:t>（3）提供门诊病历OFD-H文件下载API接口，支持院内移动端、互联网医院系统对接调用。</w:t>
            </w:r>
          </w:p>
        </w:tc>
      </w:tr>
      <w:tr w14:paraId="0B1C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60ED721B">
            <w:pPr>
              <w:rPr>
                <w:rFonts w:ascii="宋体" w:hAnsi="宋体" w:eastAsia="宋体"/>
                <w:color w:val="auto"/>
                <w:sz w:val="21"/>
                <w:highlight w:val="none"/>
              </w:rPr>
            </w:pPr>
          </w:p>
          <w:p w14:paraId="23B262C0">
            <w:pPr>
              <w:rPr>
                <w:rFonts w:ascii="宋体" w:hAnsi="宋体" w:eastAsia="宋体"/>
                <w:color w:val="auto"/>
                <w:sz w:val="21"/>
                <w:highlight w:val="none"/>
              </w:rPr>
            </w:pPr>
          </w:p>
          <w:p w14:paraId="6A8D7C38">
            <w:pPr>
              <w:rPr>
                <w:rFonts w:ascii="宋体" w:hAnsi="宋体" w:eastAsia="宋体"/>
                <w:color w:val="auto"/>
                <w:sz w:val="21"/>
                <w:highlight w:val="none"/>
              </w:rPr>
            </w:pPr>
          </w:p>
          <w:p w14:paraId="032CFE2C">
            <w:pPr>
              <w:rPr>
                <w:rFonts w:ascii="宋体" w:hAnsi="宋体" w:eastAsia="宋体"/>
                <w:color w:val="auto"/>
                <w:sz w:val="21"/>
                <w:highlight w:val="none"/>
              </w:rPr>
            </w:pPr>
          </w:p>
          <w:p w14:paraId="779895A3">
            <w:pPr>
              <w:rPr>
                <w:rFonts w:ascii="宋体" w:hAnsi="宋体" w:eastAsia="宋体"/>
                <w:color w:val="auto"/>
                <w:sz w:val="21"/>
                <w:highlight w:val="none"/>
              </w:rPr>
            </w:pPr>
          </w:p>
          <w:p w14:paraId="4D545069">
            <w:pPr>
              <w:rPr>
                <w:rFonts w:ascii="宋体" w:hAnsi="宋体" w:eastAsia="宋体"/>
                <w:color w:val="auto"/>
                <w:sz w:val="21"/>
                <w:highlight w:val="none"/>
              </w:rPr>
            </w:pPr>
          </w:p>
          <w:p w14:paraId="2C3369F0">
            <w:pPr>
              <w:rPr>
                <w:rFonts w:ascii="宋体" w:hAnsi="宋体" w:eastAsia="宋体"/>
                <w:color w:val="auto"/>
                <w:sz w:val="21"/>
                <w:highlight w:val="none"/>
              </w:rPr>
            </w:pPr>
          </w:p>
          <w:p w14:paraId="1F089D89">
            <w:pPr>
              <w:rPr>
                <w:rFonts w:ascii="宋体" w:hAnsi="宋体" w:eastAsia="宋体"/>
                <w:color w:val="auto"/>
                <w:sz w:val="21"/>
                <w:highlight w:val="none"/>
              </w:rPr>
            </w:pPr>
          </w:p>
          <w:p w14:paraId="37D7D6E4">
            <w:pPr>
              <w:rPr>
                <w:rFonts w:ascii="宋体" w:hAnsi="宋体" w:eastAsia="宋体"/>
                <w:color w:val="auto"/>
                <w:sz w:val="21"/>
                <w:highlight w:val="none"/>
              </w:rPr>
            </w:pPr>
          </w:p>
          <w:p w14:paraId="7DB8759F">
            <w:pPr>
              <w:rPr>
                <w:rFonts w:ascii="宋体" w:hAnsi="宋体" w:eastAsia="宋体"/>
                <w:color w:val="auto"/>
                <w:sz w:val="21"/>
                <w:highlight w:val="none"/>
              </w:rPr>
            </w:pPr>
          </w:p>
          <w:p w14:paraId="040D3F98">
            <w:pPr>
              <w:rPr>
                <w:rFonts w:ascii="宋体" w:hAnsi="宋体" w:eastAsia="宋体"/>
                <w:color w:val="auto"/>
                <w:sz w:val="21"/>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一</w:t>
            </w:r>
            <w:r>
              <w:rPr>
                <w:rFonts w:ascii="宋体" w:hAnsi="宋体" w:eastAsia="宋体"/>
                <w:color w:val="auto"/>
                <w:sz w:val="21"/>
                <w:highlight w:val="none"/>
              </w:rPr>
              <w:t>、OFD-H文件湖</w:t>
            </w:r>
          </w:p>
          <w:p w14:paraId="6BA23605">
            <w:pPr>
              <w:rPr>
                <w:color w:val="auto"/>
                <w:highlight w:val="none"/>
              </w:rPr>
            </w:pPr>
          </w:p>
        </w:tc>
        <w:tc>
          <w:tcPr>
            <w:tcW w:w="1570" w:type="dxa"/>
            <w:shd w:val="clear" w:color="auto" w:fill="auto"/>
          </w:tcPr>
          <w:p w14:paraId="236BB781">
            <w:pPr>
              <w:rPr>
                <w:color w:val="auto"/>
                <w:highlight w:val="none"/>
              </w:rPr>
            </w:pPr>
            <w:r>
              <w:rPr>
                <w:rFonts w:ascii="宋体" w:hAnsi="宋体" w:eastAsia="宋体"/>
                <w:color w:val="auto"/>
                <w:sz w:val="21"/>
                <w:highlight w:val="none"/>
              </w:rPr>
              <w:t>文档湖基础管理</w:t>
            </w:r>
          </w:p>
        </w:tc>
        <w:tc>
          <w:tcPr>
            <w:tcW w:w="5460" w:type="dxa"/>
            <w:shd w:val="clear" w:color="auto" w:fill="auto"/>
          </w:tcPr>
          <w:p w14:paraId="304360F9">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（1）支持构建全院统一的OFD-H医疗文档湖，作为医院OFD-H文件服务的统一入口与核心枢纽，支持设置文库访问权限、负责人、安全规则、库内目录等（提供系统截图加盖公章）；</w:t>
            </w:r>
          </w:p>
          <w:p w14:paraId="38B3EB0D">
            <w:pPr>
              <w:rPr>
                <w:color w:val="auto"/>
                <w:highlight w:val="none"/>
              </w:rPr>
            </w:pPr>
            <w:r>
              <w:rPr>
                <w:rFonts w:ascii="宋体" w:hAnsi="宋体" w:eastAsia="宋体"/>
                <w:color w:val="auto"/>
                <w:sz w:val="21"/>
                <w:highlight w:val="none"/>
              </w:rPr>
              <w:t>（2）支持文档湖内病历库目录的日常操作管理，包括目录编辑、查看、移动、权限设定等；</w:t>
            </w:r>
          </w:p>
          <w:p w14:paraId="06C58A92">
            <w:pPr>
              <w:rPr>
                <w:color w:val="auto"/>
                <w:highlight w:val="none"/>
              </w:rPr>
            </w:pPr>
            <w:r>
              <w:rPr>
                <w:rFonts w:ascii="宋体" w:hAnsi="宋体" w:eastAsia="宋体"/>
                <w:color w:val="auto"/>
                <w:sz w:val="21"/>
                <w:highlight w:val="none"/>
              </w:rPr>
              <w:t>（3）支持对入湖文件进行元数据编辑、标签管理、附件添加等操作。</w:t>
            </w:r>
          </w:p>
        </w:tc>
      </w:tr>
      <w:tr w14:paraId="713F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E08733C">
            <w:pPr>
              <w:rPr>
                <w:color w:val="auto"/>
                <w:highlight w:val="none"/>
              </w:rPr>
            </w:pPr>
          </w:p>
        </w:tc>
        <w:tc>
          <w:tcPr>
            <w:tcW w:w="1570" w:type="dxa"/>
            <w:shd w:val="clear" w:color="auto" w:fill="auto"/>
          </w:tcPr>
          <w:p w14:paraId="32C69F38">
            <w:pPr>
              <w:rPr>
                <w:color w:val="auto"/>
                <w:highlight w:val="none"/>
              </w:rPr>
            </w:pPr>
            <w:r>
              <w:rPr>
                <w:rFonts w:ascii="宋体" w:hAnsi="宋体" w:eastAsia="宋体"/>
                <w:color w:val="auto"/>
                <w:sz w:val="21"/>
                <w:highlight w:val="none"/>
              </w:rPr>
              <w:t>多业务文库管理</w:t>
            </w:r>
          </w:p>
        </w:tc>
        <w:tc>
          <w:tcPr>
            <w:tcW w:w="5460" w:type="dxa"/>
            <w:shd w:val="clear" w:color="auto" w:fill="auto"/>
          </w:tcPr>
          <w:p w14:paraId="27A22E22">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提供住院、门急诊、互联网医院、体检四类OFD-H文件库，集中存储管理对应业务系统产生的OFD-H文件，可分别设置访问权限与管理规则（提供系统截图加盖公章）。</w:t>
            </w:r>
          </w:p>
        </w:tc>
      </w:tr>
      <w:tr w14:paraId="12FF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B4FC3E6">
            <w:pPr>
              <w:rPr>
                <w:color w:val="auto"/>
                <w:highlight w:val="none"/>
              </w:rPr>
            </w:pPr>
          </w:p>
        </w:tc>
        <w:tc>
          <w:tcPr>
            <w:tcW w:w="1570" w:type="dxa"/>
            <w:shd w:val="clear" w:color="auto" w:fill="auto"/>
          </w:tcPr>
          <w:p w14:paraId="41E39941">
            <w:pPr>
              <w:rPr>
                <w:color w:val="auto"/>
                <w:highlight w:val="none"/>
              </w:rPr>
            </w:pPr>
            <w:r>
              <w:rPr>
                <w:rFonts w:ascii="宋体" w:hAnsi="宋体" w:eastAsia="宋体"/>
                <w:color w:val="auto"/>
                <w:sz w:val="21"/>
                <w:highlight w:val="none"/>
              </w:rPr>
              <w:t>文件入湖管理</w:t>
            </w:r>
          </w:p>
        </w:tc>
        <w:tc>
          <w:tcPr>
            <w:tcW w:w="5460" w:type="dxa"/>
            <w:shd w:val="clear" w:color="auto" w:fill="auto"/>
          </w:tcPr>
          <w:p w14:paraId="4DBFC238">
            <w:pPr>
              <w:rPr>
                <w:color w:val="auto"/>
                <w:highlight w:val="none"/>
              </w:rPr>
            </w:pPr>
            <w:r>
              <w:rPr>
                <w:rFonts w:ascii="宋体" w:hAnsi="宋体" w:eastAsia="宋体"/>
                <w:color w:val="auto"/>
                <w:sz w:val="21"/>
                <w:highlight w:val="none"/>
              </w:rPr>
              <w:t>（1）支持按患者就诊次维度展示全部文件入湖任务数据，统计不同状态的文档数量；</w:t>
            </w:r>
          </w:p>
          <w:p w14:paraId="12C76F30">
            <w:pPr>
              <w:rPr>
                <w:color w:val="auto"/>
                <w:highlight w:val="none"/>
              </w:rPr>
            </w:pPr>
            <w:r>
              <w:rPr>
                <w:rFonts w:ascii="宋体" w:hAnsi="宋体" w:eastAsia="宋体"/>
                <w:color w:val="auto"/>
                <w:sz w:val="21"/>
                <w:highlight w:val="none"/>
              </w:rPr>
              <w:t>（2）支持手动上传文件收集医疗文书，同步上传附件；</w:t>
            </w:r>
          </w:p>
          <w:p w14:paraId="10D50175">
            <w:pPr>
              <w:rPr>
                <w:color w:val="auto"/>
                <w:highlight w:val="none"/>
              </w:rPr>
            </w:pPr>
            <w:r>
              <w:rPr>
                <w:rFonts w:ascii="宋体" w:hAnsi="宋体" w:eastAsia="宋体"/>
                <w:color w:val="auto"/>
                <w:sz w:val="21"/>
                <w:highlight w:val="none"/>
              </w:rPr>
              <w:t>（3）支持按入库规则将采集的OFD-H文件自动存储至对应文库。</w:t>
            </w:r>
          </w:p>
        </w:tc>
      </w:tr>
      <w:tr w14:paraId="354C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163FC154">
            <w:pPr>
              <w:rPr>
                <w:color w:val="auto"/>
                <w:highlight w:val="none"/>
              </w:rPr>
            </w:pPr>
          </w:p>
        </w:tc>
        <w:tc>
          <w:tcPr>
            <w:tcW w:w="1570" w:type="dxa"/>
            <w:shd w:val="clear" w:color="auto" w:fill="auto"/>
          </w:tcPr>
          <w:p w14:paraId="3D830ECF">
            <w:pPr>
              <w:rPr>
                <w:color w:val="auto"/>
                <w:highlight w:val="none"/>
              </w:rPr>
            </w:pPr>
            <w:r>
              <w:rPr>
                <w:rFonts w:ascii="宋体" w:hAnsi="宋体" w:eastAsia="宋体"/>
                <w:color w:val="auto"/>
                <w:sz w:val="21"/>
                <w:highlight w:val="none"/>
              </w:rPr>
              <w:t>专科文库管理</w:t>
            </w:r>
          </w:p>
        </w:tc>
        <w:tc>
          <w:tcPr>
            <w:tcW w:w="5460" w:type="dxa"/>
            <w:shd w:val="clear" w:color="auto" w:fill="auto"/>
          </w:tcPr>
          <w:p w14:paraId="3F65FB31">
            <w:pPr>
              <w:rPr>
                <w:color w:val="auto"/>
                <w:highlight w:val="none"/>
              </w:rPr>
            </w:pPr>
            <w:r>
              <w:rPr>
                <w:rFonts w:ascii="宋体" w:hAnsi="宋体" w:eastAsia="宋体"/>
                <w:color w:val="auto"/>
                <w:sz w:val="21"/>
                <w:highlight w:val="none"/>
              </w:rPr>
              <w:t>支持不少于3个重点专科的专属文库，独立管理专科全周期诊疗文书，适配专科科研与管理需求。</w:t>
            </w:r>
          </w:p>
        </w:tc>
      </w:tr>
      <w:tr w14:paraId="7252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554E6ED">
            <w:pPr>
              <w:rPr>
                <w:color w:val="auto"/>
                <w:highlight w:val="none"/>
              </w:rPr>
            </w:pPr>
          </w:p>
        </w:tc>
        <w:tc>
          <w:tcPr>
            <w:tcW w:w="1570" w:type="dxa"/>
            <w:shd w:val="clear" w:color="auto" w:fill="auto"/>
          </w:tcPr>
          <w:p w14:paraId="7571400E">
            <w:pPr>
              <w:rPr>
                <w:color w:val="auto"/>
                <w:highlight w:val="none"/>
              </w:rPr>
            </w:pPr>
            <w:r>
              <w:rPr>
                <w:rFonts w:ascii="宋体" w:hAnsi="宋体" w:eastAsia="宋体"/>
                <w:color w:val="auto"/>
                <w:sz w:val="21"/>
                <w:highlight w:val="none"/>
              </w:rPr>
              <w:t>水印个性化配置</w:t>
            </w:r>
          </w:p>
        </w:tc>
        <w:tc>
          <w:tcPr>
            <w:tcW w:w="5460" w:type="dxa"/>
            <w:shd w:val="clear" w:color="auto" w:fill="auto"/>
          </w:tcPr>
          <w:p w14:paraId="03CAC100">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支持设置独立病历库水印功能，满足不同文库的专属水印显示需求（提供系统截图加盖公章）。</w:t>
            </w:r>
          </w:p>
        </w:tc>
      </w:tr>
      <w:tr w14:paraId="5B33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C69D3BF">
            <w:pPr>
              <w:rPr>
                <w:color w:val="auto"/>
                <w:highlight w:val="none"/>
              </w:rPr>
            </w:pPr>
          </w:p>
        </w:tc>
        <w:tc>
          <w:tcPr>
            <w:tcW w:w="1570" w:type="dxa"/>
            <w:shd w:val="clear" w:color="auto" w:fill="auto"/>
          </w:tcPr>
          <w:p w14:paraId="310D7AAE">
            <w:pPr>
              <w:rPr>
                <w:color w:val="auto"/>
                <w:highlight w:val="none"/>
              </w:rPr>
            </w:pPr>
            <w:r>
              <w:rPr>
                <w:rFonts w:ascii="宋体" w:hAnsi="宋体" w:eastAsia="宋体"/>
                <w:color w:val="auto"/>
                <w:sz w:val="21"/>
                <w:highlight w:val="none"/>
              </w:rPr>
              <w:t>病案首页专项管理</w:t>
            </w:r>
          </w:p>
        </w:tc>
        <w:tc>
          <w:tcPr>
            <w:tcW w:w="5460" w:type="dxa"/>
            <w:shd w:val="clear" w:color="auto" w:fill="auto"/>
          </w:tcPr>
          <w:p w14:paraId="0E0910D6">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支持OFD-H病案首页数据封装，系统内置病案首页标准封装规则，支持自定义修改封装规则（提供系统截图加盖公章）。</w:t>
            </w:r>
          </w:p>
        </w:tc>
      </w:tr>
      <w:tr w14:paraId="5B07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325D34BB">
            <w:pPr>
              <w:rPr>
                <w:rFonts w:ascii="宋体" w:hAnsi="宋体" w:eastAsia="宋体"/>
                <w:color w:val="auto"/>
                <w:sz w:val="21"/>
                <w:highlight w:val="none"/>
              </w:rPr>
            </w:pPr>
          </w:p>
          <w:p w14:paraId="4292715A">
            <w:pPr>
              <w:rPr>
                <w:rFonts w:ascii="宋体" w:hAnsi="宋体" w:eastAsia="宋体"/>
                <w:color w:val="auto"/>
                <w:sz w:val="21"/>
                <w:highlight w:val="none"/>
              </w:rPr>
            </w:pPr>
          </w:p>
          <w:p w14:paraId="21ED3FAC">
            <w:pPr>
              <w:rPr>
                <w:rFonts w:ascii="宋体" w:hAnsi="宋体" w:eastAsia="宋体"/>
                <w:color w:val="auto"/>
                <w:sz w:val="21"/>
                <w:highlight w:val="none"/>
              </w:rPr>
            </w:pPr>
          </w:p>
          <w:p w14:paraId="5C210349">
            <w:pPr>
              <w:rPr>
                <w:color w:val="auto"/>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二</w:t>
            </w:r>
            <w:r>
              <w:rPr>
                <w:rFonts w:ascii="宋体" w:hAnsi="宋体" w:eastAsia="宋体"/>
                <w:color w:val="auto"/>
                <w:sz w:val="21"/>
                <w:highlight w:val="none"/>
              </w:rPr>
              <w:t>、流程管理</w:t>
            </w:r>
          </w:p>
        </w:tc>
        <w:tc>
          <w:tcPr>
            <w:tcW w:w="1570" w:type="dxa"/>
            <w:shd w:val="clear" w:color="auto" w:fill="auto"/>
          </w:tcPr>
          <w:p w14:paraId="1C06361C">
            <w:pPr>
              <w:rPr>
                <w:color w:val="auto"/>
                <w:highlight w:val="none"/>
              </w:rPr>
            </w:pPr>
            <w:r>
              <w:rPr>
                <w:rFonts w:ascii="宋体" w:hAnsi="宋体" w:eastAsia="宋体"/>
                <w:color w:val="auto"/>
                <w:sz w:val="21"/>
                <w:highlight w:val="none"/>
              </w:rPr>
              <w:t>流程模板配置</w:t>
            </w:r>
          </w:p>
        </w:tc>
        <w:tc>
          <w:tcPr>
            <w:tcW w:w="5460" w:type="dxa"/>
            <w:shd w:val="clear" w:color="auto" w:fill="auto"/>
          </w:tcPr>
          <w:p w14:paraId="414E027D">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提供灵活的流程定义能力，可配置流程节点、参与角色、审批规则、超时策略等，形成可复用、可管控的规范化流程模板（提供系统截图加盖公章）。</w:t>
            </w:r>
          </w:p>
        </w:tc>
      </w:tr>
      <w:tr w14:paraId="6D22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7A60BBE">
            <w:pPr>
              <w:rPr>
                <w:color w:val="auto"/>
                <w:highlight w:val="none"/>
              </w:rPr>
            </w:pPr>
          </w:p>
        </w:tc>
        <w:tc>
          <w:tcPr>
            <w:tcW w:w="1570" w:type="dxa"/>
            <w:shd w:val="clear" w:color="auto" w:fill="auto"/>
          </w:tcPr>
          <w:p w14:paraId="40A586A4">
            <w:pPr>
              <w:rPr>
                <w:color w:val="auto"/>
                <w:highlight w:val="none"/>
              </w:rPr>
            </w:pPr>
            <w:r>
              <w:rPr>
                <w:rFonts w:ascii="宋体" w:hAnsi="宋体" w:eastAsia="宋体"/>
                <w:color w:val="auto"/>
                <w:sz w:val="21"/>
                <w:highlight w:val="none"/>
              </w:rPr>
              <w:t>业务流程适配</w:t>
            </w:r>
          </w:p>
        </w:tc>
        <w:tc>
          <w:tcPr>
            <w:tcW w:w="5460" w:type="dxa"/>
            <w:shd w:val="clear" w:color="auto" w:fill="auto"/>
          </w:tcPr>
          <w:p w14:paraId="37B0E039">
            <w:pPr>
              <w:rPr>
                <w:color w:val="auto"/>
                <w:highlight w:val="none"/>
              </w:rPr>
            </w:pPr>
            <w:r>
              <w:rPr>
                <w:rFonts w:ascii="宋体" w:hAnsi="宋体" w:eastAsia="宋体"/>
                <w:color w:val="auto"/>
                <w:sz w:val="21"/>
                <w:highlight w:val="none"/>
              </w:rPr>
              <w:t>支持根据医院管理需求，对归档、借阅、导出、打印等各类业务设置差异化流程规则，满足不同场景的管控需求。</w:t>
            </w:r>
          </w:p>
        </w:tc>
      </w:tr>
      <w:tr w14:paraId="4CAB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A9AF9FB">
            <w:pPr>
              <w:rPr>
                <w:color w:val="auto"/>
                <w:highlight w:val="none"/>
              </w:rPr>
            </w:pPr>
          </w:p>
        </w:tc>
        <w:tc>
          <w:tcPr>
            <w:tcW w:w="1570" w:type="dxa"/>
            <w:shd w:val="clear" w:color="auto" w:fill="auto"/>
          </w:tcPr>
          <w:p w14:paraId="6CF46D60">
            <w:pPr>
              <w:rPr>
                <w:color w:val="auto"/>
                <w:highlight w:val="none"/>
              </w:rPr>
            </w:pPr>
            <w:r>
              <w:rPr>
                <w:rFonts w:ascii="宋体" w:hAnsi="宋体" w:eastAsia="宋体"/>
                <w:color w:val="auto"/>
                <w:sz w:val="21"/>
                <w:highlight w:val="none"/>
              </w:rPr>
              <w:t>工作流引擎</w:t>
            </w:r>
          </w:p>
        </w:tc>
        <w:tc>
          <w:tcPr>
            <w:tcW w:w="5460" w:type="dxa"/>
            <w:shd w:val="clear" w:color="auto" w:fill="auto"/>
          </w:tcPr>
          <w:p w14:paraId="50C879BA">
            <w:pPr>
              <w:rPr>
                <w:color w:val="auto"/>
                <w:highlight w:val="none"/>
              </w:rPr>
            </w:pPr>
            <w:r>
              <w:rPr>
                <w:rFonts w:ascii="宋体" w:hAnsi="宋体" w:eastAsia="宋体"/>
                <w:color w:val="auto"/>
                <w:sz w:val="21"/>
                <w:highlight w:val="none"/>
              </w:rPr>
              <w:t>内置高性能工作流引擎，支持工作流任务接收、参数配置、自动化流转、异常回退、超时提醒等能力。</w:t>
            </w:r>
          </w:p>
        </w:tc>
      </w:tr>
      <w:tr w14:paraId="7079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78048FFD">
            <w:pPr>
              <w:rPr>
                <w:rFonts w:ascii="宋体" w:hAnsi="宋体" w:eastAsia="宋体"/>
                <w:color w:val="auto"/>
                <w:sz w:val="21"/>
                <w:highlight w:val="none"/>
              </w:rPr>
            </w:pPr>
          </w:p>
          <w:p w14:paraId="353B3F16">
            <w:pPr>
              <w:rPr>
                <w:rFonts w:ascii="宋体" w:hAnsi="宋体" w:eastAsia="宋体"/>
                <w:color w:val="auto"/>
                <w:sz w:val="21"/>
                <w:highlight w:val="none"/>
              </w:rPr>
            </w:pPr>
          </w:p>
          <w:p w14:paraId="72B0ED82">
            <w:pPr>
              <w:rPr>
                <w:rFonts w:ascii="宋体" w:hAnsi="宋体" w:eastAsia="宋体"/>
                <w:color w:val="auto"/>
                <w:sz w:val="21"/>
                <w:highlight w:val="none"/>
              </w:rPr>
            </w:pPr>
          </w:p>
          <w:p w14:paraId="1B19F8A2">
            <w:pPr>
              <w:rPr>
                <w:rFonts w:ascii="宋体" w:hAnsi="宋体" w:eastAsia="宋体"/>
                <w:color w:val="auto"/>
                <w:sz w:val="21"/>
                <w:highlight w:val="none"/>
              </w:rPr>
            </w:pPr>
          </w:p>
          <w:p w14:paraId="0ADC2906">
            <w:pPr>
              <w:rPr>
                <w:rFonts w:ascii="宋体" w:hAnsi="宋体" w:eastAsia="宋体"/>
                <w:color w:val="auto"/>
                <w:sz w:val="21"/>
                <w:highlight w:val="none"/>
              </w:rPr>
            </w:pPr>
          </w:p>
          <w:p w14:paraId="498FADA8">
            <w:pPr>
              <w:rPr>
                <w:rFonts w:ascii="宋体" w:hAnsi="宋体" w:eastAsia="宋体"/>
                <w:color w:val="auto"/>
                <w:sz w:val="21"/>
                <w:highlight w:val="none"/>
              </w:rPr>
            </w:pPr>
          </w:p>
          <w:p w14:paraId="6EA053B4">
            <w:pPr>
              <w:rPr>
                <w:rFonts w:ascii="宋体" w:hAnsi="宋体" w:eastAsia="宋体"/>
                <w:color w:val="auto"/>
                <w:sz w:val="21"/>
                <w:highlight w:val="none"/>
              </w:rPr>
            </w:pPr>
          </w:p>
          <w:p w14:paraId="354E1BA4">
            <w:pPr>
              <w:rPr>
                <w:rFonts w:ascii="宋体" w:hAnsi="宋体" w:eastAsia="宋体"/>
                <w:color w:val="auto"/>
                <w:sz w:val="21"/>
                <w:highlight w:val="none"/>
              </w:rPr>
            </w:pPr>
          </w:p>
          <w:p w14:paraId="16B5C06C">
            <w:pPr>
              <w:rPr>
                <w:rFonts w:ascii="宋体" w:hAnsi="宋体" w:eastAsia="宋体"/>
                <w:color w:val="auto"/>
                <w:sz w:val="21"/>
                <w:highlight w:val="none"/>
              </w:rPr>
            </w:pPr>
          </w:p>
          <w:p w14:paraId="31BAAF9E">
            <w:pPr>
              <w:rPr>
                <w:rFonts w:ascii="宋体" w:hAnsi="宋体" w:eastAsia="宋体"/>
                <w:color w:val="auto"/>
                <w:sz w:val="21"/>
                <w:highlight w:val="none"/>
              </w:rPr>
            </w:pPr>
          </w:p>
          <w:p w14:paraId="4FDFBDD2">
            <w:pPr>
              <w:rPr>
                <w:rFonts w:ascii="宋体" w:hAnsi="宋体" w:eastAsia="宋体"/>
                <w:color w:val="auto"/>
                <w:sz w:val="21"/>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三</w:t>
            </w:r>
            <w:r>
              <w:rPr>
                <w:rFonts w:ascii="宋体" w:hAnsi="宋体" w:eastAsia="宋体"/>
                <w:color w:val="auto"/>
                <w:sz w:val="21"/>
                <w:highlight w:val="none"/>
              </w:rPr>
              <w:t>、基础数据管理</w:t>
            </w:r>
          </w:p>
          <w:p w14:paraId="6275DBD8">
            <w:pPr>
              <w:rPr>
                <w:color w:val="auto"/>
                <w:highlight w:val="none"/>
              </w:rPr>
            </w:pPr>
          </w:p>
        </w:tc>
        <w:tc>
          <w:tcPr>
            <w:tcW w:w="1570" w:type="dxa"/>
            <w:shd w:val="clear" w:color="auto" w:fill="auto"/>
          </w:tcPr>
          <w:p w14:paraId="47CC48EE">
            <w:pPr>
              <w:rPr>
                <w:color w:val="auto"/>
                <w:highlight w:val="none"/>
              </w:rPr>
            </w:pPr>
            <w:r>
              <w:rPr>
                <w:rFonts w:ascii="宋体" w:hAnsi="宋体" w:eastAsia="宋体"/>
                <w:color w:val="auto"/>
                <w:sz w:val="21"/>
                <w:highlight w:val="none"/>
              </w:rPr>
              <w:t>基础字典管理</w:t>
            </w:r>
          </w:p>
        </w:tc>
        <w:tc>
          <w:tcPr>
            <w:tcW w:w="5460" w:type="dxa"/>
            <w:shd w:val="clear" w:color="auto" w:fill="auto"/>
          </w:tcPr>
          <w:p w14:paraId="4D141334">
            <w:pPr>
              <w:rPr>
                <w:color w:val="auto"/>
                <w:highlight w:val="none"/>
              </w:rPr>
            </w:pPr>
            <w:r>
              <w:rPr>
                <w:rFonts w:ascii="宋体" w:hAnsi="宋体" w:eastAsia="宋体"/>
                <w:color w:val="auto"/>
                <w:sz w:val="21"/>
                <w:highlight w:val="none"/>
              </w:rPr>
              <w:t>（1）支持设置住院病案首页数据集，可自定义修改；</w:t>
            </w:r>
          </w:p>
          <w:p w14:paraId="419208F2">
            <w:pPr>
              <w:rPr>
                <w:color w:val="auto"/>
                <w:highlight w:val="none"/>
              </w:rPr>
            </w:pPr>
            <w:r>
              <w:rPr>
                <w:rFonts w:ascii="宋体" w:hAnsi="宋体" w:eastAsia="宋体"/>
                <w:color w:val="auto"/>
                <w:sz w:val="21"/>
                <w:highlight w:val="none"/>
              </w:rPr>
              <w:t>（2）提供通用化基础字典模块，可维护各类医院基础字典数据，支持快速初始化与后期扩展；</w:t>
            </w:r>
          </w:p>
          <w:p w14:paraId="1DE1B64B">
            <w:pPr>
              <w:rPr>
                <w:color w:val="auto"/>
                <w:highlight w:val="none"/>
              </w:rPr>
            </w:pPr>
            <w:r>
              <w:rPr>
                <w:rFonts w:ascii="宋体" w:hAnsi="宋体" w:eastAsia="宋体"/>
                <w:color w:val="auto"/>
                <w:sz w:val="21"/>
                <w:highlight w:val="none"/>
              </w:rPr>
              <w:t>（3）全院字典与业务系统保持统一，保障数据合规性与同一性。</w:t>
            </w:r>
          </w:p>
        </w:tc>
      </w:tr>
      <w:tr w14:paraId="7468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11A0D30">
            <w:pPr>
              <w:rPr>
                <w:color w:val="auto"/>
                <w:highlight w:val="none"/>
              </w:rPr>
            </w:pPr>
          </w:p>
        </w:tc>
        <w:tc>
          <w:tcPr>
            <w:tcW w:w="1570" w:type="dxa"/>
            <w:shd w:val="clear" w:color="auto" w:fill="auto"/>
          </w:tcPr>
          <w:p w14:paraId="35BEFAB1">
            <w:pPr>
              <w:rPr>
                <w:color w:val="auto"/>
                <w:highlight w:val="none"/>
              </w:rPr>
            </w:pPr>
            <w:r>
              <w:rPr>
                <w:rFonts w:ascii="宋体" w:hAnsi="宋体" w:eastAsia="宋体"/>
                <w:color w:val="auto"/>
                <w:sz w:val="21"/>
                <w:highlight w:val="none"/>
              </w:rPr>
              <w:t>元数据管理</w:t>
            </w:r>
          </w:p>
        </w:tc>
        <w:tc>
          <w:tcPr>
            <w:tcW w:w="5460" w:type="dxa"/>
            <w:shd w:val="clear" w:color="auto" w:fill="auto"/>
          </w:tcPr>
          <w:p w14:paraId="303CA0BF">
            <w:pPr>
              <w:rPr>
                <w:color w:val="auto"/>
                <w:highlight w:val="none"/>
              </w:rPr>
            </w:pP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1</w:t>
            </w:r>
            <w:r>
              <w:rPr>
                <w:rFonts w:hint="eastAsia" w:ascii="宋体" w:hAnsi="宋体" w:eastAsia="宋体"/>
                <w:color w:val="auto"/>
                <w:sz w:val="21"/>
                <w:highlight w:val="none"/>
                <w:lang w:eastAsia="zh-CN"/>
              </w:rPr>
              <w:t>）</w:t>
            </w:r>
            <w:r>
              <w:rPr>
                <w:rFonts w:ascii="宋体" w:hAnsi="宋体" w:eastAsia="宋体"/>
                <w:color w:val="auto"/>
                <w:sz w:val="21"/>
                <w:highlight w:val="none"/>
              </w:rPr>
              <w:t>提供元数据项及属性信息维护能力，集中管理元数据池，在OFD-H封装、检索、质控等节点统一应用（提供系统截图加盖公章）；</w:t>
            </w:r>
          </w:p>
          <w:p w14:paraId="147C26CC">
            <w:pPr>
              <w:rPr>
                <w:color w:val="auto"/>
                <w:highlight w:val="none"/>
              </w:rPr>
            </w:pPr>
            <w:r>
              <w:rPr>
                <w:rFonts w:hint="eastAsia" w:ascii="宋体" w:hAnsi="宋体" w:eastAsia="宋体"/>
                <w:color w:val="auto"/>
                <w:sz w:val="21"/>
                <w:highlight w:val="none"/>
                <w:lang w:eastAsia="zh-CN"/>
              </w:rPr>
              <w:t>（</w:t>
            </w:r>
            <w:r>
              <w:rPr>
                <w:rFonts w:hint="eastAsia" w:ascii="宋体" w:hAnsi="宋体" w:eastAsia="宋体"/>
                <w:color w:val="auto"/>
                <w:sz w:val="21"/>
                <w:highlight w:val="none"/>
                <w:lang w:val="en-US" w:eastAsia="zh-CN"/>
              </w:rPr>
              <w:t>2</w:t>
            </w:r>
            <w:r>
              <w:rPr>
                <w:rFonts w:hint="eastAsia" w:ascii="宋体" w:hAnsi="宋体" w:eastAsia="宋体"/>
                <w:color w:val="auto"/>
                <w:sz w:val="21"/>
                <w:highlight w:val="none"/>
                <w:lang w:eastAsia="zh-CN"/>
              </w:rPr>
              <w:t>）</w:t>
            </w:r>
            <w:r>
              <w:rPr>
                <w:rFonts w:ascii="宋体" w:hAnsi="宋体" w:eastAsia="宋体"/>
                <w:color w:val="auto"/>
                <w:sz w:val="21"/>
                <w:highlight w:val="none"/>
              </w:rPr>
              <w:t>支持对元数据项分类管理，提供接口采集、人工录入两种收集方式。</w:t>
            </w:r>
          </w:p>
        </w:tc>
      </w:tr>
      <w:tr w14:paraId="28EA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D1A938E">
            <w:pPr>
              <w:rPr>
                <w:color w:val="auto"/>
                <w:highlight w:val="none"/>
              </w:rPr>
            </w:pPr>
          </w:p>
        </w:tc>
        <w:tc>
          <w:tcPr>
            <w:tcW w:w="1570" w:type="dxa"/>
            <w:shd w:val="clear" w:color="auto" w:fill="auto"/>
          </w:tcPr>
          <w:p w14:paraId="3F7BFF7D">
            <w:pPr>
              <w:rPr>
                <w:color w:val="auto"/>
                <w:highlight w:val="none"/>
              </w:rPr>
            </w:pPr>
            <w:r>
              <w:rPr>
                <w:rFonts w:ascii="宋体" w:hAnsi="宋体" w:eastAsia="宋体"/>
                <w:color w:val="auto"/>
                <w:sz w:val="21"/>
                <w:highlight w:val="none"/>
              </w:rPr>
              <w:t>标签管理</w:t>
            </w:r>
          </w:p>
        </w:tc>
        <w:tc>
          <w:tcPr>
            <w:tcW w:w="5460" w:type="dxa"/>
            <w:shd w:val="clear" w:color="auto" w:fill="auto"/>
          </w:tcPr>
          <w:p w14:paraId="4D9CC3FF">
            <w:pPr>
              <w:rPr>
                <w:color w:val="auto"/>
                <w:highlight w:val="none"/>
              </w:rPr>
            </w:pPr>
            <w:r>
              <w:rPr>
                <w:rFonts w:ascii="宋体" w:hAnsi="宋体" w:eastAsia="宋体"/>
                <w:color w:val="auto"/>
                <w:sz w:val="21"/>
                <w:highlight w:val="none"/>
              </w:rPr>
              <w:t>（1）支持对标签进行多维、分类化管理，可按文件类型、业务领域、科室、诊断、时间等维度定义标签分类；</w:t>
            </w:r>
          </w:p>
          <w:p w14:paraId="6219DB9D">
            <w:pPr>
              <w:rPr>
                <w:color w:val="auto"/>
                <w:highlight w:val="none"/>
              </w:rPr>
            </w:pPr>
            <w:r>
              <w:rPr>
                <w:rFonts w:ascii="宋体" w:hAnsi="宋体" w:eastAsia="宋体"/>
                <w:color w:val="auto"/>
                <w:sz w:val="21"/>
                <w:highlight w:val="none"/>
              </w:rPr>
              <w:t>（2）具备标签批量导入导出能力；</w:t>
            </w:r>
          </w:p>
          <w:p w14:paraId="0F401817">
            <w:pPr>
              <w:rPr>
                <w:color w:val="auto"/>
                <w:highlight w:val="none"/>
              </w:rPr>
            </w:pPr>
            <w:r>
              <w:rPr>
                <w:rFonts w:ascii="宋体" w:hAnsi="宋体" w:eastAsia="宋体"/>
                <w:color w:val="auto"/>
                <w:sz w:val="21"/>
                <w:highlight w:val="none"/>
              </w:rPr>
              <w:t>（3）提供接口采集、人工录入两种标签管理方式。</w:t>
            </w:r>
          </w:p>
        </w:tc>
      </w:tr>
      <w:tr w14:paraId="5E1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C402B0C">
            <w:pPr>
              <w:rPr>
                <w:color w:val="auto"/>
                <w:highlight w:val="none"/>
              </w:rPr>
            </w:pPr>
          </w:p>
        </w:tc>
        <w:tc>
          <w:tcPr>
            <w:tcW w:w="1570" w:type="dxa"/>
            <w:shd w:val="clear" w:color="auto" w:fill="auto"/>
          </w:tcPr>
          <w:p w14:paraId="50F129F0">
            <w:pPr>
              <w:rPr>
                <w:color w:val="auto"/>
                <w:highlight w:val="none"/>
              </w:rPr>
            </w:pPr>
            <w:r>
              <w:rPr>
                <w:rFonts w:ascii="宋体" w:hAnsi="宋体" w:eastAsia="宋体"/>
                <w:color w:val="auto"/>
                <w:sz w:val="21"/>
                <w:highlight w:val="none"/>
              </w:rPr>
              <w:t>归档标准化配置管理</w:t>
            </w:r>
          </w:p>
        </w:tc>
        <w:tc>
          <w:tcPr>
            <w:tcW w:w="5460" w:type="dxa"/>
            <w:shd w:val="clear" w:color="auto" w:fill="auto"/>
          </w:tcPr>
          <w:p w14:paraId="394FFFD0">
            <w:pPr>
              <w:rPr>
                <w:color w:val="auto"/>
                <w:highlight w:val="none"/>
              </w:rPr>
            </w:pPr>
            <w:r>
              <w:rPr>
                <w:rFonts w:ascii="宋体" w:hAnsi="宋体" w:eastAsia="宋体"/>
                <w:color w:val="auto"/>
                <w:sz w:val="21"/>
                <w:highlight w:val="none"/>
              </w:rPr>
              <w:t>（1）目录管理：支持病案目录结构的数据维护与归档规则关联配置；</w:t>
            </w:r>
          </w:p>
          <w:p w14:paraId="41FD6E1C">
            <w:pPr>
              <w:rPr>
                <w:color w:val="auto"/>
                <w:highlight w:val="none"/>
              </w:rPr>
            </w:pPr>
            <w:r>
              <w:rPr>
                <w:rFonts w:ascii="宋体" w:hAnsi="宋体" w:eastAsia="宋体"/>
                <w:color w:val="auto"/>
                <w:sz w:val="21"/>
                <w:highlight w:val="none"/>
              </w:rPr>
              <w:t>（2）OFD格式转化设置：支持开关控制OFD格式自动转换服务；</w:t>
            </w:r>
          </w:p>
          <w:p w14:paraId="05CE86F9">
            <w:pPr>
              <w:rPr>
                <w:color w:val="auto"/>
                <w:highlight w:val="none"/>
              </w:rPr>
            </w:pPr>
            <w:r>
              <w:rPr>
                <w:rFonts w:ascii="宋体" w:hAnsi="宋体" w:eastAsia="宋体"/>
                <w:color w:val="auto"/>
                <w:sz w:val="21"/>
                <w:highlight w:val="none"/>
              </w:rPr>
              <w:t>（3）完整性检测设置：支持开关控制病案完整性自动检测服务；</w:t>
            </w:r>
          </w:p>
          <w:p w14:paraId="055D0FA6">
            <w:pPr>
              <w:rPr>
                <w:color w:val="auto"/>
                <w:highlight w:val="none"/>
              </w:rPr>
            </w:pPr>
            <w:r>
              <w:rPr>
                <w:rFonts w:ascii="宋体" w:hAnsi="宋体" w:eastAsia="宋体"/>
                <w:color w:val="auto"/>
                <w:sz w:val="21"/>
                <w:highlight w:val="none"/>
              </w:rPr>
              <w:t>（4）文书验签设置：支持开关控制归档前自动验签服务；</w:t>
            </w:r>
          </w:p>
          <w:p w14:paraId="6F03B245">
            <w:pPr>
              <w:rPr>
                <w:color w:val="auto"/>
                <w:highlight w:val="none"/>
              </w:rPr>
            </w:pPr>
            <w:r>
              <w:rPr>
                <w:rFonts w:ascii="宋体" w:hAnsi="宋体" w:eastAsia="宋体"/>
                <w:color w:val="auto"/>
                <w:sz w:val="21"/>
                <w:highlight w:val="none"/>
              </w:rPr>
              <w:t>（5）病案封装设置：支持开关控制病案自动封装服务；</w:t>
            </w:r>
          </w:p>
          <w:p w14:paraId="2F14F8DD">
            <w:pPr>
              <w:rPr>
                <w:color w:val="auto"/>
                <w:highlight w:val="none"/>
              </w:rPr>
            </w:pPr>
            <w:r>
              <w:rPr>
                <w:rFonts w:ascii="宋体" w:hAnsi="宋体" w:eastAsia="宋体"/>
                <w:color w:val="auto"/>
                <w:sz w:val="21"/>
                <w:highlight w:val="none"/>
              </w:rPr>
              <w:t>（6）归档签章开关：支持归档环节病案自动签章服务的开关控制。</w:t>
            </w:r>
          </w:p>
        </w:tc>
      </w:tr>
      <w:tr w14:paraId="792D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08854C7">
            <w:pPr>
              <w:rPr>
                <w:color w:val="auto"/>
                <w:highlight w:val="none"/>
              </w:rPr>
            </w:pPr>
          </w:p>
        </w:tc>
        <w:tc>
          <w:tcPr>
            <w:tcW w:w="1570" w:type="dxa"/>
            <w:shd w:val="clear" w:color="auto" w:fill="auto"/>
          </w:tcPr>
          <w:p w14:paraId="469FA3E5">
            <w:pPr>
              <w:rPr>
                <w:color w:val="auto"/>
                <w:highlight w:val="none"/>
              </w:rPr>
            </w:pPr>
            <w:r>
              <w:rPr>
                <w:rFonts w:ascii="宋体" w:hAnsi="宋体" w:eastAsia="宋体"/>
                <w:color w:val="auto"/>
                <w:sz w:val="21"/>
                <w:highlight w:val="none"/>
              </w:rPr>
              <w:t>目录配置管理</w:t>
            </w:r>
          </w:p>
        </w:tc>
        <w:tc>
          <w:tcPr>
            <w:tcW w:w="5460" w:type="dxa"/>
            <w:shd w:val="clear" w:color="auto" w:fill="auto"/>
          </w:tcPr>
          <w:p w14:paraId="4B4770E3">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提供OFD-H目录配置功能，支持按不同医疗事件类型设置多级目录，适配门诊、住院、专科等不同业务场景（提供系统截图加盖公章）。</w:t>
            </w:r>
          </w:p>
        </w:tc>
      </w:tr>
      <w:tr w14:paraId="0933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shd w:val="clear" w:color="auto" w:fill="auto"/>
          </w:tcPr>
          <w:p w14:paraId="67747DB7">
            <w:pPr>
              <w:rPr>
                <w:color w:val="auto"/>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四</w:t>
            </w:r>
            <w:r>
              <w:rPr>
                <w:rFonts w:ascii="宋体" w:hAnsi="宋体" w:eastAsia="宋体"/>
                <w:color w:val="auto"/>
                <w:sz w:val="21"/>
                <w:highlight w:val="none"/>
              </w:rPr>
              <w:t>、个人中心</w:t>
            </w:r>
          </w:p>
        </w:tc>
        <w:tc>
          <w:tcPr>
            <w:tcW w:w="1570" w:type="dxa"/>
            <w:shd w:val="clear" w:color="auto" w:fill="auto"/>
          </w:tcPr>
          <w:p w14:paraId="0657753B">
            <w:pPr>
              <w:rPr>
                <w:color w:val="auto"/>
                <w:highlight w:val="none"/>
              </w:rPr>
            </w:pPr>
            <w:r>
              <w:rPr>
                <w:rFonts w:ascii="宋体" w:hAnsi="宋体" w:eastAsia="宋体"/>
                <w:color w:val="auto"/>
                <w:sz w:val="21"/>
                <w:highlight w:val="none"/>
              </w:rPr>
              <w:t>个人中心</w:t>
            </w:r>
          </w:p>
        </w:tc>
        <w:tc>
          <w:tcPr>
            <w:tcW w:w="5460" w:type="dxa"/>
            <w:shd w:val="clear" w:color="auto" w:fill="auto"/>
          </w:tcPr>
          <w:p w14:paraId="17623B70">
            <w:pPr>
              <w:rPr>
                <w:color w:val="auto"/>
                <w:highlight w:val="none"/>
              </w:rPr>
            </w:pPr>
            <w:r>
              <w:rPr>
                <w:rFonts w:ascii="宋体" w:hAnsi="宋体" w:eastAsia="宋体"/>
                <w:color w:val="auto"/>
                <w:sz w:val="21"/>
                <w:highlight w:val="none"/>
              </w:rPr>
              <w:t>（1）支持对个人信息的显示、密码重置、个性化界面配置；</w:t>
            </w:r>
          </w:p>
          <w:p w14:paraId="34CFAECB">
            <w:pPr>
              <w:rPr>
                <w:color w:val="auto"/>
                <w:highlight w:val="none"/>
              </w:rPr>
            </w:pPr>
            <w:r>
              <w:rPr>
                <w:rFonts w:ascii="宋体" w:hAnsi="宋体" w:eastAsia="宋体"/>
                <w:color w:val="auto"/>
                <w:sz w:val="21"/>
                <w:highlight w:val="none"/>
              </w:rPr>
              <w:t>（2）支持查看当前账号浏览文档的历史记录；</w:t>
            </w:r>
          </w:p>
          <w:p w14:paraId="3F35BB46">
            <w:pPr>
              <w:rPr>
                <w:color w:val="auto"/>
                <w:highlight w:val="none"/>
              </w:rPr>
            </w:pPr>
            <w:r>
              <w:rPr>
                <w:rFonts w:ascii="宋体" w:hAnsi="宋体" w:eastAsia="宋体"/>
                <w:color w:val="auto"/>
                <w:sz w:val="21"/>
                <w:highlight w:val="none"/>
              </w:rPr>
              <w:t>（3）支持查看当前账号申请借阅的文档和审批状态，并可发起续借；</w:t>
            </w:r>
          </w:p>
          <w:p w14:paraId="1E9A507C">
            <w:pPr>
              <w:rPr>
                <w:color w:val="auto"/>
                <w:highlight w:val="none"/>
              </w:rPr>
            </w:pPr>
            <w:r>
              <w:rPr>
                <w:rFonts w:ascii="宋体" w:hAnsi="宋体" w:eastAsia="宋体"/>
                <w:color w:val="auto"/>
                <w:sz w:val="21"/>
                <w:highlight w:val="none"/>
              </w:rPr>
              <w:t>（4）支持查看当前账号申请导出的文档和执行状态</w:t>
            </w:r>
            <w:r>
              <w:rPr>
                <w:rFonts w:hint="eastAsia" w:ascii="宋体" w:hAnsi="宋体" w:eastAsia="宋体"/>
                <w:color w:val="auto"/>
                <w:sz w:val="21"/>
                <w:highlight w:val="none"/>
                <w:lang w:eastAsia="zh-CN"/>
              </w:rPr>
              <w:t>，</w:t>
            </w:r>
            <w:r>
              <w:rPr>
                <w:rFonts w:hint="eastAsia" w:ascii="宋体" w:hAnsi="宋体" w:eastAsia="宋体" w:cs="宋体"/>
                <w:b w:val="0"/>
                <w:bCs w:val="0"/>
                <w:i w:val="0"/>
                <w:iCs w:val="0"/>
                <w:color w:val="auto"/>
                <w:kern w:val="0"/>
                <w:sz w:val="21"/>
                <w:szCs w:val="21"/>
                <w:highlight w:val="none"/>
                <w:u w:val="none"/>
                <w:lang w:val="en-US" w:eastAsia="zh-CN" w:bidi="ar"/>
              </w:rPr>
              <w:t>并可执行导出操作</w:t>
            </w:r>
            <w:r>
              <w:rPr>
                <w:rFonts w:ascii="宋体" w:hAnsi="宋体" w:eastAsia="宋体"/>
                <w:color w:val="auto"/>
                <w:sz w:val="21"/>
                <w:highlight w:val="none"/>
              </w:rPr>
              <w:t>。</w:t>
            </w:r>
          </w:p>
        </w:tc>
      </w:tr>
      <w:tr w14:paraId="355A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122240DD">
            <w:pPr>
              <w:rPr>
                <w:rFonts w:ascii="宋体" w:hAnsi="宋体" w:eastAsia="宋体"/>
                <w:color w:val="auto"/>
                <w:sz w:val="21"/>
                <w:highlight w:val="none"/>
              </w:rPr>
            </w:pPr>
          </w:p>
          <w:p w14:paraId="0753A6EE">
            <w:pPr>
              <w:rPr>
                <w:rFonts w:ascii="宋体" w:hAnsi="宋体" w:eastAsia="宋体"/>
                <w:color w:val="auto"/>
                <w:sz w:val="21"/>
                <w:highlight w:val="none"/>
              </w:rPr>
            </w:pPr>
          </w:p>
          <w:p w14:paraId="104FBDE1">
            <w:pPr>
              <w:rPr>
                <w:rFonts w:ascii="宋体" w:hAnsi="宋体" w:eastAsia="宋体"/>
                <w:color w:val="auto"/>
                <w:sz w:val="21"/>
                <w:highlight w:val="none"/>
              </w:rPr>
            </w:pPr>
          </w:p>
          <w:p w14:paraId="6374425F">
            <w:pPr>
              <w:rPr>
                <w:rFonts w:ascii="宋体" w:hAnsi="宋体" w:eastAsia="宋体"/>
                <w:color w:val="auto"/>
                <w:sz w:val="21"/>
                <w:highlight w:val="none"/>
              </w:rPr>
            </w:pPr>
          </w:p>
          <w:p w14:paraId="2012A7AB">
            <w:pPr>
              <w:rPr>
                <w:rFonts w:ascii="宋体" w:hAnsi="宋体" w:eastAsia="宋体"/>
                <w:color w:val="auto"/>
                <w:sz w:val="21"/>
                <w:highlight w:val="none"/>
              </w:rPr>
            </w:pPr>
          </w:p>
          <w:p w14:paraId="270AEE29">
            <w:pPr>
              <w:rPr>
                <w:rFonts w:ascii="宋体" w:hAnsi="宋体" w:eastAsia="宋体"/>
                <w:color w:val="auto"/>
                <w:sz w:val="21"/>
                <w:highlight w:val="none"/>
              </w:rPr>
            </w:pPr>
          </w:p>
          <w:p w14:paraId="6FA0DAB9">
            <w:pPr>
              <w:rPr>
                <w:rFonts w:ascii="宋体" w:hAnsi="宋体" w:eastAsia="宋体"/>
                <w:color w:val="auto"/>
                <w:sz w:val="21"/>
                <w:highlight w:val="none"/>
              </w:rPr>
            </w:pPr>
          </w:p>
          <w:p w14:paraId="00D2683C">
            <w:pPr>
              <w:rPr>
                <w:rFonts w:ascii="宋体" w:hAnsi="宋体" w:eastAsia="宋体"/>
                <w:color w:val="auto"/>
                <w:sz w:val="21"/>
                <w:highlight w:val="none"/>
              </w:rPr>
            </w:pPr>
          </w:p>
          <w:p w14:paraId="39F37B41">
            <w:pPr>
              <w:rPr>
                <w:rFonts w:ascii="宋体" w:hAnsi="宋体" w:eastAsia="宋体"/>
                <w:color w:val="auto"/>
                <w:sz w:val="21"/>
                <w:highlight w:val="none"/>
              </w:rPr>
            </w:pPr>
          </w:p>
          <w:p w14:paraId="5A998F36">
            <w:pPr>
              <w:rPr>
                <w:rFonts w:ascii="宋体" w:hAnsi="宋体" w:eastAsia="宋体"/>
                <w:color w:val="auto"/>
                <w:sz w:val="21"/>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五</w:t>
            </w:r>
            <w:r>
              <w:rPr>
                <w:rFonts w:ascii="宋体" w:hAnsi="宋体" w:eastAsia="宋体"/>
                <w:color w:val="auto"/>
                <w:sz w:val="21"/>
                <w:highlight w:val="none"/>
              </w:rPr>
              <w:t>、系统管理</w:t>
            </w:r>
          </w:p>
          <w:p w14:paraId="778185BF">
            <w:pPr>
              <w:rPr>
                <w:color w:val="auto"/>
                <w:highlight w:val="none"/>
              </w:rPr>
            </w:pPr>
          </w:p>
        </w:tc>
        <w:tc>
          <w:tcPr>
            <w:tcW w:w="1570" w:type="dxa"/>
            <w:shd w:val="clear" w:color="auto" w:fill="auto"/>
          </w:tcPr>
          <w:p w14:paraId="34FBFE8C">
            <w:pPr>
              <w:rPr>
                <w:color w:val="auto"/>
                <w:highlight w:val="none"/>
              </w:rPr>
            </w:pPr>
            <w:r>
              <w:rPr>
                <w:rFonts w:ascii="宋体" w:hAnsi="宋体" w:eastAsia="宋体"/>
                <w:color w:val="auto"/>
                <w:sz w:val="21"/>
                <w:highlight w:val="none"/>
              </w:rPr>
              <w:t>系统外观与菜单管理</w:t>
            </w:r>
          </w:p>
        </w:tc>
        <w:tc>
          <w:tcPr>
            <w:tcW w:w="5460" w:type="dxa"/>
            <w:shd w:val="clear" w:color="auto" w:fill="auto"/>
          </w:tcPr>
          <w:p w14:paraId="6DEE635D">
            <w:pPr>
              <w:rPr>
                <w:color w:val="auto"/>
                <w:highlight w:val="none"/>
              </w:rPr>
            </w:pPr>
            <w:r>
              <w:rPr>
                <w:rFonts w:ascii="宋体" w:hAnsi="宋体" w:eastAsia="宋体"/>
                <w:color w:val="auto"/>
                <w:sz w:val="21"/>
                <w:highlight w:val="none"/>
              </w:rPr>
              <w:t>（1）支持对系统功能菜单进行维护；</w:t>
            </w:r>
          </w:p>
          <w:p w14:paraId="48EABAE2">
            <w:pPr>
              <w:rPr>
                <w:color w:val="auto"/>
                <w:highlight w:val="none"/>
              </w:rPr>
            </w:pPr>
            <w:r>
              <w:rPr>
                <w:rFonts w:ascii="宋体" w:hAnsi="宋体" w:eastAsia="宋体"/>
                <w:color w:val="auto"/>
                <w:sz w:val="21"/>
                <w:highlight w:val="none"/>
              </w:rPr>
              <w:t>（2）支持配置系统主题、标题、图标等外观元素。</w:t>
            </w:r>
          </w:p>
        </w:tc>
      </w:tr>
      <w:tr w14:paraId="634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6D99608">
            <w:pPr>
              <w:rPr>
                <w:color w:val="auto"/>
                <w:highlight w:val="none"/>
              </w:rPr>
            </w:pPr>
          </w:p>
        </w:tc>
        <w:tc>
          <w:tcPr>
            <w:tcW w:w="1570" w:type="dxa"/>
            <w:shd w:val="clear" w:color="auto" w:fill="auto"/>
          </w:tcPr>
          <w:p w14:paraId="212C050B">
            <w:pPr>
              <w:rPr>
                <w:color w:val="auto"/>
                <w:highlight w:val="none"/>
              </w:rPr>
            </w:pPr>
            <w:r>
              <w:rPr>
                <w:rFonts w:ascii="宋体" w:hAnsi="宋体" w:eastAsia="宋体"/>
                <w:color w:val="auto"/>
                <w:sz w:val="21"/>
                <w:highlight w:val="none"/>
              </w:rPr>
              <w:t>用户权限管理</w:t>
            </w:r>
          </w:p>
        </w:tc>
        <w:tc>
          <w:tcPr>
            <w:tcW w:w="5460" w:type="dxa"/>
            <w:shd w:val="clear" w:color="auto" w:fill="auto"/>
          </w:tcPr>
          <w:p w14:paraId="3F96F5F7">
            <w:pPr>
              <w:rPr>
                <w:color w:val="auto"/>
                <w:highlight w:val="none"/>
              </w:rPr>
            </w:pPr>
            <w:r>
              <w:rPr>
                <w:rFonts w:ascii="宋体" w:hAnsi="宋体" w:eastAsia="宋体"/>
                <w:color w:val="auto"/>
                <w:sz w:val="21"/>
                <w:highlight w:val="none"/>
              </w:rPr>
              <w:t>（1）支持对院内组织架构、用户信息、角色信息进行全量维护；</w:t>
            </w:r>
          </w:p>
          <w:p w14:paraId="3713D446">
            <w:pPr>
              <w:rPr>
                <w:color w:val="auto"/>
                <w:highlight w:val="none"/>
              </w:rPr>
            </w:pPr>
            <w:r>
              <w:rPr>
                <w:rFonts w:ascii="宋体" w:hAnsi="宋体" w:eastAsia="宋体"/>
                <w:color w:val="auto"/>
                <w:sz w:val="21"/>
                <w:highlight w:val="none"/>
              </w:rPr>
              <w:t>（2）支持精细化数据权限与功能权限管控；</w:t>
            </w:r>
          </w:p>
          <w:p w14:paraId="26590FEB">
            <w:pPr>
              <w:rPr>
                <w:color w:val="auto"/>
                <w:highlight w:val="none"/>
              </w:rPr>
            </w:pPr>
            <w:r>
              <w:rPr>
                <w:rFonts w:ascii="宋体" w:hAnsi="宋体" w:eastAsia="宋体"/>
                <w:color w:val="auto"/>
                <w:sz w:val="21"/>
                <w:highlight w:val="none"/>
              </w:rPr>
              <w:t>（3）支持独立账户登录，也支持对接院内统一单点登录系统。</w:t>
            </w:r>
          </w:p>
        </w:tc>
      </w:tr>
      <w:tr w14:paraId="28C9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FEEF754">
            <w:pPr>
              <w:rPr>
                <w:color w:val="auto"/>
                <w:highlight w:val="none"/>
              </w:rPr>
            </w:pPr>
          </w:p>
        </w:tc>
        <w:tc>
          <w:tcPr>
            <w:tcW w:w="1570" w:type="dxa"/>
            <w:shd w:val="clear" w:color="auto" w:fill="auto"/>
          </w:tcPr>
          <w:p w14:paraId="636C4251">
            <w:pPr>
              <w:rPr>
                <w:color w:val="auto"/>
                <w:highlight w:val="none"/>
              </w:rPr>
            </w:pPr>
            <w:r>
              <w:rPr>
                <w:rFonts w:ascii="宋体" w:hAnsi="宋体" w:eastAsia="宋体"/>
                <w:color w:val="auto"/>
                <w:sz w:val="21"/>
                <w:highlight w:val="none"/>
              </w:rPr>
              <w:t>签章规则配置</w:t>
            </w:r>
          </w:p>
        </w:tc>
        <w:tc>
          <w:tcPr>
            <w:tcW w:w="5460" w:type="dxa"/>
            <w:shd w:val="clear" w:color="auto" w:fill="auto"/>
          </w:tcPr>
          <w:p w14:paraId="1D01999C">
            <w:pPr>
              <w:rPr>
                <w:color w:val="auto"/>
                <w:highlight w:val="none"/>
              </w:rPr>
            </w:pPr>
            <w:r>
              <w:rPr>
                <w:rFonts w:ascii="宋体" w:hAnsi="宋体" w:eastAsia="宋体"/>
                <w:color w:val="auto"/>
                <w:sz w:val="21"/>
                <w:highlight w:val="none"/>
              </w:rPr>
              <w:t>支持配置各业务节点的签章规则，根据配置自动完成OFD-H文件电子签章操作。</w:t>
            </w:r>
          </w:p>
        </w:tc>
      </w:tr>
      <w:tr w14:paraId="7547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716044D">
            <w:pPr>
              <w:rPr>
                <w:color w:val="auto"/>
                <w:highlight w:val="none"/>
              </w:rPr>
            </w:pPr>
          </w:p>
        </w:tc>
        <w:tc>
          <w:tcPr>
            <w:tcW w:w="1570" w:type="dxa"/>
            <w:shd w:val="clear" w:color="auto" w:fill="auto"/>
          </w:tcPr>
          <w:p w14:paraId="36EB2C43">
            <w:pPr>
              <w:rPr>
                <w:color w:val="auto"/>
                <w:highlight w:val="none"/>
              </w:rPr>
            </w:pPr>
            <w:r>
              <w:rPr>
                <w:rFonts w:ascii="宋体" w:hAnsi="宋体" w:eastAsia="宋体"/>
                <w:color w:val="auto"/>
                <w:sz w:val="21"/>
                <w:highlight w:val="none"/>
              </w:rPr>
              <w:t>系统集成能力</w:t>
            </w:r>
          </w:p>
        </w:tc>
        <w:tc>
          <w:tcPr>
            <w:tcW w:w="5460" w:type="dxa"/>
            <w:shd w:val="clear" w:color="auto" w:fill="auto"/>
          </w:tcPr>
          <w:p w14:paraId="353DEE24">
            <w:pPr>
              <w:rPr>
                <w:color w:val="auto"/>
                <w:highlight w:val="none"/>
              </w:rPr>
            </w:pPr>
            <w:r>
              <w:rPr>
                <w:rFonts w:ascii="宋体" w:hAnsi="宋体" w:eastAsia="宋体"/>
                <w:color w:val="auto"/>
                <w:sz w:val="21"/>
                <w:highlight w:val="none"/>
              </w:rPr>
              <w:t>（1）系统采用模块化架构，可根据业务场景需求灵活调用能力模块，支持按需部署与升级；</w:t>
            </w:r>
          </w:p>
          <w:p w14:paraId="23BD3B13">
            <w:pPr>
              <w:rPr>
                <w:color w:val="auto"/>
                <w:highlight w:val="none"/>
              </w:rPr>
            </w:pPr>
            <w:r>
              <w:rPr>
                <w:rFonts w:ascii="宋体" w:hAnsi="宋体" w:eastAsia="宋体"/>
                <w:color w:val="auto"/>
                <w:sz w:val="21"/>
                <w:highlight w:val="none"/>
              </w:rPr>
              <w:t>（2）支持外接应用模块统一配置管理，可自定义应用名称、跳转地址，实现外部应用灵活接入。</w:t>
            </w:r>
          </w:p>
        </w:tc>
      </w:tr>
      <w:tr w14:paraId="5E93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3926139">
            <w:pPr>
              <w:rPr>
                <w:color w:val="auto"/>
                <w:highlight w:val="none"/>
              </w:rPr>
            </w:pPr>
          </w:p>
        </w:tc>
        <w:tc>
          <w:tcPr>
            <w:tcW w:w="1570" w:type="dxa"/>
            <w:shd w:val="clear" w:color="auto" w:fill="auto"/>
          </w:tcPr>
          <w:p w14:paraId="52FA54E4">
            <w:pPr>
              <w:rPr>
                <w:color w:val="auto"/>
                <w:highlight w:val="none"/>
              </w:rPr>
            </w:pPr>
            <w:r>
              <w:rPr>
                <w:rFonts w:ascii="宋体" w:hAnsi="宋体" w:eastAsia="宋体"/>
                <w:color w:val="auto"/>
                <w:sz w:val="21"/>
                <w:highlight w:val="none"/>
              </w:rPr>
              <w:t>水印全局管理</w:t>
            </w:r>
          </w:p>
        </w:tc>
        <w:tc>
          <w:tcPr>
            <w:tcW w:w="5460" w:type="dxa"/>
            <w:shd w:val="clear" w:color="auto" w:fill="auto"/>
          </w:tcPr>
          <w:p w14:paraId="28C75172">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支持针对系统整体配置文档阅读水印，可设置水印内容、字体、不透明度、倾斜角度等参数，浏览病历时自动加载（提供系统截图加盖公章）。</w:t>
            </w:r>
          </w:p>
        </w:tc>
      </w:tr>
      <w:tr w14:paraId="5EA3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5FB6B3B6">
            <w:pPr>
              <w:rPr>
                <w:rFonts w:ascii="宋体" w:hAnsi="宋体" w:eastAsia="宋体"/>
                <w:color w:val="auto"/>
                <w:sz w:val="21"/>
                <w:highlight w:val="none"/>
              </w:rPr>
            </w:pPr>
          </w:p>
          <w:p w14:paraId="50274DB2">
            <w:pPr>
              <w:rPr>
                <w:rFonts w:ascii="宋体" w:hAnsi="宋体" w:eastAsia="宋体"/>
                <w:color w:val="auto"/>
                <w:sz w:val="21"/>
                <w:highlight w:val="none"/>
              </w:rPr>
            </w:pPr>
          </w:p>
          <w:p w14:paraId="0AFED649">
            <w:pPr>
              <w:rPr>
                <w:rFonts w:ascii="宋体" w:hAnsi="宋体" w:eastAsia="宋体"/>
                <w:color w:val="auto"/>
                <w:sz w:val="21"/>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六</w:t>
            </w:r>
            <w:r>
              <w:rPr>
                <w:rFonts w:ascii="宋体" w:hAnsi="宋体" w:eastAsia="宋体"/>
                <w:color w:val="auto"/>
                <w:sz w:val="21"/>
                <w:highlight w:val="none"/>
              </w:rPr>
              <w:t>、日志管理</w:t>
            </w:r>
          </w:p>
          <w:p w14:paraId="288C216F">
            <w:pPr>
              <w:rPr>
                <w:color w:val="auto"/>
                <w:highlight w:val="none"/>
              </w:rPr>
            </w:pPr>
          </w:p>
        </w:tc>
        <w:tc>
          <w:tcPr>
            <w:tcW w:w="1570" w:type="dxa"/>
            <w:shd w:val="clear" w:color="auto" w:fill="auto"/>
          </w:tcPr>
          <w:p w14:paraId="0FE28293">
            <w:pPr>
              <w:rPr>
                <w:color w:val="auto"/>
                <w:highlight w:val="none"/>
              </w:rPr>
            </w:pPr>
            <w:r>
              <w:rPr>
                <w:rFonts w:ascii="宋体" w:hAnsi="宋体" w:eastAsia="宋体"/>
                <w:color w:val="auto"/>
                <w:sz w:val="21"/>
                <w:highlight w:val="none"/>
              </w:rPr>
              <w:t>全场景日志覆盖</w:t>
            </w:r>
          </w:p>
        </w:tc>
        <w:tc>
          <w:tcPr>
            <w:tcW w:w="5460" w:type="dxa"/>
            <w:shd w:val="clear" w:color="auto" w:fill="auto"/>
          </w:tcPr>
          <w:p w14:paraId="425DCA47">
            <w:pPr>
              <w:rPr>
                <w:color w:val="auto"/>
                <w:highlight w:val="none"/>
              </w:rPr>
            </w:pPr>
            <w:r>
              <w:rPr>
                <w:rFonts w:ascii="宋体" w:hAnsi="宋体" w:eastAsia="宋体"/>
                <w:color w:val="auto"/>
                <w:sz w:val="21"/>
                <w:highlight w:val="none"/>
              </w:rPr>
              <w:t>（1）支持展示用户对系统与数据的操作日志，支持导出与搜索；</w:t>
            </w:r>
          </w:p>
          <w:p w14:paraId="0C05FEBB">
            <w:pPr>
              <w:rPr>
                <w:color w:val="auto"/>
                <w:highlight w:val="none"/>
              </w:rPr>
            </w:pPr>
            <w:r>
              <w:rPr>
                <w:rFonts w:ascii="宋体" w:hAnsi="宋体" w:eastAsia="宋体"/>
                <w:color w:val="auto"/>
                <w:sz w:val="21"/>
                <w:highlight w:val="none"/>
              </w:rPr>
              <w:t>（2）</w:t>
            </w:r>
            <w:r>
              <w:rPr>
                <w:rFonts w:hint="eastAsia" w:ascii="宋体" w:hAnsi="宋体" w:eastAsia="宋体" w:cs="宋体"/>
                <w:b w:val="0"/>
                <w:bCs w:val="0"/>
                <w:i w:val="0"/>
                <w:iCs w:val="0"/>
                <w:color w:val="auto"/>
                <w:sz w:val="21"/>
                <w:szCs w:val="21"/>
                <w:highlight w:val="none"/>
                <w:u w:val="none"/>
                <w:lang w:eastAsia="zh-CN"/>
              </w:rPr>
              <w:t>支持展示用户对系统和数据的登录日志，支持导出和搜索日志功能；</w:t>
            </w:r>
          </w:p>
          <w:p w14:paraId="29CC53D8">
            <w:pPr>
              <w:rPr>
                <w:color w:val="auto"/>
                <w:highlight w:val="none"/>
              </w:rPr>
            </w:pPr>
            <w:r>
              <w:rPr>
                <w:rFonts w:ascii="宋体" w:hAnsi="宋体" w:eastAsia="宋体"/>
                <w:color w:val="auto"/>
                <w:sz w:val="21"/>
                <w:highlight w:val="none"/>
              </w:rPr>
              <w:t>（3）</w:t>
            </w:r>
            <w:r>
              <w:rPr>
                <w:rFonts w:hint="eastAsia" w:ascii="宋体" w:hAnsi="宋体" w:eastAsia="宋体" w:cs="宋体"/>
                <w:b w:val="0"/>
                <w:bCs w:val="0"/>
                <w:i w:val="0"/>
                <w:iCs w:val="0"/>
                <w:color w:val="auto"/>
                <w:sz w:val="21"/>
                <w:szCs w:val="21"/>
                <w:highlight w:val="none"/>
                <w:u w:val="none"/>
                <w:lang w:eastAsia="zh-CN"/>
              </w:rPr>
              <w:t>支持展示病案打印日志，支持导出和搜索日志功能</w:t>
            </w:r>
          </w:p>
          <w:p w14:paraId="1D759F4A">
            <w:pPr>
              <w:rPr>
                <w:color w:val="auto"/>
                <w:highlight w:val="none"/>
              </w:rPr>
            </w:pPr>
            <w:r>
              <w:rPr>
                <w:rFonts w:ascii="宋体" w:hAnsi="宋体" w:eastAsia="宋体"/>
                <w:color w:val="auto"/>
                <w:sz w:val="21"/>
                <w:highlight w:val="none"/>
              </w:rPr>
              <w:t>（4）</w:t>
            </w:r>
            <w:r>
              <w:rPr>
                <w:rFonts w:hint="eastAsia" w:ascii="宋体" w:hAnsi="宋体" w:cs="宋体"/>
                <w:b w:val="0"/>
                <w:bCs w:val="0"/>
                <w:i w:val="0"/>
                <w:iCs w:val="0"/>
                <w:color w:val="auto"/>
                <w:sz w:val="21"/>
                <w:szCs w:val="21"/>
                <w:highlight w:val="none"/>
                <w:u w:val="none"/>
                <w:lang w:eastAsia="zh-CN"/>
              </w:rPr>
              <w:t>支持展示接口调用病历文书的日志，支持导出和搜索日志功能。</w:t>
            </w:r>
          </w:p>
        </w:tc>
      </w:tr>
      <w:tr w14:paraId="5FB2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7B7F9AFC">
            <w:pPr>
              <w:rPr>
                <w:color w:val="auto"/>
                <w:highlight w:val="none"/>
              </w:rPr>
            </w:pPr>
          </w:p>
        </w:tc>
        <w:tc>
          <w:tcPr>
            <w:tcW w:w="1570" w:type="dxa"/>
            <w:shd w:val="clear" w:color="auto" w:fill="auto"/>
          </w:tcPr>
          <w:p w14:paraId="07937021">
            <w:pPr>
              <w:rPr>
                <w:color w:val="auto"/>
                <w:highlight w:val="none"/>
              </w:rPr>
            </w:pPr>
            <w:r>
              <w:rPr>
                <w:rFonts w:ascii="宋体" w:hAnsi="宋体" w:eastAsia="宋体"/>
                <w:color w:val="auto"/>
                <w:sz w:val="21"/>
                <w:highlight w:val="none"/>
              </w:rPr>
              <w:t>日志存储要求</w:t>
            </w:r>
          </w:p>
        </w:tc>
        <w:tc>
          <w:tcPr>
            <w:tcW w:w="5460" w:type="dxa"/>
            <w:shd w:val="clear" w:color="auto" w:fill="auto"/>
          </w:tcPr>
          <w:p w14:paraId="2646D153">
            <w:pPr>
              <w:rPr>
                <w:color w:val="auto"/>
                <w:highlight w:val="none"/>
              </w:rPr>
            </w:pPr>
            <w:r>
              <w:rPr>
                <w:rFonts w:ascii="宋体" w:hAnsi="宋体" w:eastAsia="宋体"/>
                <w:color w:val="auto"/>
                <w:sz w:val="21"/>
                <w:highlight w:val="none"/>
              </w:rPr>
              <w:t>所有操作日志、访问日志保存期限不少于6个月，满足等保三级与电子病历评级要求。</w:t>
            </w:r>
          </w:p>
        </w:tc>
      </w:tr>
      <w:tr w14:paraId="57C6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46720B45">
            <w:pPr>
              <w:rPr>
                <w:rFonts w:ascii="宋体" w:hAnsi="宋体" w:eastAsia="宋体"/>
                <w:color w:val="auto"/>
                <w:sz w:val="21"/>
                <w:highlight w:val="none"/>
              </w:rPr>
            </w:pPr>
          </w:p>
          <w:p w14:paraId="33287CA5">
            <w:pPr>
              <w:rPr>
                <w:color w:val="auto"/>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七</w:t>
            </w:r>
            <w:r>
              <w:rPr>
                <w:rFonts w:ascii="宋体" w:hAnsi="宋体" w:eastAsia="宋体"/>
                <w:color w:val="auto"/>
                <w:sz w:val="21"/>
                <w:highlight w:val="none"/>
              </w:rPr>
              <w:t>、运维管理</w:t>
            </w:r>
          </w:p>
        </w:tc>
        <w:tc>
          <w:tcPr>
            <w:tcW w:w="1570" w:type="dxa"/>
            <w:shd w:val="clear" w:color="auto" w:fill="auto"/>
          </w:tcPr>
          <w:p w14:paraId="22225E78">
            <w:pPr>
              <w:rPr>
                <w:color w:val="auto"/>
                <w:highlight w:val="none"/>
              </w:rPr>
            </w:pPr>
            <w:r>
              <w:rPr>
                <w:rFonts w:ascii="宋体" w:hAnsi="宋体" w:eastAsia="宋体"/>
                <w:color w:val="auto"/>
                <w:sz w:val="21"/>
                <w:highlight w:val="none"/>
              </w:rPr>
              <w:t>运维平台能力</w:t>
            </w:r>
          </w:p>
        </w:tc>
        <w:tc>
          <w:tcPr>
            <w:tcW w:w="5460" w:type="dxa"/>
            <w:shd w:val="clear" w:color="auto" w:fill="auto"/>
          </w:tcPr>
          <w:p w14:paraId="5A1E977F">
            <w:pPr>
              <w:rPr>
                <w:color w:val="auto"/>
                <w:highlight w:val="none"/>
              </w:rPr>
            </w:pPr>
            <w:r>
              <w:rPr>
                <w:rFonts w:ascii="宋体" w:hAnsi="宋体" w:eastAsia="宋体"/>
                <w:color w:val="auto"/>
                <w:sz w:val="21"/>
                <w:highlight w:val="none"/>
              </w:rPr>
              <w:t>支持软件动态热更新与横向扩展，支持对软件版本进行统一管理与分发。</w:t>
            </w:r>
          </w:p>
        </w:tc>
      </w:tr>
      <w:tr w14:paraId="28A9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1A84DDC9">
            <w:pPr>
              <w:rPr>
                <w:color w:val="auto"/>
                <w:highlight w:val="none"/>
              </w:rPr>
            </w:pPr>
          </w:p>
        </w:tc>
        <w:tc>
          <w:tcPr>
            <w:tcW w:w="1570" w:type="dxa"/>
            <w:shd w:val="clear" w:color="auto" w:fill="auto"/>
          </w:tcPr>
          <w:p w14:paraId="3ADB050F">
            <w:pPr>
              <w:rPr>
                <w:color w:val="auto"/>
                <w:highlight w:val="none"/>
              </w:rPr>
            </w:pPr>
            <w:r>
              <w:rPr>
                <w:rFonts w:ascii="宋体" w:hAnsi="宋体" w:eastAsia="宋体"/>
                <w:color w:val="auto"/>
                <w:sz w:val="21"/>
                <w:highlight w:val="none"/>
              </w:rPr>
              <w:t>异常监控分析</w:t>
            </w:r>
          </w:p>
        </w:tc>
        <w:tc>
          <w:tcPr>
            <w:tcW w:w="5460" w:type="dxa"/>
            <w:shd w:val="clear" w:color="auto" w:fill="auto"/>
          </w:tcPr>
          <w:p w14:paraId="4C13EC11">
            <w:pPr>
              <w:rPr>
                <w:color w:val="auto"/>
                <w:highlight w:val="none"/>
              </w:rPr>
            </w:pPr>
            <w:r>
              <w:rPr>
                <w:rFonts w:ascii="宋体" w:hAnsi="宋体" w:eastAsia="宋体"/>
                <w:color w:val="auto"/>
                <w:sz w:val="21"/>
                <w:highlight w:val="none"/>
              </w:rPr>
              <w:t>支持基于日志识别异常操作行为，提供可视化异常分析能力。</w:t>
            </w:r>
          </w:p>
        </w:tc>
      </w:tr>
      <w:tr w14:paraId="3A4C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7FE9D461">
            <w:pPr>
              <w:rPr>
                <w:rFonts w:ascii="宋体" w:hAnsi="宋体" w:eastAsia="宋体"/>
                <w:color w:val="auto"/>
                <w:sz w:val="21"/>
                <w:highlight w:val="none"/>
              </w:rPr>
            </w:pPr>
          </w:p>
          <w:p w14:paraId="4276ECD7">
            <w:pPr>
              <w:rPr>
                <w:rFonts w:ascii="宋体" w:hAnsi="宋体" w:eastAsia="宋体"/>
                <w:color w:val="auto"/>
                <w:sz w:val="21"/>
                <w:highlight w:val="none"/>
              </w:rPr>
            </w:pPr>
          </w:p>
          <w:p w14:paraId="089B7519">
            <w:pPr>
              <w:rPr>
                <w:rFonts w:ascii="宋体" w:hAnsi="宋体" w:eastAsia="宋体"/>
                <w:color w:val="auto"/>
                <w:sz w:val="21"/>
                <w:highlight w:val="none"/>
              </w:rPr>
            </w:pPr>
          </w:p>
          <w:p w14:paraId="3734FA9A">
            <w:pPr>
              <w:rPr>
                <w:rFonts w:ascii="宋体" w:hAnsi="宋体" w:eastAsia="宋体"/>
                <w:color w:val="auto"/>
                <w:sz w:val="21"/>
                <w:highlight w:val="none"/>
              </w:rPr>
            </w:pPr>
          </w:p>
          <w:p w14:paraId="029554FA">
            <w:pPr>
              <w:rPr>
                <w:rFonts w:ascii="宋体" w:hAnsi="宋体" w:eastAsia="宋体"/>
                <w:color w:val="auto"/>
                <w:sz w:val="21"/>
                <w:highlight w:val="none"/>
              </w:rPr>
            </w:pPr>
          </w:p>
          <w:p w14:paraId="6AD733F2">
            <w:pPr>
              <w:rPr>
                <w:rFonts w:ascii="宋体" w:hAnsi="宋体" w:eastAsia="宋体"/>
                <w:color w:val="auto"/>
                <w:sz w:val="21"/>
                <w:highlight w:val="none"/>
              </w:rPr>
            </w:pPr>
          </w:p>
          <w:p w14:paraId="79F6221F">
            <w:pPr>
              <w:rPr>
                <w:rFonts w:ascii="宋体" w:hAnsi="宋体" w:eastAsia="宋体"/>
                <w:color w:val="auto"/>
                <w:sz w:val="21"/>
                <w:highlight w:val="none"/>
              </w:rPr>
            </w:pPr>
          </w:p>
          <w:p w14:paraId="2B2E6169">
            <w:pPr>
              <w:rPr>
                <w:rFonts w:ascii="宋体" w:hAnsi="宋体" w:eastAsia="宋体"/>
                <w:color w:val="auto"/>
                <w:sz w:val="21"/>
                <w:highlight w:val="none"/>
              </w:rPr>
            </w:pPr>
          </w:p>
          <w:p w14:paraId="7676B114">
            <w:pPr>
              <w:rPr>
                <w:rFonts w:ascii="宋体" w:hAnsi="宋体" w:eastAsia="宋体"/>
                <w:color w:val="auto"/>
                <w:sz w:val="21"/>
                <w:highlight w:val="none"/>
              </w:rPr>
            </w:pPr>
            <w:r>
              <w:rPr>
                <w:rFonts w:ascii="宋体" w:hAnsi="宋体" w:eastAsia="宋体"/>
                <w:color w:val="auto"/>
                <w:sz w:val="21"/>
                <w:highlight w:val="none"/>
              </w:rPr>
              <w:t>十</w:t>
            </w:r>
            <w:r>
              <w:rPr>
                <w:rFonts w:hint="eastAsia" w:ascii="宋体" w:hAnsi="宋体" w:eastAsia="宋体"/>
                <w:color w:val="auto"/>
                <w:sz w:val="21"/>
                <w:highlight w:val="none"/>
                <w:lang w:val="en-US" w:eastAsia="zh-CN"/>
              </w:rPr>
              <w:t>八</w:t>
            </w:r>
            <w:r>
              <w:rPr>
                <w:rFonts w:ascii="宋体" w:hAnsi="宋体" w:eastAsia="宋体"/>
                <w:color w:val="auto"/>
                <w:sz w:val="21"/>
                <w:highlight w:val="none"/>
              </w:rPr>
              <w:t>、病案归档与检测</w:t>
            </w:r>
          </w:p>
          <w:p w14:paraId="1EDDF4FC">
            <w:pPr>
              <w:rPr>
                <w:color w:val="auto"/>
                <w:highlight w:val="none"/>
              </w:rPr>
            </w:pPr>
          </w:p>
        </w:tc>
        <w:tc>
          <w:tcPr>
            <w:tcW w:w="1570" w:type="dxa"/>
            <w:shd w:val="clear" w:color="auto" w:fill="auto"/>
          </w:tcPr>
          <w:p w14:paraId="048AB584">
            <w:pPr>
              <w:rPr>
                <w:color w:val="auto"/>
                <w:highlight w:val="none"/>
              </w:rPr>
            </w:pPr>
            <w:r>
              <w:rPr>
                <w:rFonts w:ascii="宋体" w:hAnsi="宋体" w:eastAsia="宋体"/>
                <w:color w:val="auto"/>
                <w:sz w:val="21"/>
                <w:highlight w:val="none"/>
              </w:rPr>
              <w:t>病案接收与归类</w:t>
            </w:r>
          </w:p>
        </w:tc>
        <w:tc>
          <w:tcPr>
            <w:tcW w:w="5460" w:type="dxa"/>
            <w:shd w:val="clear" w:color="auto" w:fill="auto"/>
          </w:tcPr>
          <w:p w14:paraId="2359561F">
            <w:pPr>
              <w:rPr>
                <w:color w:val="auto"/>
                <w:highlight w:val="none"/>
              </w:rPr>
            </w:pPr>
            <w:r>
              <w:rPr>
                <w:rFonts w:ascii="宋体" w:hAnsi="宋体" w:eastAsia="宋体"/>
                <w:color w:val="auto"/>
                <w:sz w:val="21"/>
                <w:highlight w:val="none"/>
              </w:rPr>
              <w:t>提供文书接收标准接口，供有归档需求的业务系统调用；接收的文书自动按预设目录归类。</w:t>
            </w:r>
          </w:p>
        </w:tc>
      </w:tr>
      <w:tr w14:paraId="1EFA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3A49310">
            <w:pPr>
              <w:rPr>
                <w:color w:val="auto"/>
                <w:highlight w:val="none"/>
              </w:rPr>
            </w:pPr>
          </w:p>
        </w:tc>
        <w:tc>
          <w:tcPr>
            <w:tcW w:w="1570" w:type="dxa"/>
            <w:shd w:val="clear" w:color="auto" w:fill="auto"/>
          </w:tcPr>
          <w:p w14:paraId="786C68E8">
            <w:pPr>
              <w:rPr>
                <w:color w:val="auto"/>
                <w:highlight w:val="none"/>
              </w:rPr>
            </w:pPr>
            <w:r>
              <w:rPr>
                <w:rFonts w:ascii="宋体" w:hAnsi="宋体" w:eastAsia="宋体"/>
                <w:color w:val="auto"/>
                <w:sz w:val="21"/>
                <w:highlight w:val="none"/>
              </w:rPr>
              <w:t>归档前置校验</w:t>
            </w:r>
          </w:p>
        </w:tc>
        <w:tc>
          <w:tcPr>
            <w:tcW w:w="5460" w:type="dxa"/>
            <w:shd w:val="clear" w:color="auto" w:fill="auto"/>
          </w:tcPr>
          <w:p w14:paraId="07A44700">
            <w:pPr>
              <w:rPr>
                <w:color w:val="auto"/>
                <w:highlight w:val="none"/>
              </w:rPr>
            </w:pPr>
            <w:r>
              <w:rPr>
                <w:rFonts w:ascii="宋体" w:hAnsi="宋体" w:eastAsia="宋体"/>
                <w:color w:val="auto"/>
                <w:sz w:val="21"/>
                <w:highlight w:val="none"/>
              </w:rPr>
              <w:t>（1）支持对接收的病案文件自动进行标准化格式检测，不符合要求的自动转换为标准OFD-H文件；</w:t>
            </w:r>
          </w:p>
          <w:p w14:paraId="64099604">
            <w:pPr>
              <w:rPr>
                <w:color w:val="auto"/>
                <w:highlight w:val="none"/>
              </w:rPr>
            </w:pPr>
            <w:r>
              <w:rPr>
                <w:rFonts w:ascii="宋体" w:hAnsi="宋体" w:eastAsia="宋体"/>
                <w:color w:val="auto"/>
                <w:sz w:val="21"/>
                <w:highlight w:val="none"/>
              </w:rPr>
              <w:t>（2）支持根据业务系统提供的患者文书清单，自动进行病案完整性检测并反馈缺失项；</w:t>
            </w:r>
          </w:p>
          <w:p w14:paraId="190A8ADC">
            <w:pPr>
              <w:rPr>
                <w:color w:val="auto"/>
                <w:highlight w:val="none"/>
              </w:rPr>
            </w:pPr>
            <w:r>
              <w:rPr>
                <w:rFonts w:ascii="宋体" w:hAnsi="宋体" w:eastAsia="宋体"/>
                <w:color w:val="auto"/>
                <w:sz w:val="21"/>
                <w:highlight w:val="none"/>
              </w:rPr>
              <w:t>（3）自动对文书上的医生、患者电子签名进行验签，验证签名有效性。</w:t>
            </w:r>
          </w:p>
        </w:tc>
      </w:tr>
      <w:tr w14:paraId="6382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B8101C7">
            <w:pPr>
              <w:rPr>
                <w:color w:val="auto"/>
                <w:highlight w:val="none"/>
              </w:rPr>
            </w:pPr>
          </w:p>
        </w:tc>
        <w:tc>
          <w:tcPr>
            <w:tcW w:w="1570" w:type="dxa"/>
            <w:shd w:val="clear" w:color="auto" w:fill="auto"/>
          </w:tcPr>
          <w:p w14:paraId="24229246">
            <w:pPr>
              <w:rPr>
                <w:color w:val="auto"/>
                <w:highlight w:val="none"/>
              </w:rPr>
            </w:pPr>
            <w:r>
              <w:rPr>
                <w:rFonts w:ascii="宋体" w:hAnsi="宋体" w:eastAsia="宋体"/>
                <w:color w:val="auto"/>
                <w:sz w:val="21"/>
                <w:highlight w:val="none"/>
              </w:rPr>
              <w:t>病案封装与签章</w:t>
            </w:r>
          </w:p>
        </w:tc>
        <w:tc>
          <w:tcPr>
            <w:tcW w:w="5460" w:type="dxa"/>
            <w:shd w:val="clear" w:color="auto" w:fill="auto"/>
          </w:tcPr>
          <w:p w14:paraId="6A217C1A">
            <w:pPr>
              <w:rPr>
                <w:color w:val="auto"/>
                <w:highlight w:val="none"/>
              </w:rPr>
            </w:pPr>
            <w:r>
              <w:rPr>
                <w:rFonts w:ascii="宋体" w:hAnsi="宋体" w:eastAsia="宋体"/>
                <w:color w:val="auto"/>
                <w:sz w:val="21"/>
                <w:highlight w:val="none"/>
              </w:rPr>
              <w:t>（1）支持归档环节将患者单次住院的所有文书自动封装为一份完整病案长文档；</w:t>
            </w:r>
          </w:p>
          <w:p w14:paraId="433B3BAC">
            <w:pPr>
              <w:rPr>
                <w:color w:val="auto"/>
                <w:highlight w:val="none"/>
              </w:rPr>
            </w:pPr>
            <w:r>
              <w:rPr>
                <w:rFonts w:ascii="宋体" w:hAnsi="宋体" w:eastAsia="宋体"/>
                <w:color w:val="auto"/>
                <w:sz w:val="21"/>
                <w:highlight w:val="none"/>
              </w:rPr>
              <w:t>（2）对接电子签章系统，对归档病案批量加盖专用签章。</w:t>
            </w:r>
          </w:p>
        </w:tc>
      </w:tr>
      <w:tr w14:paraId="7894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958D8D1">
            <w:pPr>
              <w:rPr>
                <w:color w:val="auto"/>
                <w:highlight w:val="none"/>
              </w:rPr>
            </w:pPr>
          </w:p>
        </w:tc>
        <w:tc>
          <w:tcPr>
            <w:tcW w:w="1570" w:type="dxa"/>
            <w:shd w:val="clear" w:color="auto" w:fill="auto"/>
          </w:tcPr>
          <w:p w14:paraId="716113C2">
            <w:pPr>
              <w:rPr>
                <w:color w:val="auto"/>
                <w:highlight w:val="none"/>
              </w:rPr>
            </w:pPr>
            <w:r>
              <w:rPr>
                <w:rFonts w:ascii="宋体" w:hAnsi="宋体" w:eastAsia="宋体"/>
                <w:color w:val="auto"/>
                <w:sz w:val="21"/>
                <w:highlight w:val="none"/>
              </w:rPr>
              <w:t>归档全流程管理</w:t>
            </w:r>
          </w:p>
        </w:tc>
        <w:tc>
          <w:tcPr>
            <w:tcW w:w="5460" w:type="dxa"/>
            <w:shd w:val="clear" w:color="auto" w:fill="auto"/>
          </w:tcPr>
          <w:p w14:paraId="4B9D0F50">
            <w:pPr>
              <w:rPr>
                <w:color w:val="auto"/>
                <w:highlight w:val="none"/>
              </w:rPr>
            </w:pPr>
            <w:r>
              <w:rPr>
                <w:rFonts w:ascii="宋体" w:hAnsi="宋体" w:eastAsia="宋体"/>
                <w:color w:val="auto"/>
                <w:sz w:val="21"/>
                <w:highlight w:val="none"/>
              </w:rPr>
              <w:t>（1）支持归档进度查阅、检索筛选、预览查看等操作；</w:t>
            </w:r>
          </w:p>
          <w:p w14:paraId="20B04B29">
            <w:pPr>
              <w:rPr>
                <w:color w:val="auto"/>
                <w:highlight w:val="none"/>
              </w:rPr>
            </w:pPr>
            <w:r>
              <w:rPr>
                <w:rFonts w:ascii="宋体" w:hAnsi="宋体" w:eastAsia="宋体"/>
                <w:color w:val="auto"/>
                <w:sz w:val="21"/>
                <w:highlight w:val="none"/>
              </w:rPr>
              <w:t>（2）支持快速检索患者病案信息，支持对选中文件进行全文检索；</w:t>
            </w:r>
          </w:p>
          <w:p w14:paraId="0221EFD8">
            <w:pPr>
              <w:rPr>
                <w:color w:val="auto"/>
                <w:highlight w:val="none"/>
              </w:rPr>
            </w:pPr>
            <w:r>
              <w:rPr>
                <w:rFonts w:ascii="宋体" w:hAnsi="宋体" w:eastAsia="宋体"/>
                <w:color w:val="auto"/>
                <w:sz w:val="21"/>
                <w:highlight w:val="none"/>
              </w:rPr>
              <w:t>（3）支持按系统设置的目录结构预览档案内容。</w:t>
            </w:r>
          </w:p>
        </w:tc>
      </w:tr>
      <w:tr w14:paraId="7A6A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0F035557">
            <w:pPr>
              <w:rPr>
                <w:color w:val="auto"/>
                <w:highlight w:val="none"/>
              </w:rPr>
            </w:pPr>
          </w:p>
        </w:tc>
        <w:tc>
          <w:tcPr>
            <w:tcW w:w="1570" w:type="dxa"/>
            <w:shd w:val="clear" w:color="auto" w:fill="auto"/>
          </w:tcPr>
          <w:p w14:paraId="463D48E6">
            <w:pPr>
              <w:rPr>
                <w:color w:val="auto"/>
                <w:highlight w:val="none"/>
              </w:rPr>
            </w:pPr>
            <w:r>
              <w:rPr>
                <w:rFonts w:ascii="宋体" w:hAnsi="宋体" w:eastAsia="宋体"/>
                <w:color w:val="auto"/>
                <w:sz w:val="21"/>
                <w:highlight w:val="none"/>
              </w:rPr>
              <w:t>归档闭环管控</w:t>
            </w:r>
          </w:p>
        </w:tc>
        <w:tc>
          <w:tcPr>
            <w:tcW w:w="5460" w:type="dxa"/>
            <w:shd w:val="clear" w:color="auto" w:fill="auto"/>
          </w:tcPr>
          <w:p w14:paraId="40329169">
            <w:pPr>
              <w:rPr>
                <w:color w:val="auto"/>
                <w:highlight w:val="none"/>
              </w:rPr>
            </w:pPr>
            <w:r>
              <w:rPr>
                <w:rFonts w:ascii="宋体" w:hAnsi="宋体" w:eastAsia="宋体"/>
                <w:color w:val="auto"/>
                <w:sz w:val="21"/>
                <w:highlight w:val="none"/>
              </w:rPr>
              <w:t>归档全流程节点自动记录状态与操作人，不合格文书自动退回对应业务系统并推送整改提醒，整改完成后重新进入归档流程，形成闭环管理。</w:t>
            </w:r>
          </w:p>
        </w:tc>
      </w:tr>
      <w:tr w14:paraId="553C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13B2EC9D">
            <w:pPr>
              <w:rPr>
                <w:rFonts w:ascii="宋体" w:hAnsi="宋体" w:eastAsia="宋体"/>
                <w:color w:val="auto"/>
                <w:sz w:val="21"/>
                <w:highlight w:val="none"/>
              </w:rPr>
            </w:pPr>
          </w:p>
          <w:p w14:paraId="4972F019">
            <w:pPr>
              <w:rPr>
                <w:rFonts w:ascii="宋体" w:hAnsi="宋体" w:eastAsia="宋体"/>
                <w:color w:val="auto"/>
                <w:sz w:val="21"/>
                <w:highlight w:val="none"/>
              </w:rPr>
            </w:pPr>
          </w:p>
          <w:p w14:paraId="53E31ECF">
            <w:pPr>
              <w:rPr>
                <w:rFonts w:ascii="宋体" w:hAnsi="宋体" w:eastAsia="宋体"/>
                <w:color w:val="auto"/>
                <w:sz w:val="21"/>
                <w:highlight w:val="none"/>
              </w:rPr>
            </w:pPr>
            <w:r>
              <w:rPr>
                <w:rFonts w:ascii="宋体" w:hAnsi="宋体" w:eastAsia="宋体"/>
                <w:color w:val="auto"/>
                <w:sz w:val="21"/>
                <w:highlight w:val="none"/>
              </w:rPr>
              <w:t>十九、文书生成及签署一体化工作流引擎</w:t>
            </w:r>
          </w:p>
          <w:p w14:paraId="4888702B">
            <w:pPr>
              <w:rPr>
                <w:color w:val="auto"/>
                <w:highlight w:val="none"/>
              </w:rPr>
            </w:pPr>
          </w:p>
        </w:tc>
        <w:tc>
          <w:tcPr>
            <w:tcW w:w="1570" w:type="dxa"/>
            <w:shd w:val="clear" w:color="auto" w:fill="auto"/>
          </w:tcPr>
          <w:p w14:paraId="28608C55">
            <w:pPr>
              <w:rPr>
                <w:color w:val="auto"/>
                <w:highlight w:val="none"/>
              </w:rPr>
            </w:pPr>
            <w:r>
              <w:rPr>
                <w:rFonts w:ascii="宋体" w:hAnsi="宋体" w:eastAsia="宋体"/>
                <w:color w:val="auto"/>
                <w:sz w:val="21"/>
                <w:highlight w:val="none"/>
              </w:rPr>
              <w:t>工作流任务委托接收</w:t>
            </w:r>
          </w:p>
        </w:tc>
        <w:tc>
          <w:tcPr>
            <w:tcW w:w="5460" w:type="dxa"/>
            <w:shd w:val="clear" w:color="auto" w:fill="auto"/>
          </w:tcPr>
          <w:p w14:paraId="5A14811D">
            <w:pPr>
              <w:rPr>
                <w:color w:val="auto"/>
                <w:highlight w:val="none"/>
              </w:rPr>
            </w:pPr>
            <w:r>
              <w:rPr>
                <w:rFonts w:ascii="宋体" w:hAnsi="宋体" w:eastAsia="宋体"/>
                <w:color w:val="auto"/>
                <w:sz w:val="21"/>
                <w:highlight w:val="none"/>
              </w:rPr>
              <w:t>支持接收院内各业务系统发起的文书生成与签署委托任务，自动触发后续全流程。</w:t>
            </w:r>
          </w:p>
        </w:tc>
      </w:tr>
      <w:tr w14:paraId="6493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CDC12D1">
            <w:pPr>
              <w:rPr>
                <w:color w:val="auto"/>
                <w:highlight w:val="none"/>
              </w:rPr>
            </w:pPr>
          </w:p>
        </w:tc>
        <w:tc>
          <w:tcPr>
            <w:tcW w:w="1570" w:type="dxa"/>
            <w:shd w:val="clear" w:color="auto" w:fill="auto"/>
          </w:tcPr>
          <w:p w14:paraId="394C82B1">
            <w:pPr>
              <w:rPr>
                <w:color w:val="auto"/>
                <w:highlight w:val="none"/>
              </w:rPr>
            </w:pPr>
            <w:r>
              <w:rPr>
                <w:rFonts w:ascii="宋体" w:hAnsi="宋体" w:eastAsia="宋体"/>
                <w:color w:val="auto"/>
                <w:sz w:val="21"/>
                <w:highlight w:val="none"/>
              </w:rPr>
              <w:t>工作流可视化配置</w:t>
            </w:r>
          </w:p>
        </w:tc>
        <w:tc>
          <w:tcPr>
            <w:tcW w:w="5460" w:type="dxa"/>
            <w:shd w:val="clear" w:color="auto" w:fill="auto"/>
          </w:tcPr>
          <w:p w14:paraId="249C9FE3">
            <w:pPr>
              <w:rPr>
                <w:color w:val="auto"/>
                <w:highlight w:val="none"/>
              </w:rPr>
            </w:pPr>
            <w:r>
              <w:rPr>
                <w:rFonts w:ascii="宋体" w:hAnsi="宋体" w:eastAsia="宋体"/>
                <w:color w:val="auto"/>
                <w:sz w:val="21"/>
                <w:highlight w:val="none"/>
              </w:rPr>
              <w:t>支持文书签署流程的可视化配置，包括签署顺序、签章规则、签署人角色、异常回退规则等，适配三级查房签名、知情同意书医患双签等专属场景。</w:t>
            </w:r>
          </w:p>
        </w:tc>
      </w:tr>
      <w:tr w14:paraId="2CAE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66D99D53">
            <w:pPr>
              <w:rPr>
                <w:color w:val="auto"/>
                <w:highlight w:val="none"/>
              </w:rPr>
            </w:pPr>
          </w:p>
        </w:tc>
        <w:tc>
          <w:tcPr>
            <w:tcW w:w="1570" w:type="dxa"/>
            <w:shd w:val="clear" w:color="auto" w:fill="auto"/>
          </w:tcPr>
          <w:p w14:paraId="651F6D34">
            <w:pPr>
              <w:rPr>
                <w:color w:val="auto"/>
                <w:highlight w:val="none"/>
              </w:rPr>
            </w:pPr>
            <w:r>
              <w:rPr>
                <w:rFonts w:ascii="宋体" w:hAnsi="宋体" w:eastAsia="宋体"/>
                <w:color w:val="auto"/>
                <w:sz w:val="21"/>
                <w:highlight w:val="none"/>
              </w:rPr>
              <w:t>工作流引擎自动化执行</w:t>
            </w:r>
          </w:p>
        </w:tc>
        <w:tc>
          <w:tcPr>
            <w:tcW w:w="5460" w:type="dxa"/>
            <w:shd w:val="clear" w:color="auto" w:fill="auto"/>
          </w:tcPr>
          <w:p w14:paraId="2DBAE844">
            <w:pPr>
              <w:rPr>
                <w:color w:val="auto"/>
                <w:highlight w:val="none"/>
              </w:rPr>
            </w:pPr>
            <w:r>
              <w:rPr>
                <w:rFonts w:ascii="宋体" w:hAnsi="宋体" w:eastAsia="宋体"/>
                <w:color w:val="auto"/>
                <w:sz w:val="21"/>
                <w:highlight w:val="none"/>
              </w:rPr>
              <w:t>基于文书生成签署专用工作流引擎，根据委托任务与配置参数自动流转，串联OFD-H生成、电子签章、验签、归档全流程；支持异常回退、超时提醒、全程留痕。</w:t>
            </w:r>
          </w:p>
        </w:tc>
      </w:tr>
      <w:tr w14:paraId="0808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tcPr>
          <w:p w14:paraId="2AEFAA64">
            <w:pPr>
              <w:rPr>
                <w:rFonts w:ascii="宋体" w:hAnsi="宋体" w:eastAsia="宋体"/>
                <w:color w:val="auto"/>
                <w:sz w:val="21"/>
                <w:highlight w:val="none"/>
              </w:rPr>
            </w:pPr>
          </w:p>
          <w:p w14:paraId="3DCDC136">
            <w:pPr>
              <w:rPr>
                <w:rFonts w:ascii="宋体" w:hAnsi="宋体" w:eastAsia="宋体"/>
                <w:color w:val="auto"/>
                <w:sz w:val="21"/>
                <w:highlight w:val="none"/>
              </w:rPr>
            </w:pPr>
          </w:p>
          <w:p w14:paraId="2F3B487C">
            <w:pPr>
              <w:rPr>
                <w:rFonts w:ascii="宋体" w:hAnsi="宋体" w:eastAsia="宋体"/>
                <w:color w:val="auto"/>
                <w:sz w:val="21"/>
                <w:highlight w:val="none"/>
              </w:rPr>
            </w:pPr>
          </w:p>
          <w:p w14:paraId="04FFF5D0">
            <w:pPr>
              <w:rPr>
                <w:rFonts w:ascii="宋体" w:hAnsi="宋体" w:eastAsia="宋体"/>
                <w:color w:val="auto"/>
                <w:sz w:val="21"/>
                <w:highlight w:val="none"/>
              </w:rPr>
            </w:pPr>
          </w:p>
          <w:p w14:paraId="3CAB75EA">
            <w:pPr>
              <w:rPr>
                <w:rFonts w:ascii="宋体" w:hAnsi="宋体" w:eastAsia="宋体"/>
                <w:color w:val="auto"/>
                <w:sz w:val="21"/>
                <w:highlight w:val="none"/>
              </w:rPr>
            </w:pPr>
          </w:p>
          <w:p w14:paraId="30C80D61">
            <w:pPr>
              <w:rPr>
                <w:color w:val="auto"/>
                <w:highlight w:val="none"/>
              </w:rPr>
            </w:pPr>
            <w:r>
              <w:rPr>
                <w:rFonts w:ascii="宋体" w:hAnsi="宋体" w:eastAsia="宋体"/>
                <w:color w:val="auto"/>
                <w:sz w:val="21"/>
                <w:highlight w:val="none"/>
              </w:rPr>
              <w:t>二十、存量数据治理与容灾备份服务</w:t>
            </w:r>
          </w:p>
        </w:tc>
        <w:tc>
          <w:tcPr>
            <w:tcW w:w="1570" w:type="dxa"/>
            <w:shd w:val="clear" w:color="auto" w:fill="auto"/>
          </w:tcPr>
          <w:p w14:paraId="0B84EAF0">
            <w:pPr>
              <w:rPr>
                <w:color w:val="auto"/>
                <w:highlight w:val="none"/>
              </w:rPr>
            </w:pPr>
            <w:r>
              <w:rPr>
                <w:rFonts w:ascii="宋体" w:hAnsi="宋体" w:eastAsia="宋体"/>
                <w:color w:val="auto"/>
                <w:sz w:val="21"/>
                <w:highlight w:val="none"/>
              </w:rPr>
              <w:t>档案数据治理服务</w:t>
            </w:r>
          </w:p>
        </w:tc>
        <w:tc>
          <w:tcPr>
            <w:tcW w:w="5460" w:type="dxa"/>
            <w:shd w:val="clear" w:color="auto" w:fill="auto"/>
          </w:tcPr>
          <w:p w14:paraId="04619F80">
            <w:pPr>
              <w:rPr>
                <w:color w:val="auto"/>
                <w:highlight w:val="none"/>
              </w:rPr>
            </w:pPr>
            <w:r>
              <w:rPr>
                <w:rFonts w:ascii="宋体" w:hAnsi="宋体" w:eastAsia="宋体"/>
                <w:color w:val="auto"/>
                <w:sz w:val="21"/>
                <w:highlight w:val="none"/>
              </w:rPr>
              <w:t>（1）对院内历史存量病案数据（含PDF、扫描件、流式文档等）进行批量清洗、标准化转换为符合OFD-H标准的版式文件；</w:t>
            </w:r>
          </w:p>
          <w:p w14:paraId="34B6DDD7">
            <w:pPr>
              <w:rPr>
                <w:color w:val="auto"/>
                <w:highlight w:val="none"/>
              </w:rPr>
            </w:pPr>
            <w:r>
              <w:rPr>
                <w:rFonts w:ascii="宋体" w:hAnsi="宋体" w:eastAsia="宋体"/>
                <w:color w:val="auto"/>
                <w:sz w:val="21"/>
                <w:highlight w:val="none"/>
              </w:rPr>
              <w:t>（2）按归档规则完成存量病案补归档，补充完善元数据、目录结构与签名信息；</w:t>
            </w:r>
          </w:p>
          <w:p w14:paraId="32B6431A">
            <w:pPr>
              <w:rPr>
                <w:color w:val="auto"/>
                <w:highlight w:val="none"/>
              </w:rPr>
            </w:pPr>
            <w:r>
              <w:rPr>
                <w:rFonts w:ascii="宋体" w:hAnsi="宋体" w:eastAsia="宋体"/>
                <w:color w:val="auto"/>
                <w:sz w:val="21"/>
                <w:highlight w:val="none"/>
              </w:rPr>
              <w:t>（3）治理后数据纳入全院文档湖统一管理，支持检索调阅。</w:t>
            </w:r>
          </w:p>
        </w:tc>
      </w:tr>
      <w:tr w14:paraId="03F6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1F4E509">
            <w:pPr>
              <w:rPr>
                <w:color w:val="auto"/>
                <w:highlight w:val="none"/>
              </w:rPr>
            </w:pPr>
          </w:p>
        </w:tc>
        <w:tc>
          <w:tcPr>
            <w:tcW w:w="1570" w:type="dxa"/>
            <w:shd w:val="clear" w:color="auto" w:fill="auto"/>
          </w:tcPr>
          <w:p w14:paraId="4888BA0F">
            <w:pPr>
              <w:rPr>
                <w:color w:val="auto"/>
                <w:highlight w:val="none"/>
              </w:rPr>
            </w:pPr>
            <w:r>
              <w:rPr>
                <w:rFonts w:ascii="宋体" w:hAnsi="宋体" w:eastAsia="宋体"/>
                <w:color w:val="auto"/>
                <w:sz w:val="21"/>
                <w:highlight w:val="none"/>
              </w:rPr>
              <w:t>病案灾难备份接管服务</w:t>
            </w:r>
          </w:p>
        </w:tc>
        <w:tc>
          <w:tcPr>
            <w:tcW w:w="5460" w:type="dxa"/>
            <w:shd w:val="clear" w:color="auto" w:fill="auto"/>
          </w:tcPr>
          <w:p w14:paraId="2A766984">
            <w:pPr>
              <w:rPr>
                <w:color w:val="auto"/>
                <w:highlight w:val="none"/>
              </w:rPr>
            </w:pPr>
            <w:r>
              <w:rPr>
                <w:rFonts w:ascii="宋体" w:hAnsi="宋体" w:eastAsia="宋体"/>
                <w:color w:val="auto"/>
                <w:sz w:val="21"/>
                <w:highlight w:val="none"/>
              </w:rPr>
              <w:t>（1）提供应用级容灾能力，当主服务器宕机或故障时，可自动/手动接管核心业务，保障病案归档、调阅、下载等服务不中断；</w:t>
            </w:r>
          </w:p>
          <w:p w14:paraId="3F66F296">
            <w:pPr>
              <w:rPr>
                <w:color w:val="auto"/>
                <w:highlight w:val="none"/>
              </w:rPr>
            </w:pPr>
            <w:r>
              <w:rPr>
                <w:rFonts w:ascii="宋体" w:hAnsi="宋体" w:eastAsia="宋体"/>
                <w:color w:val="auto"/>
                <w:sz w:val="21"/>
                <w:highlight w:val="none"/>
              </w:rPr>
              <w:t>（2）故障恢复后支持平滑切回，保障数据零丢失；</w:t>
            </w:r>
          </w:p>
          <w:p w14:paraId="134F57A0">
            <w:pPr>
              <w:rPr>
                <w:color w:val="auto"/>
                <w:highlight w:val="none"/>
              </w:rPr>
            </w:pPr>
            <w:r>
              <w:rPr>
                <w:rFonts w:ascii="宋体" w:hAnsi="宋体" w:eastAsia="宋体"/>
                <w:color w:val="auto"/>
                <w:sz w:val="21"/>
                <w:highlight w:val="none"/>
              </w:rPr>
              <w:t>（3）业务恢复时间（RTO）≤2小时，数据丢失时间（RPO）≤1天。</w:t>
            </w:r>
          </w:p>
        </w:tc>
      </w:tr>
      <w:tr w14:paraId="50EB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vAlign w:val="center"/>
          </w:tcPr>
          <w:p w14:paraId="54546729">
            <w:pPr>
              <w:jc w:val="center"/>
              <w:rPr>
                <w:color w:val="auto"/>
                <w:highlight w:val="none"/>
              </w:rPr>
            </w:pPr>
            <w:r>
              <w:rPr>
                <w:rFonts w:ascii="宋体" w:hAnsi="宋体" w:eastAsia="宋体"/>
                <w:color w:val="auto"/>
                <w:sz w:val="21"/>
                <w:highlight w:val="none"/>
              </w:rPr>
              <w:t>二十</w:t>
            </w:r>
            <w:r>
              <w:rPr>
                <w:rFonts w:hint="eastAsia" w:ascii="宋体" w:hAnsi="宋体" w:eastAsia="宋体"/>
                <w:color w:val="auto"/>
                <w:sz w:val="21"/>
                <w:highlight w:val="none"/>
                <w:lang w:val="en-US" w:eastAsia="zh-CN"/>
              </w:rPr>
              <w:t>一</w:t>
            </w:r>
            <w:r>
              <w:rPr>
                <w:rFonts w:ascii="宋体" w:hAnsi="宋体" w:eastAsia="宋体"/>
                <w:color w:val="auto"/>
                <w:sz w:val="21"/>
                <w:highlight w:val="none"/>
              </w:rPr>
              <w:t>、合规与评级支撑要求</w:t>
            </w:r>
          </w:p>
        </w:tc>
        <w:tc>
          <w:tcPr>
            <w:tcW w:w="1570" w:type="dxa"/>
            <w:shd w:val="clear" w:color="auto" w:fill="auto"/>
          </w:tcPr>
          <w:p w14:paraId="77E204D4">
            <w:pPr>
              <w:rPr>
                <w:color w:val="auto"/>
                <w:highlight w:val="none"/>
              </w:rPr>
            </w:pPr>
            <w:r>
              <w:rPr>
                <w:rFonts w:ascii="宋体" w:hAnsi="宋体" w:eastAsia="宋体"/>
                <w:color w:val="auto"/>
                <w:sz w:val="21"/>
                <w:highlight w:val="none"/>
              </w:rPr>
              <w:t>电子病历评级支撑</w:t>
            </w:r>
          </w:p>
        </w:tc>
        <w:tc>
          <w:tcPr>
            <w:tcW w:w="5460" w:type="dxa"/>
            <w:shd w:val="clear" w:color="auto" w:fill="auto"/>
          </w:tcPr>
          <w:p w14:paraId="4F168669">
            <w:pPr>
              <w:rPr>
                <w:color w:val="auto"/>
                <w:highlight w:val="none"/>
              </w:rPr>
            </w:pPr>
            <w:r>
              <w:rPr>
                <w:rFonts w:ascii="宋体" w:hAnsi="宋体" w:eastAsia="宋体"/>
                <w:color w:val="auto"/>
                <w:sz w:val="21"/>
                <w:highlight w:val="none"/>
              </w:rPr>
              <w:t>（1）</w:t>
            </w:r>
            <w:r>
              <w:rPr>
                <w:rFonts w:hint="eastAsia" w:ascii="宋体" w:hAnsi="宋体" w:eastAsia="宋体"/>
                <w:color w:val="auto"/>
                <w:sz w:val="21"/>
                <w:highlight w:val="none"/>
                <w:lang w:val="en-US" w:eastAsia="zh-CN"/>
              </w:rPr>
              <w:t xml:space="preserve">满足智慧医疗评价 </w:t>
            </w:r>
            <w:r>
              <w:rPr>
                <w:rFonts w:ascii="宋体" w:hAnsi="宋体" w:eastAsia="宋体"/>
                <w:color w:val="auto"/>
                <w:sz w:val="21"/>
                <w:highlight w:val="none"/>
              </w:rPr>
              <w:t>OFD-H</w:t>
            </w:r>
            <w:r>
              <w:rPr>
                <w:rFonts w:ascii="宋体" w:hAnsi="宋体" w:eastAsia="宋体"/>
                <w:color w:val="auto"/>
                <w:sz w:val="21"/>
                <w:highlight w:val="none"/>
                <w:lang w:val="en-US" w:eastAsia="zh-CN"/>
              </w:rPr>
              <w:t xml:space="preserve"> </w:t>
            </w:r>
            <w:r>
              <w:rPr>
                <w:rFonts w:hint="eastAsia" w:ascii="宋体" w:hAnsi="宋体" w:eastAsia="宋体"/>
                <w:color w:val="auto"/>
                <w:sz w:val="21"/>
                <w:highlight w:val="none"/>
                <w:lang w:val="en-US" w:eastAsia="zh-CN"/>
              </w:rPr>
              <w:t xml:space="preserve">相关四级（病历归档符合 </w:t>
            </w:r>
            <w:r>
              <w:rPr>
                <w:rFonts w:ascii="宋体" w:hAnsi="宋体" w:eastAsia="宋体"/>
                <w:color w:val="auto"/>
                <w:sz w:val="21"/>
                <w:highlight w:val="none"/>
              </w:rPr>
              <w:t>OFD-H</w:t>
            </w:r>
            <w:r>
              <w:rPr>
                <w:rFonts w:hint="default" w:ascii="宋体" w:hAnsi="宋体" w:eastAsia="宋体"/>
                <w:color w:val="auto"/>
                <w:sz w:val="21"/>
                <w:highlight w:val="none"/>
                <w:lang w:val="en-US" w:eastAsia="zh-CN"/>
              </w:rPr>
              <w:t xml:space="preserve"> </w:t>
            </w:r>
            <w:r>
              <w:rPr>
                <w:rFonts w:hint="eastAsia" w:ascii="宋体" w:hAnsi="宋体" w:eastAsia="宋体"/>
                <w:color w:val="auto"/>
                <w:sz w:val="21"/>
                <w:highlight w:val="none"/>
                <w:lang w:val="en-US" w:eastAsia="zh-CN"/>
              </w:rPr>
              <w:t>格式）、五级（支持</w:t>
            </w:r>
            <w:r>
              <w:rPr>
                <w:rFonts w:ascii="宋体" w:hAnsi="宋体" w:eastAsia="宋体"/>
                <w:color w:val="auto"/>
                <w:sz w:val="21"/>
                <w:highlight w:val="none"/>
              </w:rPr>
              <w:t>OFD-H</w:t>
            </w:r>
            <w:r>
              <w:rPr>
                <w:rFonts w:hint="eastAsia" w:ascii="宋体" w:hAnsi="宋体" w:eastAsia="宋体"/>
                <w:color w:val="auto"/>
                <w:sz w:val="21"/>
                <w:highlight w:val="none"/>
                <w:lang w:val="en-US" w:eastAsia="zh-CN"/>
              </w:rPr>
              <w:t xml:space="preserve">管理的文档调阅、浏览）、六级（具备 </w:t>
            </w:r>
            <w:r>
              <w:rPr>
                <w:rFonts w:ascii="宋体" w:hAnsi="宋体" w:eastAsia="宋体"/>
                <w:color w:val="auto"/>
                <w:sz w:val="21"/>
                <w:highlight w:val="none"/>
              </w:rPr>
              <w:t>OFD-H</w:t>
            </w:r>
            <w:r>
              <w:rPr>
                <w:rFonts w:hint="default" w:ascii="宋体" w:hAnsi="宋体" w:eastAsia="宋体"/>
                <w:color w:val="auto"/>
                <w:sz w:val="21"/>
                <w:highlight w:val="none"/>
                <w:lang w:val="en-US" w:eastAsia="zh-CN"/>
              </w:rPr>
              <w:t xml:space="preserve"> </w:t>
            </w:r>
            <w:r>
              <w:rPr>
                <w:rFonts w:hint="eastAsia" w:ascii="宋体" w:hAnsi="宋体" w:eastAsia="宋体"/>
                <w:color w:val="auto"/>
                <w:sz w:val="21"/>
                <w:highlight w:val="none"/>
                <w:lang w:val="en-US" w:eastAsia="zh-CN"/>
              </w:rPr>
              <w:t>文档集中管理平台并支持</w:t>
            </w:r>
            <w:r>
              <w:rPr>
                <w:rFonts w:ascii="宋体" w:hAnsi="宋体" w:eastAsia="宋体"/>
                <w:color w:val="auto"/>
                <w:sz w:val="21"/>
                <w:highlight w:val="none"/>
              </w:rPr>
              <w:t>OFD-H</w:t>
            </w:r>
            <w:r>
              <w:rPr>
                <w:rFonts w:hint="eastAsia" w:ascii="宋体" w:hAnsi="宋体" w:eastAsia="宋体"/>
                <w:color w:val="auto"/>
                <w:sz w:val="21"/>
                <w:highlight w:val="none"/>
                <w:lang w:val="en-US" w:eastAsia="zh-CN"/>
              </w:rPr>
              <w:t xml:space="preserve">格式数据交换）的指标要求，实现基于 </w:t>
            </w:r>
            <w:r>
              <w:rPr>
                <w:rFonts w:ascii="宋体" w:hAnsi="宋体" w:eastAsia="宋体"/>
                <w:color w:val="auto"/>
                <w:sz w:val="21"/>
                <w:highlight w:val="none"/>
              </w:rPr>
              <w:t>OFD-H</w:t>
            </w:r>
            <w:r>
              <w:rPr>
                <w:rFonts w:hint="default" w:ascii="宋体" w:hAnsi="宋体" w:eastAsia="宋体"/>
                <w:color w:val="auto"/>
                <w:sz w:val="21"/>
                <w:highlight w:val="none"/>
                <w:lang w:val="en-US" w:eastAsia="zh-CN"/>
              </w:rPr>
              <w:t xml:space="preserve"> </w:t>
            </w:r>
            <w:r>
              <w:rPr>
                <w:rFonts w:hint="eastAsia" w:ascii="宋体" w:hAnsi="宋体" w:eastAsia="宋体"/>
                <w:color w:val="auto"/>
                <w:sz w:val="21"/>
                <w:highlight w:val="none"/>
                <w:lang w:val="en-US" w:eastAsia="zh-CN"/>
              </w:rPr>
              <w:t>格式的病历归档、调阅浏览、隐私保护、文档管控、数据交换引用与电子签字功能。</w:t>
            </w:r>
            <w:r>
              <w:rPr>
                <w:rFonts w:ascii="宋体" w:hAnsi="宋体" w:eastAsia="宋体"/>
                <w:color w:val="auto"/>
                <w:sz w:val="21"/>
                <w:highlight w:val="none"/>
              </w:rPr>
              <w:t>同时前瞻性对接国家卫健委数智医院建设与应用评价标准</w:t>
            </w:r>
            <w:r>
              <w:rPr>
                <w:rFonts w:hint="eastAsia" w:ascii="宋体" w:hAnsi="宋体" w:eastAsia="宋体"/>
                <w:color w:val="auto"/>
                <w:sz w:val="21"/>
                <w:highlight w:val="none"/>
                <w:lang w:val="en-US" w:eastAsia="zh-CN"/>
              </w:rPr>
              <w:t>等相关要求</w:t>
            </w:r>
            <w:r>
              <w:rPr>
                <w:rFonts w:ascii="宋体" w:hAnsi="宋体" w:eastAsia="宋体"/>
                <w:color w:val="auto"/>
                <w:sz w:val="21"/>
                <w:highlight w:val="none"/>
              </w:rPr>
              <w:t>，支撑全流程数据闭环管理、高级医疗决策支持、区域信息引用、专科病历体系建设；</w:t>
            </w:r>
          </w:p>
          <w:p w14:paraId="7ABF8B66">
            <w:pPr>
              <w:rPr>
                <w:color w:val="auto"/>
                <w:highlight w:val="none"/>
              </w:rPr>
            </w:pPr>
            <w:r>
              <w:rPr>
                <w:rFonts w:ascii="宋体" w:hAnsi="宋体" w:eastAsia="宋体"/>
                <w:color w:val="auto"/>
                <w:sz w:val="21"/>
                <w:highlight w:val="none"/>
              </w:rPr>
              <w:t>（2）保障OFD-H病案数据满足唯一性、完整性、合规性、同一性、时效性五项数据质量要求；</w:t>
            </w:r>
          </w:p>
          <w:p w14:paraId="7DAEF3DE">
            <w:pPr>
              <w:rPr>
                <w:color w:val="auto"/>
                <w:highlight w:val="none"/>
              </w:rPr>
            </w:pPr>
            <w:r>
              <w:rPr>
                <w:rFonts w:ascii="宋体" w:hAnsi="宋体" w:eastAsia="宋体"/>
                <w:color w:val="auto"/>
                <w:sz w:val="21"/>
                <w:highlight w:val="none"/>
              </w:rPr>
              <w:t>（3）配合医院完成电子病历评级相关的功能验证、数据核验与材料支撑工作。</w:t>
            </w:r>
          </w:p>
        </w:tc>
      </w:tr>
      <w:tr w14:paraId="3FBE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5C143157">
            <w:pPr>
              <w:rPr>
                <w:color w:val="auto"/>
                <w:highlight w:val="none"/>
              </w:rPr>
            </w:pPr>
          </w:p>
        </w:tc>
        <w:tc>
          <w:tcPr>
            <w:tcW w:w="1570" w:type="dxa"/>
            <w:shd w:val="clear" w:color="auto" w:fill="auto"/>
          </w:tcPr>
          <w:p w14:paraId="5B61B159">
            <w:pPr>
              <w:rPr>
                <w:color w:val="auto"/>
                <w:highlight w:val="none"/>
              </w:rPr>
            </w:pPr>
            <w:r>
              <w:rPr>
                <w:rFonts w:ascii="宋体" w:hAnsi="宋体" w:eastAsia="宋体"/>
                <w:color w:val="auto"/>
                <w:sz w:val="21"/>
                <w:highlight w:val="none"/>
              </w:rPr>
              <w:t>国家标准符合性</w:t>
            </w:r>
          </w:p>
        </w:tc>
        <w:tc>
          <w:tcPr>
            <w:tcW w:w="5460" w:type="dxa"/>
            <w:shd w:val="clear" w:color="auto" w:fill="auto"/>
          </w:tcPr>
          <w:p w14:paraId="4B1531DE">
            <w:pPr>
              <w:rPr>
                <w:color w:val="auto"/>
                <w:highlight w:val="none"/>
              </w:rPr>
            </w:pPr>
            <w:r>
              <w:rPr>
                <w:rFonts w:hint="eastAsia" w:ascii="宋体" w:hAnsi="宋体" w:eastAsia="宋体"/>
                <w:color w:val="auto"/>
                <w:sz w:val="21"/>
                <w:highlight w:val="none"/>
                <w:lang w:eastAsia="zh-CN"/>
              </w:rPr>
              <w:t>△（1）严格遵循《电子文件存储与交换格式—版式文件》（GB/T 33190-2016）、《信息技术OFD档案应用指南》（GB/T 42133-2022）及医疗行业OFD-H标准（提供系统截图加盖公章）；</w:t>
            </w:r>
          </w:p>
          <w:p w14:paraId="1EA66F21">
            <w:pPr>
              <w:rPr>
                <w:color w:val="auto"/>
                <w:highlight w:val="none"/>
              </w:rPr>
            </w:pPr>
            <w:r>
              <w:rPr>
                <w:rFonts w:hint="eastAsia" w:ascii="宋体" w:hAnsi="宋体" w:eastAsia="宋体"/>
                <w:color w:val="auto"/>
                <w:sz w:val="21"/>
                <w:highlight w:val="none"/>
                <w:lang w:eastAsia="zh-CN"/>
              </w:rPr>
              <w:t>△</w:t>
            </w:r>
            <w:r>
              <w:rPr>
                <w:rFonts w:ascii="宋体" w:hAnsi="宋体" w:eastAsia="宋体"/>
                <w:color w:val="auto"/>
                <w:sz w:val="21"/>
                <w:highlight w:val="none"/>
              </w:rPr>
              <w:t>（2）参照2025版智慧医疗评价标准（征求意见稿）中对OFD版式归档、集中管理、电子签名、数据交换、操作留痕的全部强制要求（提供系统截图加盖公章）。</w:t>
            </w:r>
          </w:p>
        </w:tc>
      </w:tr>
      <w:tr w14:paraId="0E73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restart"/>
            <w:shd w:val="clear" w:color="auto" w:fill="auto"/>
            <w:vAlign w:val="center"/>
          </w:tcPr>
          <w:p w14:paraId="1C50CC6E">
            <w:pPr>
              <w:rPr>
                <w:color w:val="auto"/>
                <w:highlight w:val="none"/>
              </w:rPr>
            </w:pPr>
            <w:r>
              <w:rPr>
                <w:rFonts w:ascii="宋体" w:hAnsi="宋体" w:eastAsia="宋体"/>
                <w:color w:val="auto"/>
                <w:highlight w:val="none"/>
              </w:rPr>
              <w:t>二十二、AI应用</w:t>
            </w:r>
          </w:p>
        </w:tc>
        <w:tc>
          <w:tcPr>
            <w:tcW w:w="1570" w:type="dxa"/>
            <w:shd w:val="clear" w:color="auto" w:fill="auto"/>
          </w:tcPr>
          <w:p w14:paraId="7A0FEFC1">
            <w:pPr>
              <w:rPr>
                <w:rFonts w:ascii="宋体" w:hAnsi="宋体" w:eastAsia="宋体"/>
                <w:color w:val="auto"/>
                <w:sz w:val="21"/>
                <w:highlight w:val="none"/>
              </w:rPr>
            </w:pPr>
            <w:r>
              <w:rPr>
                <w:rFonts w:ascii="宋体" w:hAnsi="宋体" w:eastAsia="宋体"/>
                <w:color w:val="auto"/>
                <w:sz w:val="21"/>
                <w:highlight w:val="none"/>
              </w:rPr>
              <w:t>AI智能文档比对</w:t>
            </w:r>
          </w:p>
        </w:tc>
        <w:tc>
          <w:tcPr>
            <w:tcW w:w="5460" w:type="dxa"/>
            <w:shd w:val="clear" w:color="auto" w:fill="auto"/>
          </w:tcPr>
          <w:p w14:paraId="5578D1CB">
            <w:pPr>
              <w:rPr>
                <w:rFonts w:hint="eastAsia" w:ascii="宋体" w:hAnsi="宋体" w:eastAsia="宋体"/>
                <w:color w:val="auto"/>
                <w:sz w:val="21"/>
                <w:highlight w:val="none"/>
                <w:lang w:eastAsia="zh-CN"/>
              </w:rPr>
            </w:pPr>
            <w:r>
              <w:rPr>
                <w:rFonts w:hint="eastAsia" w:ascii="宋体" w:hAnsi="宋体" w:eastAsia="宋体"/>
                <w:color w:val="auto"/>
                <w:sz w:val="21"/>
                <w:highlight w:val="none"/>
                <w:lang w:eastAsia="zh-CN"/>
              </w:rPr>
              <w:t>支持 AI 智能文档比对功能，可对同一患者不同阶段、不同版本的 OFD-H 电子病历进行深度比较，自动识别并精准统计新增内容、修改内容、删除内容，支持按修改类型、修改时间、修改人维度筛选统计</w:t>
            </w:r>
          </w:p>
        </w:tc>
      </w:tr>
      <w:tr w14:paraId="0E76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29A6AAF7">
            <w:pPr>
              <w:rPr>
                <w:rFonts w:hint="eastAsia"/>
                <w:color w:val="auto"/>
                <w:highlight w:val="none"/>
                <w:lang w:val="en-US" w:eastAsia="zh-CN"/>
              </w:rPr>
            </w:pPr>
          </w:p>
        </w:tc>
        <w:tc>
          <w:tcPr>
            <w:tcW w:w="1570" w:type="dxa"/>
            <w:shd w:val="clear" w:color="auto" w:fill="auto"/>
          </w:tcPr>
          <w:p w14:paraId="43015A1C">
            <w:pPr>
              <w:rPr>
                <w:rFonts w:ascii="宋体" w:hAnsi="宋体" w:eastAsia="宋体"/>
                <w:color w:val="auto"/>
                <w:sz w:val="21"/>
                <w:highlight w:val="none"/>
              </w:rPr>
            </w:pPr>
            <w:r>
              <w:rPr>
                <w:rFonts w:ascii="宋体" w:hAnsi="宋体" w:eastAsia="宋体"/>
                <w:color w:val="auto"/>
                <w:sz w:val="21"/>
                <w:highlight w:val="none"/>
              </w:rPr>
              <w:t>AI自然语言智能检索</w:t>
            </w:r>
          </w:p>
        </w:tc>
        <w:tc>
          <w:tcPr>
            <w:tcW w:w="5460" w:type="dxa"/>
            <w:shd w:val="clear" w:color="auto" w:fill="auto"/>
          </w:tcPr>
          <w:p w14:paraId="4C745E02">
            <w:pPr>
              <w:rPr>
                <w:rFonts w:hint="eastAsia" w:ascii="宋体" w:hAnsi="宋体" w:eastAsia="宋体"/>
                <w:color w:val="auto"/>
                <w:sz w:val="21"/>
                <w:highlight w:val="none"/>
                <w:lang w:eastAsia="zh-CN"/>
              </w:rPr>
            </w:pPr>
            <w:r>
              <w:rPr>
                <w:rFonts w:hint="eastAsia" w:ascii="宋体" w:hAnsi="宋体" w:eastAsia="宋体"/>
                <w:color w:val="auto"/>
                <w:sz w:val="21"/>
                <w:highlight w:val="none"/>
                <w:lang w:eastAsia="zh-CN"/>
              </w:rPr>
              <w:t>通过自然语言描述检索需求，自动解析查询中蕴含的多条件逻辑关系，自动完成条件过滤与推理运算，从 OFD-H 病案中精准提取符合复杂条件的结果</w:t>
            </w:r>
          </w:p>
        </w:tc>
      </w:tr>
      <w:tr w14:paraId="2F3B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4BA43912">
            <w:pPr>
              <w:rPr>
                <w:rFonts w:hint="eastAsia"/>
                <w:color w:val="auto"/>
                <w:highlight w:val="none"/>
                <w:lang w:val="en-US" w:eastAsia="zh-CN"/>
              </w:rPr>
            </w:pPr>
          </w:p>
        </w:tc>
        <w:tc>
          <w:tcPr>
            <w:tcW w:w="1570" w:type="dxa"/>
            <w:shd w:val="clear" w:color="auto" w:fill="auto"/>
          </w:tcPr>
          <w:p w14:paraId="52C79924">
            <w:pPr>
              <w:rPr>
                <w:rFonts w:ascii="宋体" w:hAnsi="宋体" w:eastAsia="宋体"/>
                <w:color w:val="auto"/>
                <w:sz w:val="21"/>
                <w:highlight w:val="none"/>
              </w:rPr>
            </w:pPr>
            <w:r>
              <w:rPr>
                <w:rFonts w:hint="eastAsia" w:ascii="宋体" w:hAnsi="宋体" w:eastAsia="宋体"/>
                <w:color w:val="auto"/>
                <w:sz w:val="21"/>
                <w:highlight w:val="none"/>
                <w:lang w:val="en-US" w:eastAsia="zh-CN"/>
              </w:rPr>
              <w:t>AI</w:t>
            </w:r>
            <w:r>
              <w:rPr>
                <w:rFonts w:ascii="宋体" w:hAnsi="宋体" w:eastAsia="宋体"/>
                <w:color w:val="auto"/>
                <w:sz w:val="21"/>
                <w:highlight w:val="none"/>
              </w:rPr>
              <w:t>检索结果智能引用与摘要展示</w:t>
            </w:r>
          </w:p>
        </w:tc>
        <w:tc>
          <w:tcPr>
            <w:tcW w:w="5460" w:type="dxa"/>
            <w:shd w:val="clear" w:color="auto" w:fill="auto"/>
          </w:tcPr>
          <w:p w14:paraId="1EFF6863">
            <w:pPr>
              <w:rPr>
                <w:rFonts w:hint="eastAsia" w:ascii="宋体" w:hAnsi="宋体" w:eastAsia="宋体"/>
                <w:color w:val="auto"/>
                <w:sz w:val="21"/>
                <w:highlight w:val="none"/>
                <w:lang w:eastAsia="zh-CN"/>
              </w:rPr>
            </w:pPr>
            <w:r>
              <w:rPr>
                <w:rFonts w:hint="eastAsia" w:ascii="宋体" w:hAnsi="宋体" w:eastAsia="宋体"/>
                <w:color w:val="auto"/>
                <w:sz w:val="21"/>
                <w:highlight w:val="none"/>
                <w:lang w:eastAsia="zh-CN"/>
              </w:rPr>
              <w:t>对检索命中的 OFD-H 病历内容进行语义分析，精准定位与检索意图相关的核心段落，自动生成结构化引用摘要，对关键信息进行高亮标注；每条引用内容自动标注原始病历来源（科室、就诊时间、文档类型</w:t>
            </w:r>
            <w:r>
              <w:rPr>
                <w:rFonts w:hint="eastAsia" w:ascii="宋体" w:hAnsi="宋体" w:eastAsia="宋体"/>
                <w:color w:val="auto"/>
                <w:sz w:val="21"/>
                <w:highlight w:val="none"/>
                <w:lang w:val="en-US" w:eastAsia="zh-CN"/>
              </w:rPr>
              <w:t>等等</w:t>
            </w:r>
            <w:r>
              <w:rPr>
                <w:rFonts w:hint="eastAsia" w:ascii="宋体" w:hAnsi="宋体" w:eastAsia="宋体"/>
                <w:color w:val="auto"/>
                <w:sz w:val="21"/>
                <w:highlight w:val="none"/>
                <w:lang w:eastAsia="zh-CN"/>
              </w:rPr>
              <w:t>），支持点击来源链接一键跳转至原始病历对应段落</w:t>
            </w:r>
          </w:p>
        </w:tc>
      </w:tr>
      <w:tr w14:paraId="7DFE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494" w:type="dxa"/>
            <w:vMerge w:val="continue"/>
            <w:shd w:val="clear" w:color="auto" w:fill="auto"/>
          </w:tcPr>
          <w:p w14:paraId="307B1CC6">
            <w:pPr>
              <w:rPr>
                <w:rFonts w:hint="eastAsia"/>
                <w:color w:val="auto"/>
                <w:highlight w:val="none"/>
                <w:lang w:val="en-US" w:eastAsia="zh-CN"/>
              </w:rPr>
            </w:pPr>
          </w:p>
        </w:tc>
        <w:tc>
          <w:tcPr>
            <w:tcW w:w="1570" w:type="dxa"/>
            <w:shd w:val="clear" w:color="auto" w:fill="auto"/>
          </w:tcPr>
          <w:p w14:paraId="33E4A893">
            <w:pPr>
              <w:rPr>
                <w:color w:val="auto"/>
                <w:highlight w:val="none"/>
              </w:rPr>
            </w:pPr>
            <w:r>
              <w:rPr>
                <w:rFonts w:ascii="宋体" w:hAnsi="宋体" w:eastAsia="宋体"/>
                <w:color w:val="auto"/>
                <w:highlight w:val="none"/>
              </w:rPr>
              <w:t>AI后结构化数据提取</w:t>
            </w:r>
          </w:p>
        </w:tc>
        <w:tc>
          <w:tcPr>
            <w:tcW w:w="5460" w:type="dxa"/>
            <w:shd w:val="clear" w:color="auto" w:fill="auto"/>
          </w:tcPr>
          <w:p w14:paraId="11EB6BAC">
            <w:pPr>
              <w:rPr>
                <w:color w:val="auto"/>
                <w:highlight w:val="none"/>
              </w:rPr>
            </w:pPr>
            <w:r>
              <w:rPr>
                <w:rFonts w:ascii="宋体" w:hAnsi="宋体" w:eastAsia="宋体"/>
                <w:color w:val="auto"/>
                <w:highlight w:val="none"/>
              </w:rPr>
              <w:t>（1）支持针对无法获取结构化数据进行数据封装的文档，提供人工智能大模型后结构化数据提取；</w:t>
            </w:r>
            <w:r>
              <w:rPr>
                <w:rFonts w:ascii="宋体" w:hAnsi="宋体" w:eastAsia="宋体"/>
                <w:color w:val="auto"/>
                <w:highlight w:val="none"/>
              </w:rPr>
              <w:br w:type="textWrapping"/>
            </w:r>
            <w:r>
              <w:rPr>
                <w:rFonts w:ascii="宋体" w:hAnsi="宋体" w:eastAsia="宋体"/>
                <w:color w:val="auto"/>
                <w:highlight w:val="none"/>
              </w:rPr>
              <w:t>（2）可识别提取文档内文字、表格、图表等视觉元素，将非结构化数据转换为结构化格式；</w:t>
            </w:r>
            <w:r>
              <w:rPr>
                <w:rFonts w:ascii="宋体" w:hAnsi="宋体" w:eastAsia="宋体"/>
                <w:color w:val="auto"/>
                <w:highlight w:val="none"/>
              </w:rPr>
              <w:br w:type="textWrapping"/>
            </w:r>
            <w:r>
              <w:rPr>
                <w:rFonts w:ascii="宋体" w:hAnsi="宋体" w:eastAsia="宋体"/>
                <w:color w:val="auto"/>
                <w:highlight w:val="none"/>
              </w:rPr>
              <w:t>（3）提取后的结构化数据可作为数据附件存储于OFD文档附件区域，并可同步更新至平台元数据管理体系。</w:t>
            </w:r>
          </w:p>
        </w:tc>
      </w:tr>
    </w:tbl>
    <w:p w14:paraId="59706333">
      <w:pPr>
        <w:pStyle w:val="4"/>
        <w:pageBreakBefore w:val="0"/>
        <w:widowControl w:val="0"/>
        <w:kinsoku/>
        <w:wordWrap/>
        <w:overflowPunct/>
        <w:topLinePunct w:val="0"/>
        <w:autoSpaceDE/>
        <w:autoSpaceDN/>
        <w:bidi w:val="0"/>
        <w:adjustRightInd/>
        <w:snapToGrid/>
        <w:spacing w:after="0" w:line="312" w:lineRule="auto"/>
        <w:textAlignment w:val="auto"/>
        <w:rPr>
          <w:color w:val="auto"/>
          <w:lang w:val="en-US"/>
        </w:rPr>
      </w:pPr>
    </w:p>
    <w:p w14:paraId="1E1DCAAC">
      <w:pPr>
        <w:pStyle w:val="4"/>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auto"/>
          <w:sz w:val="28"/>
          <w:lang w:val="en-US"/>
        </w:rPr>
      </w:pPr>
      <w:r>
        <w:rPr>
          <w:rFonts w:hint="eastAsia" w:ascii="宋体" w:hAnsi="宋体" w:eastAsia="宋体" w:cs="宋体"/>
          <w:b/>
          <w:bCs/>
          <w:color w:val="auto"/>
          <w:sz w:val="28"/>
          <w:lang w:val="en-US"/>
        </w:rPr>
        <w:t>三、对接口及系统改造的要求</w:t>
      </w:r>
    </w:p>
    <w:p w14:paraId="696873A5">
      <w:pPr>
        <w:pageBreakBefore w:val="0"/>
        <w:widowControl w:val="0"/>
        <w:kinsoku/>
        <w:wordWrap/>
        <w:overflowPunct/>
        <w:topLinePunct w:val="0"/>
        <w:autoSpaceDE/>
        <w:autoSpaceDN/>
        <w:bidi w:val="0"/>
        <w:adjustRightInd/>
        <w:snapToGrid/>
        <w:spacing w:line="312" w:lineRule="auto"/>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ab/>
      </w:r>
      <w:r>
        <w:rPr>
          <w:rFonts w:hint="eastAsia" w:ascii="宋体" w:hAnsi="宋体" w:eastAsia="宋体" w:cs="宋体"/>
          <w:b/>
          <w:bCs/>
          <w:color w:val="auto"/>
          <w:sz w:val="24"/>
          <w:szCs w:val="24"/>
          <w:lang w:eastAsia="zh-CN"/>
        </w:rPr>
        <w:t>质</w:t>
      </w:r>
      <w:r>
        <w:rPr>
          <w:rFonts w:hint="eastAsia" w:ascii="宋体" w:hAnsi="宋体" w:eastAsia="宋体" w:cs="宋体"/>
          <w:b/>
          <w:bCs/>
          <w:color w:val="auto"/>
          <w:sz w:val="24"/>
          <w:szCs w:val="24"/>
        </w:rPr>
        <w:t>保期和</w:t>
      </w:r>
      <w:r>
        <w:rPr>
          <w:rFonts w:hint="eastAsia" w:ascii="宋体" w:hAnsi="宋体" w:eastAsia="宋体" w:cs="宋体"/>
          <w:b/>
          <w:bCs/>
          <w:color w:val="auto"/>
          <w:sz w:val="24"/>
          <w:szCs w:val="24"/>
          <w:lang w:eastAsia="zh-CN"/>
        </w:rPr>
        <w:t>维</w:t>
      </w:r>
      <w:r>
        <w:rPr>
          <w:rFonts w:hint="eastAsia" w:ascii="宋体" w:hAnsi="宋体" w:eastAsia="宋体" w:cs="宋体"/>
          <w:b/>
          <w:bCs/>
          <w:color w:val="auto"/>
          <w:sz w:val="24"/>
          <w:szCs w:val="24"/>
        </w:rPr>
        <w:t>保期内实现以下要求：</w:t>
      </w:r>
    </w:p>
    <w:p w14:paraId="3208D7B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3.1提供全面的接口技术，与第三方系统共享数据和功能，这些接口技术包括中间件技术接口、WEBSEVICE通用接口、数据库级接口、文件文本接口等。</w:t>
      </w:r>
    </w:p>
    <w:p w14:paraId="4A0068C1">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3.2提供与医院第三方系统统一接口的维护与管理，与HIS、电子病历、LIS、PACS、心电系统、体检系统、集成平台、</w:t>
      </w:r>
      <w:r>
        <w:rPr>
          <w:rFonts w:hint="eastAsia" w:ascii="宋体" w:hAnsi="宋体" w:eastAsia="宋体" w:cs="宋体"/>
          <w:color w:val="auto"/>
          <w:sz w:val="24"/>
          <w:lang w:val="en-US" w:eastAsia="zh-CN"/>
        </w:rPr>
        <w:t>智慧运营平台、</w:t>
      </w:r>
      <w:r>
        <w:rPr>
          <w:rFonts w:hint="eastAsia" w:ascii="宋体" w:hAnsi="宋体" w:eastAsia="宋体" w:cs="宋体"/>
          <w:color w:val="auto"/>
          <w:sz w:val="24"/>
          <w:lang w:val="en-US"/>
        </w:rPr>
        <w:t>成本管理系统、排班系统、</w:t>
      </w:r>
      <w:r>
        <w:rPr>
          <w:rFonts w:hint="eastAsia" w:ascii="宋体" w:hAnsi="宋体" w:eastAsia="宋体" w:cs="宋体"/>
          <w:color w:val="auto"/>
          <w:sz w:val="24"/>
          <w:lang w:val="en-US" w:eastAsia="zh-CN"/>
        </w:rPr>
        <w:t>人力资源</w:t>
      </w:r>
      <w:r>
        <w:rPr>
          <w:rFonts w:hint="eastAsia" w:ascii="宋体" w:hAnsi="宋体" w:eastAsia="宋体" w:cs="宋体"/>
          <w:color w:val="auto"/>
          <w:sz w:val="24"/>
          <w:lang w:val="en-US"/>
        </w:rPr>
        <w:t>管理系统、财务管理系统、互联网医院、OA</w:t>
      </w:r>
      <w:r>
        <w:rPr>
          <w:rFonts w:hint="eastAsia" w:ascii="宋体" w:hAnsi="宋体" w:eastAsia="宋体" w:cs="宋体"/>
          <w:color w:val="auto"/>
          <w:sz w:val="24"/>
          <w:lang w:val="en-US" w:eastAsia="zh-CN"/>
        </w:rPr>
        <w:t>平台</w:t>
      </w:r>
      <w:r>
        <w:rPr>
          <w:rFonts w:hint="eastAsia" w:ascii="宋体" w:hAnsi="宋体" w:eastAsia="宋体" w:cs="宋体"/>
          <w:color w:val="auto"/>
          <w:sz w:val="24"/>
          <w:lang w:val="en-US"/>
        </w:rPr>
        <w:t>、自助服务平台、DRG管理、绩效管理、电子发票、短信平台、财务电子档案等其他所有医院相关业务系统（包括以上医院系统但不仅限于以上系统）进行接口对接，实现数据交换。</w:t>
      </w:r>
    </w:p>
    <w:p w14:paraId="2C5EEFF9">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3.3满足医院电子病历系统功能应用水平分级评价达到6级以上评审、医院信息互联互通标准化成熟度测评达到</w:t>
      </w:r>
      <w:r>
        <w:rPr>
          <w:rFonts w:hint="eastAsia" w:ascii="宋体" w:hAnsi="宋体" w:eastAsia="宋体" w:cs="宋体"/>
          <w:color w:val="auto"/>
          <w:sz w:val="24"/>
          <w:lang w:val="en-US" w:eastAsia="zh-CN"/>
        </w:rPr>
        <w:t>五</w:t>
      </w:r>
      <w:r>
        <w:rPr>
          <w:rFonts w:hint="eastAsia" w:ascii="宋体" w:hAnsi="宋体" w:eastAsia="宋体" w:cs="宋体"/>
          <w:color w:val="auto"/>
          <w:sz w:val="24"/>
          <w:lang w:val="en-US"/>
        </w:rPr>
        <w:t>级</w:t>
      </w:r>
      <w:r>
        <w:rPr>
          <w:rFonts w:hint="eastAsia" w:ascii="宋体" w:hAnsi="宋体" w:eastAsia="宋体" w:cs="宋体"/>
          <w:color w:val="auto"/>
          <w:sz w:val="24"/>
          <w:lang w:val="en-US" w:eastAsia="zh-CN"/>
        </w:rPr>
        <w:t>乙</w:t>
      </w:r>
      <w:r>
        <w:rPr>
          <w:rFonts w:hint="eastAsia" w:ascii="宋体" w:hAnsi="宋体" w:eastAsia="宋体" w:cs="宋体"/>
          <w:color w:val="auto"/>
          <w:sz w:val="24"/>
          <w:lang w:val="en-US"/>
        </w:rPr>
        <w:t>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7CF8B74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3.4提供软件升级及个性化修改服务，实现院方的个性化需求；软件自身错误类问题提供永久性修改服务；</w:t>
      </w:r>
    </w:p>
    <w:p w14:paraId="4B0CD15F">
      <w:pPr>
        <w:pStyle w:val="15"/>
        <w:spacing w:line="360" w:lineRule="auto"/>
        <w:ind w:left="0" w:leftChars="0" w:firstLine="420" w:firstLineChars="0"/>
        <w:rPr>
          <w:rFonts w:hint="eastAsia" w:ascii="宋体" w:hAnsi="宋体" w:eastAsia="宋体" w:cs="宋体"/>
          <w:color w:val="auto"/>
          <w:sz w:val="24"/>
          <w:lang w:val="en-US"/>
        </w:rPr>
      </w:pPr>
      <w:r>
        <w:rPr>
          <w:rFonts w:hint="eastAsia" w:ascii="宋体" w:hAnsi="宋体" w:eastAsia="宋体" w:cs="宋体"/>
          <w:color w:val="auto"/>
          <w:sz w:val="24"/>
          <w:lang w:val="en-US"/>
        </w:rPr>
        <w:t>3.5提供医院新增业务信息系统的对接、实现医院上级管理部门要求的系统接口对接要求。</w:t>
      </w:r>
    </w:p>
    <w:p w14:paraId="0892BEB3">
      <w:pPr>
        <w:pStyle w:val="15"/>
        <w:spacing w:line="360" w:lineRule="auto"/>
        <w:ind w:left="0" w:leftChars="0" w:firstLine="420" w:firstLineChars="0"/>
        <w:rPr>
          <w:rFonts w:hint="eastAsia" w:ascii="宋体" w:hAnsi="宋体" w:eastAsia="宋体" w:cs="宋体"/>
          <w:color w:val="auto"/>
          <w:sz w:val="24"/>
          <w:lang w:val="en-US"/>
        </w:rPr>
      </w:pPr>
      <w:r>
        <w:rPr>
          <w:rFonts w:hint="eastAsia" w:ascii="宋体" w:hAnsi="宋体" w:eastAsia="宋体"/>
          <w:color w:val="auto"/>
          <w:sz w:val="24"/>
          <w:szCs w:val="24"/>
          <w:lang w:val="en-US" w:eastAsia="zh-CN"/>
        </w:rPr>
        <w:t>3</w:t>
      </w:r>
      <w:r>
        <w:rPr>
          <w:rFonts w:hint="eastAsia" w:ascii="宋体" w:hAnsi="宋体" w:eastAsia="宋体"/>
          <w:color w:val="auto"/>
          <w:sz w:val="24"/>
          <w:szCs w:val="24"/>
        </w:rPr>
        <w:t>.</w:t>
      </w:r>
      <w:r>
        <w:rPr>
          <w:rFonts w:hint="eastAsia" w:ascii="宋体" w:hAnsi="宋体" w:eastAsia="宋体"/>
          <w:color w:val="auto"/>
          <w:sz w:val="24"/>
          <w:szCs w:val="24"/>
          <w:lang w:val="en-US" w:eastAsia="zh-CN"/>
        </w:rPr>
        <w:t>6</w:t>
      </w:r>
      <w:r>
        <w:rPr>
          <w:rFonts w:hint="eastAsia" w:ascii="宋体" w:hAnsi="宋体" w:eastAsia="宋体"/>
          <w:color w:val="auto"/>
          <w:sz w:val="24"/>
          <w:szCs w:val="24"/>
        </w:rPr>
        <w:t>若医院更换已对接的业务系统、乙方须提供与新业务系统的对接及联调服务。</w:t>
      </w:r>
    </w:p>
    <w:p w14:paraId="204594A6">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3.7项目软硬件系统不限定用户数、并发数、不限定医疗集团内部及院区使用。</w:t>
      </w:r>
    </w:p>
    <w:p w14:paraId="2EBD9BDB">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auto"/>
          <w:sz w:val="32"/>
          <w:szCs w:val="32"/>
        </w:rPr>
      </w:pPr>
      <w:r>
        <w:rPr>
          <w:rFonts w:hint="eastAsia" w:ascii="宋体" w:hAnsi="宋体"/>
          <w:bCs w:val="0"/>
          <w:color w:val="auto"/>
          <w:sz w:val="32"/>
          <w:szCs w:val="32"/>
        </w:rPr>
        <w:t>四、项目实施要求</w:t>
      </w:r>
    </w:p>
    <w:p w14:paraId="53CDE8C8">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4.1驻场、实施工期要求：合同签订后，7个工作日内项目实施人员必须进场</w:t>
      </w:r>
      <w:r>
        <w:rPr>
          <w:rFonts w:hint="eastAsia" w:ascii="宋体" w:hAnsi="宋体" w:eastAsia="宋体" w:cs="宋体"/>
          <w:color w:val="auto"/>
          <w:sz w:val="24"/>
          <w:highlight w:val="none"/>
          <w:lang w:val="en-US" w:eastAsia="zh-CN"/>
        </w:rPr>
        <w:t>，系统需在6</w:t>
      </w:r>
      <w:r>
        <w:rPr>
          <w:rFonts w:hint="eastAsia" w:ascii="宋体" w:hAnsi="宋体" w:eastAsia="宋体" w:cs="宋体"/>
          <w:color w:val="auto"/>
          <w:sz w:val="24"/>
          <w:highlight w:val="none"/>
          <w:lang w:val="en-US"/>
        </w:rPr>
        <w:t>个月内完成项目实施上线</w:t>
      </w:r>
      <w:r>
        <w:rPr>
          <w:rFonts w:hint="eastAsia" w:ascii="宋体" w:hAnsi="宋体" w:eastAsia="宋体" w:cs="宋体"/>
          <w:color w:val="auto"/>
          <w:sz w:val="24"/>
          <w:highlight w:val="none"/>
          <w:lang w:val="en-US" w:eastAsia="zh-CN"/>
        </w:rPr>
        <w:t>，请分别列出每个系统实施的工作计划及周期</w:t>
      </w:r>
      <w:r>
        <w:rPr>
          <w:rFonts w:hint="eastAsia" w:ascii="宋体" w:hAnsi="宋体" w:eastAsia="宋体" w:cs="宋体"/>
          <w:color w:val="auto"/>
          <w:sz w:val="24"/>
          <w:highlight w:val="none"/>
          <w:lang w:val="en-US"/>
        </w:rPr>
        <w:t>。</w:t>
      </w:r>
    </w:p>
    <w:p w14:paraId="28FB4B57">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4.2</w:t>
      </w:r>
      <w:r>
        <w:rPr>
          <w:rFonts w:hint="eastAsia" w:ascii="宋体" w:hAnsi="宋体" w:eastAsia="宋体" w:cs="宋体"/>
          <w:color w:val="auto"/>
          <w:sz w:val="24"/>
          <w:highlight w:val="none"/>
          <w:lang w:val="en-US" w:eastAsia="zh-CN"/>
        </w:rPr>
        <w:t>驻场</w:t>
      </w:r>
      <w:r>
        <w:rPr>
          <w:rFonts w:hint="eastAsia" w:ascii="宋体" w:hAnsi="宋体" w:eastAsia="宋体" w:cs="宋体"/>
          <w:color w:val="auto"/>
          <w:sz w:val="24"/>
          <w:highlight w:val="none"/>
          <w:lang w:val="en-US"/>
        </w:rPr>
        <w:t>人员要求：</w:t>
      </w:r>
    </w:p>
    <w:p w14:paraId="11C66419">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实施工程师：</w:t>
      </w:r>
      <w:r>
        <w:rPr>
          <w:rFonts w:hint="eastAsia" w:ascii="宋体" w:hAnsi="宋体" w:eastAsia="宋体" w:cs="宋体"/>
          <w:color w:val="auto"/>
          <w:sz w:val="24"/>
          <w:highlight w:val="none"/>
          <w:lang w:val="en-US"/>
        </w:rPr>
        <w:t>项目驻场实施</w:t>
      </w:r>
      <w:r>
        <w:rPr>
          <w:rFonts w:hint="eastAsia" w:ascii="宋体" w:hAnsi="宋体" w:eastAsia="宋体" w:cs="宋体"/>
          <w:color w:val="auto"/>
          <w:sz w:val="24"/>
          <w:highlight w:val="none"/>
          <w:lang w:val="en-US" w:eastAsia="zh-CN"/>
        </w:rPr>
        <w:t>工程师</w:t>
      </w:r>
      <w:r>
        <w:rPr>
          <w:rFonts w:hint="eastAsia" w:ascii="宋体" w:hAnsi="宋体" w:eastAsia="宋体" w:cs="宋体"/>
          <w:color w:val="auto"/>
          <w:sz w:val="24"/>
          <w:highlight w:val="none"/>
          <w:lang w:val="en-US"/>
        </w:rPr>
        <w:t>需有2年以上</w:t>
      </w:r>
      <w:r>
        <w:rPr>
          <w:rFonts w:hint="eastAsia" w:ascii="宋体" w:hAnsi="宋体" w:eastAsia="宋体" w:cs="宋体"/>
          <w:color w:val="auto"/>
          <w:sz w:val="24"/>
          <w:highlight w:val="none"/>
          <w:lang w:val="en-US" w:eastAsia="zh-CN"/>
        </w:rPr>
        <w:t>本厂商</w:t>
      </w:r>
      <w:r>
        <w:rPr>
          <w:rFonts w:hint="eastAsia" w:ascii="宋体" w:hAnsi="宋体" w:eastAsia="宋体" w:cs="宋体"/>
          <w:color w:val="auto"/>
          <w:sz w:val="24"/>
          <w:highlight w:val="none"/>
          <w:lang w:val="en-US"/>
        </w:rPr>
        <w:t>同等项目实施经验</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val="en-US"/>
        </w:rPr>
        <w:t>项目实施</w:t>
      </w:r>
      <w:r>
        <w:rPr>
          <w:rFonts w:hint="eastAsia" w:ascii="宋体" w:hAnsi="宋体" w:eastAsia="宋体" w:cs="宋体"/>
          <w:color w:val="auto"/>
          <w:sz w:val="24"/>
          <w:highlight w:val="none"/>
          <w:lang w:val="en-US" w:eastAsia="zh-CN"/>
        </w:rPr>
        <w:t>阶段</w:t>
      </w:r>
      <w:r>
        <w:rPr>
          <w:rFonts w:hint="eastAsia" w:ascii="宋体" w:hAnsi="宋体" w:eastAsia="宋体" w:cs="宋体"/>
          <w:color w:val="auto"/>
          <w:sz w:val="24"/>
          <w:highlight w:val="none"/>
          <w:lang w:val="en-US"/>
        </w:rPr>
        <w:t>，</w:t>
      </w:r>
      <w:r>
        <w:rPr>
          <w:rFonts w:hint="eastAsia" w:ascii="宋体" w:hAnsi="宋体" w:eastAsia="宋体" w:cs="宋体"/>
          <w:color w:val="auto"/>
          <w:sz w:val="24"/>
          <w:highlight w:val="none"/>
          <w:lang w:val="en-US" w:eastAsia="zh-CN"/>
        </w:rPr>
        <w:t>驻场</w:t>
      </w:r>
      <w:r>
        <w:rPr>
          <w:rFonts w:hint="eastAsia" w:ascii="宋体" w:hAnsi="宋体" w:eastAsia="宋体" w:cs="宋体"/>
          <w:color w:val="auto"/>
          <w:sz w:val="24"/>
          <w:highlight w:val="none"/>
          <w:lang w:val="en-US"/>
        </w:rPr>
        <w:t>实施</w:t>
      </w:r>
      <w:r>
        <w:rPr>
          <w:rFonts w:hint="eastAsia" w:ascii="宋体" w:hAnsi="宋体" w:eastAsia="宋体" w:cs="宋体"/>
          <w:color w:val="auto"/>
          <w:sz w:val="24"/>
          <w:highlight w:val="none"/>
          <w:lang w:val="en-US" w:eastAsia="zh-CN"/>
        </w:rPr>
        <w:t>工程师</w:t>
      </w:r>
      <w:r>
        <w:rPr>
          <w:rFonts w:hint="eastAsia" w:ascii="宋体" w:hAnsi="宋体" w:eastAsia="宋体" w:cs="宋体"/>
          <w:color w:val="auto"/>
          <w:sz w:val="24"/>
          <w:highlight w:val="none"/>
          <w:lang w:val="en-US"/>
        </w:rPr>
        <w:t>不得少于</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en-US"/>
        </w:rPr>
        <w:t>名</w:t>
      </w:r>
      <w:r>
        <w:rPr>
          <w:rFonts w:hint="eastAsia" w:ascii="宋体" w:hAnsi="宋体" w:eastAsia="宋体" w:cs="宋体"/>
          <w:color w:val="auto"/>
          <w:sz w:val="24"/>
          <w:highlight w:val="none"/>
          <w:lang w:val="en-US" w:eastAsia="zh-CN"/>
        </w:rPr>
        <w:t>。</w:t>
      </w:r>
    </w:p>
    <w:p w14:paraId="459CF0E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开发工程师：</w:t>
      </w:r>
      <w:r>
        <w:rPr>
          <w:rFonts w:hint="eastAsia" w:ascii="宋体" w:hAnsi="宋体" w:eastAsia="宋体" w:cs="宋体"/>
          <w:color w:val="auto"/>
          <w:sz w:val="24"/>
          <w:highlight w:val="none"/>
          <w:lang w:val="en-US"/>
        </w:rPr>
        <w:t>项目</w:t>
      </w:r>
      <w:r>
        <w:rPr>
          <w:rFonts w:hint="eastAsia" w:ascii="宋体" w:hAnsi="宋体" w:eastAsia="宋体" w:cs="宋体"/>
          <w:color w:val="auto"/>
          <w:sz w:val="24"/>
          <w:highlight w:val="none"/>
          <w:lang w:val="en-US" w:eastAsia="zh-CN"/>
        </w:rPr>
        <w:t>驻场</w:t>
      </w:r>
      <w:r>
        <w:rPr>
          <w:rFonts w:hint="eastAsia" w:ascii="宋体" w:hAnsi="宋体" w:eastAsia="宋体" w:cs="宋体"/>
          <w:color w:val="auto"/>
          <w:sz w:val="24"/>
          <w:highlight w:val="none"/>
          <w:lang w:val="en-US"/>
        </w:rPr>
        <w:t>开发工程师需有</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en-US"/>
        </w:rPr>
        <w:t>年以上</w:t>
      </w:r>
      <w:r>
        <w:rPr>
          <w:rFonts w:hint="eastAsia" w:ascii="宋体" w:hAnsi="宋体" w:eastAsia="宋体" w:cs="宋体"/>
          <w:color w:val="auto"/>
          <w:sz w:val="24"/>
          <w:highlight w:val="none"/>
          <w:lang w:val="en-US" w:eastAsia="zh-CN"/>
        </w:rPr>
        <w:t>本厂商</w:t>
      </w:r>
      <w:r>
        <w:rPr>
          <w:rFonts w:hint="eastAsia" w:ascii="宋体" w:hAnsi="宋体" w:eastAsia="宋体" w:cs="宋体"/>
          <w:color w:val="auto"/>
          <w:sz w:val="24"/>
          <w:highlight w:val="none"/>
          <w:lang w:val="en-US"/>
        </w:rPr>
        <w:t>同类型项目开发经验</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val="en-US"/>
        </w:rPr>
        <w:t>项目实施</w:t>
      </w:r>
      <w:r>
        <w:rPr>
          <w:rFonts w:hint="eastAsia" w:ascii="宋体" w:hAnsi="宋体" w:eastAsia="宋体" w:cs="宋体"/>
          <w:color w:val="auto"/>
          <w:sz w:val="24"/>
          <w:highlight w:val="none"/>
          <w:lang w:val="en-US" w:eastAsia="zh-CN"/>
        </w:rPr>
        <w:t>和上线阶段</w:t>
      </w:r>
      <w:r>
        <w:rPr>
          <w:rFonts w:hint="eastAsia" w:ascii="宋体" w:hAnsi="宋体" w:eastAsia="宋体" w:cs="宋体"/>
          <w:color w:val="auto"/>
          <w:sz w:val="24"/>
          <w:highlight w:val="none"/>
          <w:lang w:val="en-US"/>
        </w:rPr>
        <w:t>，</w:t>
      </w:r>
      <w:r>
        <w:rPr>
          <w:rFonts w:hint="eastAsia" w:ascii="宋体" w:hAnsi="宋体" w:eastAsia="宋体" w:cs="宋体"/>
          <w:color w:val="auto"/>
          <w:sz w:val="24"/>
          <w:highlight w:val="none"/>
          <w:lang w:val="en-US" w:eastAsia="zh-CN"/>
        </w:rPr>
        <w:t>驻场开发工程师</w:t>
      </w:r>
      <w:r>
        <w:rPr>
          <w:rFonts w:hint="eastAsia" w:ascii="宋体" w:hAnsi="宋体" w:eastAsia="宋体" w:cs="宋体"/>
          <w:color w:val="auto"/>
          <w:sz w:val="24"/>
          <w:highlight w:val="none"/>
          <w:lang w:val="en-US"/>
        </w:rPr>
        <w:t>不得少于</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en-US"/>
        </w:rPr>
        <w:t>名</w:t>
      </w:r>
      <w:r>
        <w:rPr>
          <w:rFonts w:hint="eastAsia" w:ascii="宋体" w:hAnsi="宋体" w:eastAsia="宋体" w:cs="宋体"/>
          <w:color w:val="auto"/>
          <w:sz w:val="24"/>
          <w:highlight w:val="none"/>
          <w:lang w:val="en-US" w:eastAsia="zh-CN"/>
        </w:rPr>
        <w:t>。如不能按项目阶段计划正常开展工作的，医院书面提出要求，驻场开发人员不得少于4人（含原驻场人员在内）。</w:t>
      </w:r>
    </w:p>
    <w:p w14:paraId="1616CA48">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rPr>
        <w:t>如需更换</w:t>
      </w:r>
      <w:r>
        <w:rPr>
          <w:rFonts w:hint="eastAsia" w:ascii="宋体" w:hAnsi="宋体" w:eastAsia="宋体" w:cs="宋体"/>
          <w:color w:val="auto"/>
          <w:sz w:val="24"/>
          <w:lang w:val="en-US" w:eastAsia="zh-CN"/>
        </w:rPr>
        <w:t>开发工程师、实施工程师</w:t>
      </w:r>
      <w:r>
        <w:rPr>
          <w:rFonts w:hint="eastAsia" w:ascii="宋体" w:hAnsi="宋体" w:eastAsia="宋体" w:cs="宋体"/>
          <w:color w:val="auto"/>
          <w:sz w:val="24"/>
          <w:lang w:val="en-US"/>
        </w:rPr>
        <w:t>，</w:t>
      </w:r>
      <w:r>
        <w:rPr>
          <w:rFonts w:hint="eastAsia" w:ascii="宋体" w:hAnsi="宋体" w:eastAsia="宋体" w:cs="宋体"/>
          <w:color w:val="auto"/>
          <w:sz w:val="24"/>
          <w:lang w:val="en-US" w:eastAsia="zh-CN"/>
        </w:rPr>
        <w:t>厂商</w:t>
      </w:r>
      <w:r>
        <w:rPr>
          <w:rFonts w:hint="eastAsia" w:ascii="宋体" w:hAnsi="宋体" w:eastAsia="宋体" w:cs="宋体"/>
          <w:color w:val="auto"/>
          <w:sz w:val="24"/>
          <w:lang w:val="en-US"/>
        </w:rPr>
        <w:t>需提交书面申请，经院方同意才可更换。</w:t>
      </w:r>
    </w:p>
    <w:p w14:paraId="52227A6F">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竞标文件中需提供软件提供商项目驻场人员清单（含项目开发和项目实施人员），清单中标明驻场人员详细信息，如姓名、联系方式、技术职称、社保证明（不少于半年）等。</w:t>
      </w:r>
    </w:p>
    <w:p w14:paraId="587B5F63">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4.3</w:t>
      </w:r>
      <w:r>
        <w:rPr>
          <w:rFonts w:hint="eastAsia" w:ascii="宋体" w:hAnsi="宋体" w:eastAsia="宋体" w:cs="宋体"/>
          <w:color w:val="auto"/>
          <w:sz w:val="24"/>
          <w:szCs w:val="24"/>
        </w:rPr>
        <w:t>因厂商与院方存在对需求理解有差异的可能性，要求所有软件功能需求的响应以院方意见为准</w:t>
      </w:r>
      <w:r>
        <w:rPr>
          <w:rFonts w:hint="eastAsia" w:ascii="宋体" w:hAnsi="宋体" w:eastAsia="宋体" w:cs="宋体"/>
          <w:color w:val="auto"/>
          <w:sz w:val="24"/>
          <w:szCs w:val="24"/>
          <w:lang w:eastAsia="zh-CN"/>
        </w:rPr>
        <w:t>。</w:t>
      </w:r>
    </w:p>
    <w:p w14:paraId="10E84541">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4.4培训要求：</w:t>
      </w:r>
    </w:p>
    <w:p w14:paraId="705CC43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color w:val="auto"/>
          <w:lang w:val="en-US"/>
        </w:rPr>
      </w:pPr>
      <w:r>
        <w:rPr>
          <w:rFonts w:hint="eastAsia" w:ascii="宋体" w:hAnsi="宋体" w:eastAsia="宋体" w:cs="宋体"/>
          <w:color w:val="auto"/>
          <w:sz w:val="24"/>
          <w:szCs w:val="24"/>
          <w:lang w:val="en-US" w:eastAsia="zh-CN"/>
        </w:rPr>
        <w:t>培训应至少包括但不限于：软硬件系统的安装、部署、维护方法、系统的功能使用培训；</w:t>
      </w:r>
    </w:p>
    <w:p w14:paraId="21ED4BAB">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auto"/>
          <w:sz w:val="32"/>
          <w:szCs w:val="32"/>
        </w:rPr>
      </w:pPr>
      <w:r>
        <w:rPr>
          <w:rFonts w:hint="eastAsia" w:ascii="宋体" w:hAnsi="宋体"/>
          <w:bCs w:val="0"/>
          <w:color w:val="auto"/>
          <w:sz w:val="32"/>
          <w:szCs w:val="32"/>
        </w:rPr>
        <w:t>五、</w:t>
      </w:r>
      <w:r>
        <w:rPr>
          <w:rFonts w:hint="eastAsia" w:ascii="宋体" w:hAnsi="宋体"/>
          <w:bCs w:val="0"/>
          <w:color w:val="auto"/>
          <w:sz w:val="32"/>
          <w:szCs w:val="32"/>
          <w:lang w:eastAsia="zh-CN"/>
        </w:rPr>
        <w:t>售后</w:t>
      </w:r>
      <w:r>
        <w:rPr>
          <w:rFonts w:hint="eastAsia" w:ascii="宋体" w:hAnsi="宋体"/>
          <w:bCs w:val="0"/>
          <w:color w:val="auto"/>
          <w:sz w:val="32"/>
          <w:szCs w:val="32"/>
        </w:rPr>
        <w:t>服务及其他要求</w:t>
      </w:r>
    </w:p>
    <w:p w14:paraId="49EB2C68">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auto"/>
          <w:sz w:val="24"/>
          <w:szCs w:val="24"/>
        </w:rPr>
      </w:pPr>
      <w:r>
        <w:rPr>
          <w:rFonts w:hint="eastAsia" w:ascii="宋体" w:hAnsi="宋体" w:cs="宋体"/>
          <w:color w:val="auto"/>
          <w:sz w:val="24"/>
          <w:szCs w:val="24"/>
        </w:rPr>
        <w:t>5.1自本项目整体最终验收之日起，所有产品要求提供三年的</w:t>
      </w:r>
      <w:r>
        <w:rPr>
          <w:rFonts w:hint="eastAsia" w:ascii="宋体" w:hAnsi="宋体" w:cs="宋体"/>
          <w:color w:val="auto"/>
          <w:sz w:val="24"/>
          <w:szCs w:val="24"/>
          <w:lang w:eastAsia="zh-CN"/>
        </w:rPr>
        <w:t>质</w:t>
      </w:r>
      <w:r>
        <w:rPr>
          <w:rFonts w:hint="eastAsia" w:ascii="宋体" w:hAnsi="宋体" w:cs="宋体"/>
          <w:color w:val="auto"/>
          <w:sz w:val="24"/>
          <w:szCs w:val="24"/>
        </w:rPr>
        <w:t>保服务。含软硬件维护和系统软件升级</w:t>
      </w:r>
      <w:r>
        <w:rPr>
          <w:rFonts w:hint="eastAsia" w:ascii="宋体" w:hAnsi="宋体" w:cs="宋体"/>
          <w:color w:val="auto"/>
          <w:sz w:val="24"/>
          <w:szCs w:val="24"/>
          <w:lang w:eastAsia="zh-CN"/>
        </w:rPr>
        <w:t>、系统</w:t>
      </w:r>
      <w:r>
        <w:rPr>
          <w:rFonts w:hint="eastAsia" w:ascii="宋体" w:hAnsi="宋体" w:cs="宋体"/>
          <w:color w:val="auto"/>
          <w:sz w:val="24"/>
          <w:szCs w:val="24"/>
          <w:lang w:val="en-US" w:eastAsia="zh-CN"/>
        </w:rPr>
        <w:t>BUG及漏洞修复</w:t>
      </w:r>
      <w:r>
        <w:rPr>
          <w:rFonts w:hint="eastAsia" w:ascii="宋体" w:hAnsi="宋体" w:cs="宋体"/>
          <w:color w:val="auto"/>
          <w:sz w:val="24"/>
          <w:szCs w:val="24"/>
        </w:rPr>
        <w:t>、技术支持服务、系统管理及操作培训</w:t>
      </w:r>
      <w:r>
        <w:rPr>
          <w:rFonts w:hint="eastAsia" w:ascii="宋体" w:hAnsi="宋体" w:cs="宋体"/>
          <w:color w:val="auto"/>
          <w:sz w:val="24"/>
          <w:szCs w:val="24"/>
          <w:lang w:eastAsia="zh-CN"/>
        </w:rPr>
        <w:t>服务</w:t>
      </w:r>
      <w:r>
        <w:rPr>
          <w:rFonts w:hint="eastAsia" w:ascii="宋体" w:hAnsi="宋体" w:cs="宋体"/>
          <w:color w:val="auto"/>
          <w:sz w:val="24"/>
          <w:szCs w:val="24"/>
        </w:rPr>
        <w:t>，提供系统个性化修改需求。请详细说明售后服务的内容。</w:t>
      </w:r>
    </w:p>
    <w:p w14:paraId="41BA954F">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eastAsiaTheme="minorEastAsia"/>
          <w:color w:val="auto"/>
          <w:sz w:val="24"/>
          <w:szCs w:val="24"/>
          <w:lang w:eastAsia="zh-CN"/>
        </w:rPr>
      </w:pPr>
      <w:r>
        <w:rPr>
          <w:rFonts w:hint="eastAsia" w:ascii="宋体" w:hAnsi="宋体" w:cs="宋体"/>
          <w:color w:val="auto"/>
          <w:sz w:val="24"/>
          <w:szCs w:val="24"/>
        </w:rPr>
        <w:t>5.2安装调试要求：送货上门、安装调试、提供完善的设备及软件系统使用中文操作手册、图纸、网络详细拓扑图、系统配置、功能配置、设备配置及互联记录</w:t>
      </w:r>
      <w:r>
        <w:rPr>
          <w:rFonts w:hint="eastAsia" w:ascii="宋体" w:hAnsi="宋体" w:cs="宋体"/>
          <w:color w:val="auto"/>
          <w:sz w:val="24"/>
          <w:szCs w:val="24"/>
          <w:lang w:eastAsia="zh-CN"/>
        </w:rPr>
        <w:t>。</w:t>
      </w:r>
    </w:p>
    <w:p w14:paraId="669E8F6E">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auto"/>
          <w:sz w:val="24"/>
          <w:szCs w:val="24"/>
        </w:rPr>
      </w:pPr>
      <w:r>
        <w:rPr>
          <w:rFonts w:hint="eastAsia" w:ascii="宋体" w:hAnsi="宋体" w:cs="宋体"/>
          <w:color w:val="auto"/>
          <w:sz w:val="24"/>
          <w:szCs w:val="24"/>
        </w:rPr>
        <w:t>5.3原厂技术人员提供</w:t>
      </w:r>
      <w:r>
        <w:rPr>
          <w:rFonts w:hint="eastAsia" w:ascii="宋体" w:hAnsi="宋体" w:cs="宋体"/>
          <w:color w:val="auto"/>
          <w:sz w:val="24"/>
          <w:szCs w:val="24"/>
          <w:lang w:eastAsia="zh-CN"/>
        </w:rPr>
        <w:t>售后</w:t>
      </w:r>
      <w:r>
        <w:rPr>
          <w:rFonts w:hint="eastAsia" w:ascii="宋体" w:hAnsi="宋体" w:cs="宋体"/>
          <w:color w:val="auto"/>
          <w:sz w:val="24"/>
          <w:szCs w:val="24"/>
        </w:rPr>
        <w:t>服务，含电话支持、现场响应、远程操作、网上客服中心等多种方式服务，应做到7×24小时全天候电话或微信等常用联系方式响应。</w:t>
      </w:r>
      <w:bookmarkStart w:id="1" w:name="_Toc507405798"/>
      <w:r>
        <w:rPr>
          <w:rFonts w:hint="eastAsia" w:ascii="宋体" w:hAnsi="宋体" w:cs="宋体"/>
          <w:color w:val="auto"/>
          <w:sz w:val="24"/>
          <w:szCs w:val="24"/>
        </w:rPr>
        <w:t>当出现故障时，接到故障通知后，原厂技术人员应在30分钟内响应，远程技术支持无法解决的，6小时内需到达现场处理修复，并调查分析事故原因，如现场仍不能解决问题，需24小时内提供同档次或更高档次的备用设备解决问题。</w:t>
      </w:r>
    </w:p>
    <w:p w14:paraId="5D2150AC">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auto"/>
          <w:sz w:val="24"/>
          <w:szCs w:val="24"/>
        </w:rPr>
      </w:pPr>
      <w:r>
        <w:rPr>
          <w:rFonts w:hint="eastAsia" w:ascii="宋体" w:hAnsi="宋体" w:eastAsia="宋体" w:cs="微软雅黑"/>
          <w:color w:val="auto"/>
          <w:sz w:val="24"/>
          <w:szCs w:val="24"/>
        </w:rPr>
        <w:t>5.4</w:t>
      </w:r>
      <w:r>
        <w:rPr>
          <w:rFonts w:hint="eastAsia" w:ascii="宋体" w:hAnsi="宋体" w:cs="宋体"/>
          <w:color w:val="auto"/>
          <w:sz w:val="24"/>
          <w:szCs w:val="24"/>
        </w:rPr>
        <w:t>供应商提供原厂技术人员定期</w:t>
      </w:r>
      <w:r>
        <w:rPr>
          <w:rFonts w:hint="eastAsia" w:ascii="宋体" w:hAnsi="宋体" w:cs="宋体"/>
          <w:color w:val="auto"/>
          <w:sz w:val="24"/>
          <w:szCs w:val="24"/>
          <w:lang w:eastAsia="zh-CN"/>
        </w:rPr>
        <w:t>巡检</w:t>
      </w:r>
      <w:r>
        <w:rPr>
          <w:rFonts w:hint="eastAsia" w:ascii="宋体" w:hAnsi="宋体" w:cs="宋体"/>
          <w:color w:val="auto"/>
          <w:sz w:val="24"/>
          <w:szCs w:val="24"/>
        </w:rPr>
        <w:t>服务，定期通过电话或其他方式访问用户，了解产品使用情况及网络安全情况，</w:t>
      </w:r>
      <w:r>
        <w:rPr>
          <w:rFonts w:hint="eastAsia" w:ascii="宋体" w:hAnsi="宋体" w:cs="宋体"/>
          <w:color w:val="auto"/>
          <w:sz w:val="24"/>
          <w:szCs w:val="24"/>
          <w:lang w:eastAsia="zh-CN"/>
        </w:rPr>
        <w:t>按院方要求巡检（国家法定节假日前巡检或按院方需求时间巡检），每季度巡检不得少于一次</w:t>
      </w:r>
      <w:r>
        <w:rPr>
          <w:rFonts w:hint="eastAsia" w:ascii="宋体" w:hAnsi="宋体" w:cs="宋体"/>
          <w:color w:val="auto"/>
          <w:sz w:val="24"/>
          <w:szCs w:val="24"/>
        </w:rPr>
        <w:t>，并形成巡检报告</w:t>
      </w:r>
      <w:r>
        <w:rPr>
          <w:rFonts w:hint="eastAsia" w:ascii="宋体" w:hAnsi="宋体" w:cs="宋体"/>
          <w:color w:val="auto"/>
          <w:sz w:val="24"/>
          <w:szCs w:val="24"/>
          <w:lang w:eastAsia="zh-CN"/>
        </w:rPr>
        <w:t>（</w:t>
      </w:r>
      <w:r>
        <w:rPr>
          <w:rFonts w:hint="eastAsia" w:ascii="宋体" w:hAnsi="宋体" w:cs="宋体"/>
          <w:color w:val="auto"/>
          <w:sz w:val="24"/>
          <w:szCs w:val="24"/>
        </w:rPr>
        <w:t>内容涉及此</w:t>
      </w:r>
      <w:r>
        <w:rPr>
          <w:rFonts w:hint="eastAsia" w:ascii="宋体" w:hAnsi="宋体" w:cs="宋体"/>
          <w:color w:val="auto"/>
          <w:sz w:val="24"/>
          <w:szCs w:val="24"/>
          <w:lang w:eastAsia="zh-CN"/>
        </w:rPr>
        <w:t>产品</w:t>
      </w:r>
      <w:r>
        <w:rPr>
          <w:rFonts w:hint="eastAsia" w:ascii="宋体" w:hAnsi="宋体" w:cs="宋体"/>
          <w:color w:val="auto"/>
          <w:sz w:val="24"/>
          <w:szCs w:val="24"/>
          <w:lang w:val="en-US" w:eastAsia="zh-CN"/>
        </w:rPr>
        <w:t>服务器\</w:t>
      </w:r>
      <w:r>
        <w:rPr>
          <w:rFonts w:hint="eastAsia" w:ascii="宋体" w:hAnsi="宋体" w:cs="宋体"/>
          <w:color w:val="auto"/>
          <w:sz w:val="24"/>
          <w:szCs w:val="24"/>
        </w:rPr>
        <w:t>相关设备</w:t>
      </w:r>
      <w:r>
        <w:rPr>
          <w:rFonts w:hint="eastAsia" w:ascii="宋体" w:hAnsi="宋体" w:cs="宋体"/>
          <w:color w:val="auto"/>
          <w:sz w:val="24"/>
          <w:szCs w:val="24"/>
          <w:lang w:eastAsia="zh-CN"/>
        </w:rPr>
        <w:t>的</w:t>
      </w:r>
      <w:r>
        <w:rPr>
          <w:rFonts w:hint="eastAsia" w:ascii="宋体" w:hAnsi="宋体" w:cs="宋体"/>
          <w:color w:val="auto"/>
          <w:sz w:val="24"/>
          <w:szCs w:val="24"/>
        </w:rPr>
        <w:t>运行情况）反馈给我院。</w:t>
      </w:r>
    </w:p>
    <w:p w14:paraId="02C01FAE">
      <w:pPr>
        <w:pStyle w:val="4"/>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auto"/>
          <w:sz w:val="28"/>
          <w:lang w:val="en-US"/>
        </w:rPr>
      </w:pPr>
      <w:r>
        <w:rPr>
          <w:rFonts w:hint="eastAsia" w:ascii="宋体" w:hAnsi="宋体" w:eastAsia="宋体" w:cs="宋体"/>
          <w:b/>
          <w:bCs/>
          <w:color w:val="auto"/>
          <w:sz w:val="28"/>
          <w:lang w:val="en-US"/>
        </w:rPr>
        <w:t>六、违约责任</w:t>
      </w:r>
    </w:p>
    <w:p w14:paraId="2CF7F960">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rPr>
        <w:t>6.1投标方所提供的</w:t>
      </w:r>
      <w:r>
        <w:rPr>
          <w:rFonts w:hint="eastAsia" w:ascii="宋体" w:hAnsi="宋体" w:eastAsia="宋体" w:cs="宋体"/>
          <w:color w:val="auto"/>
          <w:sz w:val="24"/>
          <w:szCs w:val="24"/>
          <w:lang w:val="en-US" w:eastAsia="zh-CN"/>
        </w:rPr>
        <w:t>产品/软件</w:t>
      </w:r>
      <w:r>
        <w:rPr>
          <w:rFonts w:hint="eastAsia" w:ascii="宋体" w:hAnsi="宋体" w:eastAsia="宋体" w:cs="宋体"/>
          <w:color w:val="auto"/>
          <w:sz w:val="24"/>
          <w:szCs w:val="24"/>
        </w:rPr>
        <w:t>规格、技术标准、材料等质量不合格的，应及时更换，更换不及时的按逾期交货</w:t>
      </w:r>
      <w:r>
        <w:rPr>
          <w:rFonts w:hint="eastAsia" w:ascii="宋体" w:hAnsi="宋体" w:eastAsia="宋体" w:cs="宋体"/>
          <w:color w:val="auto"/>
          <w:sz w:val="24"/>
          <w:szCs w:val="24"/>
          <w:lang w:val="en-US" w:eastAsia="zh-CN"/>
        </w:rPr>
        <w:t>/交付</w:t>
      </w:r>
      <w:r>
        <w:rPr>
          <w:rFonts w:hint="eastAsia" w:ascii="宋体" w:hAnsi="宋体" w:eastAsia="宋体" w:cs="宋体"/>
          <w:color w:val="auto"/>
          <w:sz w:val="24"/>
          <w:szCs w:val="24"/>
        </w:rPr>
        <w:t>处罚；因质量问题我院不同意接收，投标方应向我院支付违约货款额5%违约金并赔偿我院经济损失。</w:t>
      </w:r>
    </w:p>
    <w:p w14:paraId="32C86B26">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rPr>
        <w:t>6.2</w:t>
      </w:r>
      <w:r>
        <w:rPr>
          <w:rFonts w:hint="eastAsia" w:ascii="宋体" w:hAnsi="宋体" w:eastAsia="宋体" w:cs="宋体"/>
          <w:color w:val="auto"/>
          <w:sz w:val="24"/>
          <w:szCs w:val="24"/>
          <w:lang w:eastAsia="zh-CN"/>
        </w:rPr>
        <w:t>若</w:t>
      </w:r>
      <w:r>
        <w:rPr>
          <w:rFonts w:hint="eastAsia" w:ascii="宋体" w:hAnsi="宋体" w:eastAsia="宋体" w:cs="宋体"/>
          <w:color w:val="auto"/>
          <w:sz w:val="24"/>
          <w:szCs w:val="24"/>
        </w:rPr>
        <w:t>投标方提供的</w:t>
      </w:r>
      <w:r>
        <w:rPr>
          <w:rFonts w:hint="eastAsia" w:ascii="宋体" w:hAnsi="宋体" w:eastAsia="宋体" w:cs="宋体"/>
          <w:color w:val="auto"/>
          <w:sz w:val="24"/>
          <w:szCs w:val="24"/>
          <w:lang w:eastAsia="zh-CN"/>
        </w:rPr>
        <w:t>产品或软件</w:t>
      </w:r>
      <w:r>
        <w:rPr>
          <w:rFonts w:hint="eastAsia" w:ascii="宋体" w:hAnsi="宋体" w:eastAsia="宋体" w:cs="宋体"/>
          <w:color w:val="auto"/>
          <w:sz w:val="24"/>
          <w:szCs w:val="24"/>
        </w:rPr>
        <w:t>侵犯了第三方合法权益而引发的任何纠纷或诉讼，均由投标方负责交涉并承担全部责任。</w:t>
      </w:r>
    </w:p>
    <w:p w14:paraId="5C1B0913">
      <w:pPr>
        <w:pageBreakBefore w:val="0"/>
        <w:widowControl w:val="0"/>
        <w:kinsoku/>
        <w:wordWrap/>
        <w:overflowPunct/>
        <w:topLinePunct w:val="0"/>
        <w:autoSpaceDE/>
        <w:autoSpaceDN/>
        <w:bidi w:val="0"/>
        <w:adjustRightInd/>
        <w:snapToGrid/>
        <w:spacing w:line="312" w:lineRule="auto"/>
        <w:ind w:firstLine="420"/>
        <w:jc w:val="left"/>
        <w:textAlignment w:val="auto"/>
        <w:rPr>
          <w:rFonts w:ascii="宋体" w:hAnsi="宋体" w:eastAsia="宋体" w:cs="宋体"/>
          <w:color w:val="auto"/>
          <w:sz w:val="24"/>
          <w:szCs w:val="24"/>
        </w:rPr>
      </w:pPr>
      <w:r>
        <w:rPr>
          <w:rFonts w:hint="eastAsia" w:ascii="宋体" w:hAnsi="宋体" w:eastAsia="宋体" w:cs="宋体"/>
          <w:color w:val="auto"/>
          <w:sz w:val="24"/>
          <w:szCs w:val="24"/>
        </w:rPr>
        <w:t>6.3因包装、运输引起的货物损坏，按质量不合格处理。设备安装、调试完成之日起三个月内为设备质保期，在质保期期间若出现设备硬件故障或损坏的情况，我院有权要求投标方更换同等型号和配置的新设备，设备换新、安装、调试产生的所有费用由投标方承担。</w:t>
      </w:r>
    </w:p>
    <w:p w14:paraId="46614C86">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6.4</w:t>
      </w:r>
      <w:r>
        <w:rPr>
          <w:rFonts w:hint="eastAsia" w:ascii="宋体" w:hAnsi="宋体" w:eastAsia="宋体" w:cs="宋体"/>
          <w:color w:val="auto"/>
          <w:sz w:val="24"/>
        </w:rPr>
        <w:t> 投标方逾期交货</w:t>
      </w:r>
      <w:r>
        <w:rPr>
          <w:rFonts w:hint="eastAsia" w:ascii="宋体" w:hAnsi="宋体" w:eastAsia="宋体" w:cs="宋体"/>
          <w:color w:val="auto"/>
          <w:sz w:val="24"/>
          <w:lang w:val="en-US" w:eastAsia="zh-CN"/>
        </w:rPr>
        <w:t>/交付</w:t>
      </w:r>
      <w:r>
        <w:rPr>
          <w:rFonts w:hint="eastAsia" w:ascii="宋体" w:hAnsi="宋体" w:eastAsia="宋体" w:cs="宋体"/>
          <w:color w:val="auto"/>
          <w:sz w:val="24"/>
        </w:rPr>
        <w:t>的，每天向</w:t>
      </w:r>
      <w:r>
        <w:rPr>
          <w:rFonts w:hint="eastAsia" w:ascii="宋体" w:hAnsi="宋体" w:eastAsia="宋体" w:cs="宋体"/>
          <w:color w:val="auto"/>
          <w:sz w:val="24"/>
          <w:lang w:eastAsia="zh-CN"/>
        </w:rPr>
        <w:t>甲方</w:t>
      </w:r>
      <w:r>
        <w:rPr>
          <w:rFonts w:hint="eastAsia" w:ascii="宋体" w:hAnsi="宋体" w:eastAsia="宋体" w:cs="宋体"/>
          <w:color w:val="auto"/>
          <w:sz w:val="24"/>
        </w:rPr>
        <w:t>偿付违约货款额3‰违约金，但违约金累计不得超过违约货款额 5% ，超过30天对方有权解除合同，违约方承担因此给对方造成的经济损失；</w:t>
      </w:r>
    </w:p>
    <w:p w14:paraId="6E0968C5">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rPr>
        <w:t>6.5售后服务违约</w:t>
      </w:r>
      <w:r>
        <w:rPr>
          <w:rFonts w:hint="eastAsia" w:ascii="宋体" w:hAnsi="宋体" w:eastAsia="宋体" w:cs="宋体"/>
          <w:color w:val="auto"/>
          <w:sz w:val="24"/>
          <w:lang w:val="en-US" w:eastAsia="zh-CN"/>
        </w:rPr>
        <w:t>：</w:t>
      </w:r>
    </w:p>
    <w:p w14:paraId="7332BA7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6.5.1每缺少1次巡检记录，投标方应向</w:t>
      </w:r>
      <w:r>
        <w:rPr>
          <w:rFonts w:hint="eastAsia" w:ascii="宋体" w:hAnsi="宋体" w:eastAsia="宋体" w:cs="宋体"/>
          <w:color w:val="auto"/>
          <w:sz w:val="24"/>
          <w:highlight w:val="none"/>
          <w:lang w:val="en-US" w:eastAsia="zh-CN"/>
        </w:rPr>
        <w:t>甲方</w:t>
      </w:r>
      <w:r>
        <w:rPr>
          <w:rFonts w:hint="eastAsia" w:ascii="宋体" w:hAnsi="宋体" w:eastAsia="宋体" w:cs="宋体"/>
          <w:color w:val="auto"/>
          <w:sz w:val="24"/>
          <w:highlight w:val="none"/>
          <w:lang w:val="en-US"/>
        </w:rPr>
        <w:t>支付违约金</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en-US"/>
        </w:rPr>
        <w:t>000元；</w:t>
      </w:r>
    </w:p>
    <w:p w14:paraId="4EB4A2B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6.5.2不能按本</w:t>
      </w:r>
      <w:r>
        <w:rPr>
          <w:rFonts w:hint="eastAsia" w:ascii="宋体" w:hAnsi="宋体" w:eastAsia="宋体" w:cs="宋体"/>
          <w:color w:val="auto"/>
          <w:sz w:val="24"/>
          <w:lang w:val="en-US" w:eastAsia="zh-CN"/>
        </w:rPr>
        <w:t>技术参数文档</w:t>
      </w:r>
      <w:r>
        <w:rPr>
          <w:rFonts w:hint="eastAsia" w:ascii="宋体" w:hAnsi="宋体" w:eastAsia="宋体" w:cs="宋体"/>
          <w:color w:val="auto"/>
          <w:sz w:val="24"/>
          <w:lang w:val="en-US"/>
        </w:rPr>
        <w:t>第5.3要求中按时提供设备备件的，故障上报24小时不能提供同档次或更高档次的备用设备解决问题，每超期一天，按500元/天</w:t>
      </w:r>
      <w:r>
        <w:rPr>
          <w:rFonts w:hint="eastAsia" w:ascii="宋体" w:hAnsi="宋体" w:eastAsia="宋体" w:cs="宋体"/>
          <w:color w:val="auto"/>
          <w:sz w:val="24"/>
          <w:lang w:val="en-US" w:eastAsia="zh-CN"/>
        </w:rPr>
        <w:t>向甲方</w:t>
      </w:r>
      <w:r>
        <w:rPr>
          <w:rFonts w:hint="eastAsia" w:ascii="宋体" w:hAnsi="宋体" w:eastAsia="宋体" w:cs="宋体"/>
          <w:color w:val="auto"/>
          <w:sz w:val="24"/>
          <w:lang w:val="en-US"/>
        </w:rPr>
        <w:t>支付违约金；</w:t>
      </w:r>
    </w:p>
    <w:p w14:paraId="5FA0CE10">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6.5.3 投标方未按本技术要求和响应文件中规定的其他服务承诺提供售后服务的，每次投标方应按合同合计金额的5% 向</w:t>
      </w:r>
      <w:r>
        <w:rPr>
          <w:rFonts w:hint="eastAsia" w:ascii="宋体" w:hAnsi="宋体" w:eastAsia="宋体" w:cs="宋体"/>
          <w:color w:val="auto"/>
          <w:sz w:val="24"/>
          <w:lang w:val="en-US" w:eastAsia="zh-CN"/>
        </w:rPr>
        <w:t>甲方</w:t>
      </w:r>
      <w:r>
        <w:rPr>
          <w:rFonts w:hint="eastAsia" w:ascii="宋体" w:hAnsi="宋体" w:eastAsia="宋体" w:cs="宋体"/>
          <w:color w:val="auto"/>
          <w:sz w:val="24"/>
          <w:lang w:val="en-US"/>
        </w:rPr>
        <w:t>支付违约金。</w:t>
      </w:r>
    </w:p>
    <w:p w14:paraId="227E5C9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rPr>
      </w:pPr>
      <w:r>
        <w:rPr>
          <w:rFonts w:hint="eastAsia" w:ascii="宋体" w:hAnsi="宋体" w:eastAsia="宋体" w:cs="宋体"/>
          <w:color w:val="auto"/>
          <w:sz w:val="24"/>
        </w:rPr>
        <w:t>6.6合同签订后7个工作日内进场实施，每个模块计划实施周期需在合同内写明。因</w:t>
      </w:r>
      <w:r>
        <w:rPr>
          <w:rFonts w:hint="eastAsia" w:ascii="宋体" w:hAnsi="宋体" w:eastAsia="宋体" w:cs="宋体"/>
          <w:color w:val="auto"/>
          <w:sz w:val="24"/>
          <w:lang w:eastAsia="zh-CN"/>
        </w:rPr>
        <w:t>软件提供商</w:t>
      </w:r>
      <w:r>
        <w:rPr>
          <w:rFonts w:hint="eastAsia" w:ascii="宋体" w:hAnsi="宋体" w:eastAsia="宋体" w:cs="宋体"/>
          <w:color w:val="auto"/>
          <w:sz w:val="24"/>
        </w:rPr>
        <w:t>原因逾期不进场实施的，需按每天向院方支付合同款金额3‰作为违约金</w:t>
      </w:r>
      <w:r>
        <w:rPr>
          <w:rFonts w:hint="eastAsia" w:ascii="宋体" w:hAnsi="宋体" w:eastAsia="宋体" w:cs="宋体"/>
          <w:color w:val="auto"/>
          <w:sz w:val="24"/>
          <w:lang w:eastAsia="zh-CN"/>
        </w:rPr>
        <w:t>，</w:t>
      </w:r>
      <w:r>
        <w:rPr>
          <w:rFonts w:hint="eastAsia" w:ascii="宋体" w:hAnsi="宋体" w:eastAsia="宋体" w:cs="宋体"/>
          <w:color w:val="auto"/>
          <w:sz w:val="24"/>
        </w:rPr>
        <w:t>超过30天，</w:t>
      </w:r>
      <w:r>
        <w:rPr>
          <w:rFonts w:hint="eastAsia" w:ascii="宋体" w:hAnsi="宋体" w:eastAsia="宋体" w:cs="宋体"/>
          <w:color w:val="auto"/>
          <w:sz w:val="24"/>
          <w:lang w:eastAsia="zh-CN"/>
        </w:rPr>
        <w:t>甲</w:t>
      </w:r>
      <w:r>
        <w:rPr>
          <w:rFonts w:hint="eastAsia" w:ascii="宋体" w:hAnsi="宋体" w:eastAsia="宋体" w:cs="宋体"/>
          <w:color w:val="auto"/>
          <w:sz w:val="24"/>
        </w:rPr>
        <w:t>有权解除合同，</w:t>
      </w:r>
      <w:r>
        <w:rPr>
          <w:rFonts w:hint="eastAsia" w:ascii="宋体" w:hAnsi="宋体" w:eastAsia="宋体" w:cs="宋体"/>
          <w:color w:val="auto"/>
          <w:sz w:val="24"/>
          <w:lang w:eastAsia="zh-CN"/>
        </w:rPr>
        <w:t>乙方</w:t>
      </w:r>
      <w:r>
        <w:rPr>
          <w:rFonts w:hint="eastAsia" w:ascii="宋体" w:hAnsi="宋体" w:eastAsia="宋体" w:cs="宋体"/>
          <w:color w:val="auto"/>
          <w:sz w:val="24"/>
        </w:rPr>
        <w:t>需承担因此给院方造成的经济损失；</w:t>
      </w:r>
      <w:r>
        <w:rPr>
          <w:rFonts w:hint="eastAsia" w:ascii="宋体" w:hAnsi="宋体" w:eastAsia="宋体" w:cs="宋体"/>
          <w:color w:val="auto"/>
          <w:sz w:val="24"/>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en-US"/>
        </w:rPr>
        <w:t>违约，</w:t>
      </w:r>
      <w:r>
        <w:rPr>
          <w:rFonts w:hint="eastAsia" w:ascii="宋体" w:hAnsi="宋体" w:eastAsia="宋体" w:cs="宋体"/>
          <w:color w:val="auto"/>
          <w:sz w:val="24"/>
          <w:lang w:val="en-US" w:eastAsia="zh-CN"/>
        </w:rPr>
        <w:t>甲方</w:t>
      </w:r>
      <w:r>
        <w:rPr>
          <w:rFonts w:hint="eastAsia" w:ascii="宋体" w:hAnsi="宋体" w:eastAsia="宋体" w:cs="宋体"/>
          <w:color w:val="auto"/>
          <w:sz w:val="24"/>
          <w:lang w:val="en-US"/>
        </w:rPr>
        <w:t>有权单方面解除合同，并要求</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en-US"/>
        </w:rPr>
        <w:t>退回所有医院已支付款项，同时</w:t>
      </w:r>
      <w:r>
        <w:rPr>
          <w:rFonts w:hint="eastAsia" w:ascii="宋体" w:hAnsi="宋体" w:eastAsia="宋体" w:cs="宋体"/>
          <w:color w:val="auto"/>
          <w:sz w:val="24"/>
          <w:lang w:val="en-US" w:eastAsia="zh-CN"/>
        </w:rPr>
        <w:t>按</w:t>
      </w:r>
      <w:r>
        <w:rPr>
          <w:rFonts w:hint="eastAsia" w:ascii="宋体" w:hAnsi="宋体" w:eastAsia="宋体" w:cs="宋体"/>
          <w:color w:val="auto"/>
          <w:sz w:val="24"/>
          <w:lang w:val="en-US"/>
        </w:rPr>
        <w:t>合同总金额的20%做为违约金</w:t>
      </w:r>
      <w:r>
        <w:rPr>
          <w:rFonts w:hint="eastAsia" w:ascii="宋体" w:hAnsi="宋体" w:eastAsia="宋体" w:cs="宋体"/>
          <w:color w:val="auto"/>
          <w:sz w:val="24"/>
          <w:lang w:val="en-US" w:eastAsia="zh-CN"/>
        </w:rPr>
        <w:t>支付给甲方</w:t>
      </w:r>
      <w:r>
        <w:rPr>
          <w:rFonts w:hint="eastAsia" w:ascii="宋体" w:hAnsi="宋体" w:eastAsia="宋体" w:cs="宋体"/>
          <w:color w:val="auto"/>
          <w:sz w:val="24"/>
          <w:lang w:val="en-US"/>
        </w:rPr>
        <w:t>。</w:t>
      </w:r>
    </w:p>
    <w:p w14:paraId="789F8BB1">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lang w:val="en-US"/>
        </w:rPr>
      </w:pPr>
      <w:r>
        <w:rPr>
          <w:rFonts w:hint="eastAsia" w:ascii="宋体" w:hAnsi="宋体" w:eastAsia="宋体" w:cs="宋体"/>
          <w:color w:val="auto"/>
          <w:sz w:val="24"/>
          <w:lang w:val="en-US"/>
        </w:rPr>
        <w:t>6.7任何一方违反本技术要求中“保密、廉洁条款”要求的，应承担相应的违约责任并赔偿由此造成的损失，损失累计金额超过合同款项的5%的，损失方同时有权终止合同并收回已付款项。</w:t>
      </w:r>
    </w:p>
    <w:p w14:paraId="6CC8C7B8">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rPr>
      </w:pPr>
      <w:r>
        <w:rPr>
          <w:rFonts w:hint="eastAsia" w:ascii="宋体" w:hAnsi="宋体" w:eastAsia="宋体" w:cs="宋体"/>
          <w:color w:val="auto"/>
          <w:sz w:val="24"/>
          <w:lang w:val="en-US"/>
        </w:rPr>
        <w:t>6.</w:t>
      </w:r>
      <w:r>
        <w:rPr>
          <w:rFonts w:hint="eastAsia" w:ascii="宋体" w:hAnsi="宋体" w:eastAsia="宋体" w:cs="宋体"/>
          <w:color w:val="auto"/>
          <w:sz w:val="24"/>
          <w:lang w:val="en-US" w:eastAsia="zh-CN"/>
        </w:rPr>
        <w:t>8厂商</w:t>
      </w:r>
      <w:r>
        <w:rPr>
          <w:rFonts w:hint="eastAsia" w:ascii="宋体" w:hAnsi="宋体" w:eastAsia="宋体" w:cs="宋体"/>
          <w:color w:val="auto"/>
          <w:sz w:val="24"/>
          <w:lang w:val="en-US"/>
        </w:rPr>
        <w:t>方未按本技术要求和响应文件中规定的其他服务承诺提供售后服务的，按损失情况，每次应按合同合计金额的0.1‰-0.1%</w:t>
      </w:r>
      <w:r>
        <w:rPr>
          <w:rFonts w:hint="eastAsia" w:ascii="宋体" w:hAnsi="宋体" w:eastAsia="宋体" w:cs="宋体"/>
          <w:color w:val="auto"/>
          <w:sz w:val="24"/>
          <w:lang w:val="en-US" w:eastAsia="zh-CN"/>
        </w:rPr>
        <w:t>由乙方</w:t>
      </w:r>
      <w:r>
        <w:rPr>
          <w:rFonts w:hint="eastAsia" w:ascii="宋体" w:hAnsi="宋体" w:eastAsia="宋体" w:cs="宋体"/>
          <w:color w:val="auto"/>
          <w:sz w:val="24"/>
          <w:lang w:val="en-US"/>
        </w:rPr>
        <w:t>向甲方支付违约金，损失累计金额超过合同款项的5%的，损失方同时有权终止合同并收回已付款项。</w:t>
      </w:r>
    </w:p>
    <w:p w14:paraId="1244056A">
      <w:pPr>
        <w:pStyle w:val="4"/>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6.9厂商不得在提供的硬件及软件系统中设置包括且不限于如：软硬件加密狗、加密软件、时间锁、授权码等限制硬件及软件系统正常运行的措施，</w:t>
      </w:r>
      <w:r>
        <w:rPr>
          <w:rFonts w:ascii="宋体" w:hAnsi="宋体" w:cs="宋体"/>
          <w:color w:val="auto"/>
          <w:kern w:val="2"/>
          <w:sz w:val="24"/>
          <w:lang w:val="en-US"/>
        </w:rPr>
        <w:t>如有</w:t>
      </w:r>
      <w:r>
        <w:rPr>
          <w:rFonts w:hint="eastAsia" w:ascii="宋体" w:hAnsi="宋体" w:cs="宋体"/>
          <w:color w:val="auto"/>
          <w:kern w:val="2"/>
          <w:sz w:val="24"/>
          <w:lang w:val="en-US"/>
        </w:rPr>
        <w:t>特殊</w:t>
      </w:r>
      <w:r>
        <w:rPr>
          <w:rFonts w:ascii="宋体" w:hAnsi="宋体" w:cs="宋体"/>
          <w:color w:val="auto"/>
          <w:kern w:val="2"/>
          <w:sz w:val="24"/>
          <w:lang w:val="en-US"/>
        </w:rPr>
        <w:t>需要</w:t>
      </w:r>
      <w:r>
        <w:rPr>
          <w:rFonts w:hint="eastAsia" w:ascii="宋体" w:hAnsi="宋体" w:cs="宋体"/>
          <w:color w:val="auto"/>
          <w:kern w:val="2"/>
          <w:sz w:val="24"/>
          <w:lang w:val="en-US"/>
        </w:rPr>
        <w:t>必须提交</w:t>
      </w:r>
      <w:r>
        <w:rPr>
          <w:rFonts w:ascii="宋体" w:hAnsi="宋体" w:cs="宋体"/>
          <w:color w:val="auto"/>
          <w:kern w:val="2"/>
          <w:sz w:val="24"/>
          <w:lang w:val="en-US"/>
        </w:rPr>
        <w:t>纸质</w:t>
      </w:r>
      <w:r>
        <w:rPr>
          <w:rFonts w:hint="eastAsia" w:ascii="宋体" w:hAnsi="宋体" w:cs="宋体"/>
          <w:color w:val="auto"/>
          <w:kern w:val="2"/>
          <w:sz w:val="24"/>
          <w:lang w:val="en-US"/>
        </w:rPr>
        <w:t>文件说明</w:t>
      </w:r>
      <w:r>
        <w:rPr>
          <w:rFonts w:ascii="宋体" w:hAnsi="宋体" w:cs="宋体"/>
          <w:color w:val="auto"/>
          <w:kern w:val="2"/>
          <w:sz w:val="24"/>
          <w:lang w:val="en-US"/>
        </w:rPr>
        <w:t>，经过我院</w:t>
      </w:r>
      <w:r>
        <w:rPr>
          <w:rFonts w:hint="eastAsia" w:ascii="宋体" w:hAnsi="宋体" w:cs="宋体"/>
          <w:color w:val="auto"/>
          <w:kern w:val="2"/>
          <w:sz w:val="24"/>
          <w:lang w:val="en-US"/>
        </w:rPr>
        <w:t>签字同意</w:t>
      </w:r>
      <w:r>
        <w:rPr>
          <w:rFonts w:ascii="宋体" w:hAnsi="宋体" w:cs="宋体"/>
          <w:color w:val="auto"/>
          <w:kern w:val="2"/>
          <w:sz w:val="24"/>
          <w:lang w:val="en-US"/>
        </w:rPr>
        <w:t>才可设置</w:t>
      </w:r>
      <w:r>
        <w:rPr>
          <w:rFonts w:hint="eastAsia" w:ascii="宋体" w:hAnsi="宋体" w:cs="宋体"/>
          <w:color w:val="auto"/>
          <w:kern w:val="2"/>
          <w:sz w:val="24"/>
          <w:lang w:val="en-US" w:eastAsia="zh-CN"/>
        </w:rPr>
        <w:t>，</w:t>
      </w:r>
      <w:r>
        <w:rPr>
          <w:rFonts w:hint="eastAsia" w:ascii="宋体" w:hAnsi="宋体" w:eastAsia="宋体" w:cs="宋体"/>
          <w:color w:val="auto"/>
          <w:kern w:val="2"/>
          <w:sz w:val="24"/>
          <w:szCs w:val="24"/>
          <w:lang w:val="en-US" w:eastAsia="zh-CN" w:bidi="ar-SA"/>
        </w:rPr>
        <w:t>否则视为乙方违约，乙方需要支付医院违约金500000元（伍拾万元），在此基础上医院有权要求乙方退回甲方已支付的所有款项。如对医院造成损失的，甲方有权要求乙方赔偿。</w:t>
      </w:r>
    </w:p>
    <w:p w14:paraId="22F6E4A9">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6.10</w:t>
      </w:r>
      <w:r>
        <w:rPr>
          <w:rFonts w:hint="default" w:ascii="宋体" w:hAnsi="宋体" w:eastAsia="宋体" w:cs="宋体"/>
          <w:color w:val="auto"/>
          <w:kern w:val="2"/>
          <w:sz w:val="24"/>
          <w:szCs w:val="24"/>
          <w:lang w:val="en-US" w:eastAsia="zh-CN" w:bidi="ar-SA"/>
        </w:rPr>
        <w:t>厂商驻场工程师人员变更必须得到医院书面同意，否则视为</w:t>
      </w:r>
      <w:r>
        <w:rPr>
          <w:rFonts w:hint="eastAsia" w:ascii="宋体" w:hAnsi="宋体" w:eastAsia="宋体" w:cs="宋体"/>
          <w:color w:val="auto"/>
          <w:kern w:val="2"/>
          <w:sz w:val="24"/>
          <w:szCs w:val="24"/>
          <w:lang w:val="en-US" w:eastAsia="zh-CN" w:bidi="ar-SA"/>
        </w:rPr>
        <w:t>乙方</w:t>
      </w:r>
      <w:r>
        <w:rPr>
          <w:rFonts w:hint="default" w:ascii="宋体" w:hAnsi="宋体" w:eastAsia="宋体" w:cs="宋体"/>
          <w:color w:val="auto"/>
          <w:kern w:val="2"/>
          <w:sz w:val="24"/>
          <w:szCs w:val="24"/>
          <w:lang w:val="en-US" w:eastAsia="zh-CN" w:bidi="ar-SA"/>
        </w:rPr>
        <w:t>违约，</w:t>
      </w:r>
      <w:r>
        <w:rPr>
          <w:rFonts w:hint="eastAsia" w:ascii="宋体" w:hAnsi="宋体" w:eastAsia="宋体" w:cs="宋体"/>
          <w:color w:val="auto"/>
          <w:kern w:val="2"/>
          <w:sz w:val="24"/>
          <w:szCs w:val="24"/>
          <w:lang w:val="en-US" w:eastAsia="zh-CN" w:bidi="ar-SA"/>
        </w:rPr>
        <w:t>甲</w:t>
      </w:r>
      <w:r>
        <w:rPr>
          <w:rFonts w:hint="default" w:ascii="宋体" w:hAnsi="宋体" w:eastAsia="宋体" w:cs="宋体"/>
          <w:color w:val="auto"/>
          <w:kern w:val="2"/>
          <w:sz w:val="24"/>
          <w:szCs w:val="24"/>
          <w:lang w:val="en-US" w:eastAsia="zh-CN" w:bidi="ar-SA"/>
        </w:rPr>
        <w:t>方有权按500</w:t>
      </w:r>
      <w:r>
        <w:rPr>
          <w:rFonts w:hint="eastAsia" w:ascii="宋体" w:hAnsi="宋体" w:eastAsia="宋体" w:cs="宋体"/>
          <w:color w:val="auto"/>
          <w:kern w:val="2"/>
          <w:sz w:val="24"/>
          <w:szCs w:val="24"/>
          <w:lang w:val="en-US" w:eastAsia="zh-CN" w:bidi="ar-SA"/>
        </w:rPr>
        <w:t>0</w:t>
      </w:r>
      <w:r>
        <w:rPr>
          <w:rFonts w:hint="default" w:ascii="宋体" w:hAnsi="宋体" w:eastAsia="宋体" w:cs="宋体"/>
          <w:color w:val="auto"/>
          <w:kern w:val="2"/>
          <w:sz w:val="24"/>
          <w:szCs w:val="24"/>
          <w:lang w:val="en-US" w:eastAsia="zh-CN" w:bidi="ar-SA"/>
        </w:rPr>
        <w:t>元/人/次从合同总款中扣除</w:t>
      </w:r>
      <w:r>
        <w:rPr>
          <w:rFonts w:hint="eastAsia" w:ascii="宋体" w:hAnsi="宋体" w:eastAsia="宋体" w:cs="宋体"/>
          <w:color w:val="auto"/>
          <w:kern w:val="2"/>
          <w:sz w:val="24"/>
          <w:szCs w:val="24"/>
          <w:lang w:val="en-US" w:eastAsia="zh-CN" w:bidi="ar-SA"/>
        </w:rPr>
        <w:t>。</w:t>
      </w:r>
    </w:p>
    <w:p w14:paraId="33A590B0">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6.11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1"/>
    <w:p w14:paraId="5671611D">
      <w:pPr>
        <w:pStyle w:val="4"/>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auto"/>
          <w:sz w:val="28"/>
          <w:lang w:val="en-US"/>
        </w:rPr>
      </w:pPr>
      <w:bookmarkStart w:id="2" w:name="_Toc507405799"/>
      <w:bookmarkStart w:id="3" w:name="_Toc507405800"/>
      <w:r>
        <w:rPr>
          <w:rFonts w:hint="eastAsia" w:ascii="宋体" w:hAnsi="宋体" w:eastAsia="宋体" w:cs="宋体"/>
          <w:b/>
          <w:bCs/>
          <w:color w:val="auto"/>
          <w:sz w:val="28"/>
          <w:lang w:val="en-US"/>
        </w:rPr>
        <w:t>七、保密、廉洁协议</w:t>
      </w:r>
    </w:p>
    <w:p w14:paraId="77B1A8A1">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32963AEC">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 双方不得以任何方式向第三方泄露本项目的软件技术、设计方案以及功能配置等内容。</w:t>
      </w:r>
    </w:p>
    <w:p w14:paraId="7A828B03">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7.3不以任何方式向第三方泄露在本协议开发实施过程中获取的经济、技术、数据以及双方其他非公开的信息。</w:t>
      </w:r>
    </w:p>
    <w:p w14:paraId="7653F033">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0D05D3B7">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rPr>
        <w:t>7.5保密期限自本合同生效之日起永久有效，如乙方需解除保密协议需向甲方提出书面申请，双方协商同意签字确认后方可解除。</w:t>
      </w:r>
    </w:p>
    <w:p w14:paraId="3451C1AA">
      <w:pPr>
        <w:pStyle w:val="4"/>
        <w:pageBreakBefore w:val="0"/>
        <w:widowControl w:val="0"/>
        <w:kinsoku/>
        <w:wordWrap/>
        <w:overflowPunct/>
        <w:topLinePunct w:val="0"/>
        <w:autoSpaceDE/>
        <w:autoSpaceDN/>
        <w:bidi w:val="0"/>
        <w:adjustRightInd/>
        <w:snapToGrid/>
        <w:spacing w:after="0" w:line="312" w:lineRule="auto"/>
        <w:textAlignment w:val="auto"/>
        <w:rPr>
          <w:color w:val="auto"/>
          <w:lang w:val="en-US"/>
        </w:rPr>
      </w:pPr>
    </w:p>
    <w:p w14:paraId="3CE69794">
      <w:pPr>
        <w:pStyle w:val="4"/>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auto"/>
          <w:sz w:val="28"/>
          <w:lang w:val="en-US"/>
        </w:rPr>
      </w:pPr>
      <w:r>
        <w:rPr>
          <w:rFonts w:hint="eastAsia" w:ascii="宋体" w:hAnsi="宋体" w:eastAsia="宋体" w:cs="宋体"/>
          <w:b/>
          <w:bCs/>
          <w:color w:val="auto"/>
          <w:sz w:val="28"/>
          <w:lang w:val="en-US"/>
        </w:rPr>
        <w:t>八、报价</w:t>
      </w:r>
    </w:p>
    <w:p w14:paraId="295789D8">
      <w:pPr>
        <w:pStyle w:val="4"/>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8.1</w:t>
      </w:r>
      <w:r>
        <w:rPr>
          <w:rFonts w:hint="eastAsia" w:ascii="宋体" w:hAnsi="宋体" w:eastAsia="宋体" w:cs="宋体"/>
          <w:color w:val="auto"/>
          <w:sz w:val="24"/>
          <w:szCs w:val="24"/>
        </w:rPr>
        <w:t>竞标文件</w:t>
      </w:r>
      <w:r>
        <w:rPr>
          <w:rFonts w:hint="eastAsia" w:ascii="宋体" w:hAnsi="宋体" w:eastAsia="宋体" w:cs="宋体"/>
          <w:color w:val="auto"/>
          <w:sz w:val="24"/>
          <w:szCs w:val="24"/>
          <w:lang w:eastAsia="zh-CN"/>
        </w:rPr>
        <w:t>提供技术偏离表、服务偏离表</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并标明详细的技术和服务内容。</w:t>
      </w:r>
      <w:r>
        <w:rPr>
          <w:rFonts w:hint="eastAsia" w:ascii="宋体" w:hAnsi="宋体" w:eastAsia="宋体" w:cs="宋体"/>
          <w:color w:val="auto"/>
          <w:sz w:val="24"/>
          <w:szCs w:val="24"/>
        </w:rPr>
        <w:t>竞标文件按系统模块报价，报价表价格包含系统软硬件费用、产品安装、调试实施、培训费用、产品升级费用</w:t>
      </w:r>
      <w:r>
        <w:rPr>
          <w:rFonts w:hint="eastAsia" w:ascii="宋体" w:hAnsi="宋体" w:eastAsia="宋体" w:cs="宋体"/>
          <w:color w:val="auto"/>
          <w:sz w:val="24"/>
          <w:szCs w:val="24"/>
          <w:lang w:eastAsia="zh-CN"/>
        </w:rPr>
        <w:t>、</w:t>
      </w:r>
      <w:r>
        <w:rPr>
          <w:rFonts w:hint="eastAsia" w:ascii="宋体" w:hAnsi="宋体" w:eastAsia="宋体"/>
          <w:color w:val="auto"/>
          <w:sz w:val="24"/>
          <w:szCs w:val="24"/>
        </w:rPr>
        <w:t>接口费（包括第三方厂家的接口费）等费用</w:t>
      </w:r>
      <w:r>
        <w:rPr>
          <w:rFonts w:hint="eastAsia" w:ascii="宋体" w:hAnsi="宋体" w:eastAsia="宋体" w:cs="宋体"/>
          <w:color w:val="auto"/>
          <w:sz w:val="24"/>
          <w:szCs w:val="24"/>
        </w:rPr>
        <w:t>，以及明示所有责任、义务和一切风险。</w:t>
      </w:r>
    </w:p>
    <w:p w14:paraId="178839C6">
      <w:pPr>
        <w:pStyle w:val="4"/>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8.2</w:t>
      </w:r>
      <w:r>
        <w:rPr>
          <w:rFonts w:hint="eastAsia" w:ascii="宋体" w:hAnsi="宋体" w:eastAsia="宋体" w:cs="宋体"/>
          <w:color w:val="auto"/>
          <w:sz w:val="24"/>
          <w:szCs w:val="24"/>
          <w:lang w:eastAsia="zh-CN"/>
        </w:rPr>
        <w:t>竞标文件需提供</w:t>
      </w:r>
      <w:r>
        <w:rPr>
          <w:rFonts w:hint="eastAsia" w:ascii="宋体" w:hAnsi="宋体" w:cs="宋体"/>
          <w:color w:val="auto"/>
          <w:sz w:val="24"/>
          <w:szCs w:val="24"/>
          <w:lang w:eastAsia="zh-CN"/>
        </w:rPr>
        <w:t>维保期</w:t>
      </w:r>
      <w:r>
        <w:rPr>
          <w:rFonts w:hint="eastAsia" w:ascii="宋体" w:hAnsi="宋体" w:cs="宋体"/>
          <w:color w:val="auto"/>
          <w:sz w:val="24"/>
          <w:szCs w:val="24"/>
        </w:rPr>
        <w:t>方案及</w:t>
      </w:r>
      <w:r>
        <w:rPr>
          <w:rFonts w:hint="eastAsia" w:ascii="宋体" w:hAnsi="宋体" w:cs="宋体"/>
          <w:color w:val="auto"/>
          <w:sz w:val="24"/>
          <w:szCs w:val="24"/>
          <w:lang w:eastAsia="zh-CN"/>
        </w:rPr>
        <w:t>报价</w:t>
      </w:r>
      <w:r>
        <w:rPr>
          <w:rFonts w:hint="eastAsia" w:ascii="宋体" w:hAnsi="宋体" w:eastAsia="宋体" w:cs="宋体"/>
          <w:color w:val="auto"/>
          <w:sz w:val="24"/>
          <w:szCs w:val="24"/>
          <w:lang w:eastAsia="zh-CN"/>
        </w:rPr>
        <w:t>。</w:t>
      </w:r>
    </w:p>
    <w:p w14:paraId="458EE7F9">
      <w:pPr>
        <w:pStyle w:val="4"/>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8.3</w:t>
      </w:r>
      <w:r>
        <w:rPr>
          <w:rFonts w:hint="eastAsia" w:ascii="宋体" w:hAnsi="宋体" w:eastAsia="宋体" w:cs="宋体"/>
          <w:color w:val="auto"/>
          <w:sz w:val="24"/>
          <w:szCs w:val="24"/>
          <w:lang w:eastAsia="zh-CN"/>
        </w:rPr>
        <w:t>竞标文件需提供系统详细图文介绍。系统实施验收参照本技术文档及竞标文件提供的图文介绍为依据。</w:t>
      </w:r>
    </w:p>
    <w:p w14:paraId="4D048EDD">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8.4</w:t>
      </w:r>
      <w:r>
        <w:rPr>
          <w:rFonts w:hint="eastAsia" w:ascii="宋体" w:hAnsi="宋体" w:eastAsia="宋体" w:cs="宋体"/>
          <w:color w:val="auto"/>
          <w:sz w:val="24"/>
          <w:szCs w:val="24"/>
        </w:rPr>
        <w:t>如项目功能二次开发内容涉及我院采购的第三方产品，请在标书内标明哪些功能的实现需要二次开发接口。</w:t>
      </w:r>
    </w:p>
    <w:p w14:paraId="4E0457FF">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auto"/>
          <w:sz w:val="32"/>
          <w:szCs w:val="32"/>
        </w:rPr>
      </w:pPr>
      <w:r>
        <w:rPr>
          <w:rFonts w:hint="eastAsia" w:ascii="宋体" w:hAnsi="宋体"/>
          <w:bCs w:val="0"/>
          <w:color w:val="auto"/>
          <w:sz w:val="32"/>
          <w:szCs w:val="32"/>
        </w:rPr>
        <w:t>九、付款方式</w:t>
      </w:r>
      <w:bookmarkEnd w:id="2"/>
    </w:p>
    <w:bookmarkEnd w:id="3"/>
    <w:p w14:paraId="2EB1F460">
      <w:pPr>
        <w:pStyle w:val="15"/>
        <w:spacing w:line="360" w:lineRule="auto"/>
        <w:ind w:left="0" w:leftChars="0" w:firstLine="614" w:firstLineChars="256"/>
        <w:jc w:val="both"/>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9.1项目签订合同且项目上线稳定运行，中标供应商向采购人开具合法有效的合同款30%等额发票后，10个工作日内，向中标供应商支付。</w:t>
      </w:r>
    </w:p>
    <w:p w14:paraId="7EF27F19">
      <w:pPr>
        <w:pStyle w:val="15"/>
        <w:spacing w:line="360" w:lineRule="auto"/>
        <w:ind w:left="0" w:leftChars="0" w:firstLine="614" w:firstLineChars="256"/>
        <w:jc w:val="both"/>
        <w:rPr>
          <w:rFonts w:hint="eastAsia" w:ascii="宋体" w:hAnsi="宋体" w:eastAsia="宋体"/>
          <w:color w:val="auto"/>
          <w:sz w:val="24"/>
          <w:szCs w:val="24"/>
          <w:lang w:val="en-US" w:eastAsia="zh-CN"/>
        </w:rPr>
      </w:pPr>
      <w:r>
        <w:rPr>
          <w:rFonts w:hint="eastAsia" w:ascii="宋体" w:hAnsi="宋体" w:eastAsia="宋体" w:cs="宋体"/>
          <w:color w:val="auto"/>
          <w:sz w:val="24"/>
          <w:szCs w:val="24"/>
          <w:lang w:val="en-US" w:eastAsia="zh-CN"/>
        </w:rPr>
        <w:t>9.2</w:t>
      </w:r>
      <w:r>
        <w:rPr>
          <w:rFonts w:hint="eastAsia" w:ascii="宋体" w:hAnsi="宋体" w:eastAsia="宋体"/>
          <w:color w:val="auto"/>
          <w:sz w:val="24"/>
          <w:szCs w:val="24"/>
          <w:lang w:val="en-US" w:eastAsia="zh-CN"/>
        </w:rPr>
        <w:t>系统上线稳定运行3个月后，启动项目验收，验收合格后，中标供应商向采购人开具合法有效的合同款70%等额发票后，10个工作日内，支付至合同款的100%。</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8D1F2D7-B43D-4A72-A97C-E8902CA88BCA}"/>
  </w:font>
  <w:font w:name="方正小标宋简体">
    <w:panose1 w:val="02000000000000000000"/>
    <w:charset w:val="86"/>
    <w:family w:val="auto"/>
    <w:pitch w:val="default"/>
    <w:sig w:usb0="A00002BF" w:usb1="184F6CFA" w:usb2="00000012" w:usb3="00000000" w:csb0="00040001" w:csb1="00000000"/>
    <w:embedRegular r:id="rId2" w:fontKey="{5C051328-290C-4E64-99E7-077FC1EBA748}"/>
  </w:font>
  <w:font w:name="微软雅黑">
    <w:panose1 w:val="020B0503020204020204"/>
    <w:charset w:val="86"/>
    <w:family w:val="swiss"/>
    <w:pitch w:val="default"/>
    <w:sig w:usb0="80000287" w:usb1="2ACF3C50" w:usb2="00000016" w:usb3="00000000" w:csb0="0004001F" w:csb1="00000000"/>
    <w:embedRegular r:id="rId3" w:fontKey="{02E8564A-AD0F-483F-B40B-99CBDD9C56D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2"/>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23EC5C6F"/>
    <w:multiLevelType w:val="multilevel"/>
    <w:tmpl w:val="23EC5C6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F"/>
    <w:rsid w:val="000E2410"/>
    <w:rsid w:val="001A11FC"/>
    <w:rsid w:val="001A1C12"/>
    <w:rsid w:val="002A29C0"/>
    <w:rsid w:val="00306E6E"/>
    <w:rsid w:val="003E62DF"/>
    <w:rsid w:val="00435C7C"/>
    <w:rsid w:val="00481560"/>
    <w:rsid w:val="00491534"/>
    <w:rsid w:val="004A59CF"/>
    <w:rsid w:val="004D3BA6"/>
    <w:rsid w:val="005D449A"/>
    <w:rsid w:val="006A3CAE"/>
    <w:rsid w:val="006C202C"/>
    <w:rsid w:val="008C322F"/>
    <w:rsid w:val="00A140D3"/>
    <w:rsid w:val="00B60E55"/>
    <w:rsid w:val="00B759E0"/>
    <w:rsid w:val="00D5380E"/>
    <w:rsid w:val="00DC1FBB"/>
    <w:rsid w:val="00E61AD4"/>
    <w:rsid w:val="00F13AA1"/>
    <w:rsid w:val="01110D1B"/>
    <w:rsid w:val="02916842"/>
    <w:rsid w:val="032975DB"/>
    <w:rsid w:val="036868D0"/>
    <w:rsid w:val="038608DA"/>
    <w:rsid w:val="03AD1C78"/>
    <w:rsid w:val="04942090"/>
    <w:rsid w:val="05BD626F"/>
    <w:rsid w:val="064B6449"/>
    <w:rsid w:val="069C7B6E"/>
    <w:rsid w:val="069E5B05"/>
    <w:rsid w:val="06DB4B92"/>
    <w:rsid w:val="06DF14B2"/>
    <w:rsid w:val="072E01FC"/>
    <w:rsid w:val="07AF4703"/>
    <w:rsid w:val="07C16742"/>
    <w:rsid w:val="08741252"/>
    <w:rsid w:val="0A791D80"/>
    <w:rsid w:val="0B7C0100"/>
    <w:rsid w:val="0D401ECC"/>
    <w:rsid w:val="0F2A1F3D"/>
    <w:rsid w:val="0F753347"/>
    <w:rsid w:val="1017657C"/>
    <w:rsid w:val="1037223A"/>
    <w:rsid w:val="10401F77"/>
    <w:rsid w:val="109B068D"/>
    <w:rsid w:val="118E0C59"/>
    <w:rsid w:val="12D1790A"/>
    <w:rsid w:val="14782DB8"/>
    <w:rsid w:val="147C5143"/>
    <w:rsid w:val="14AF00BD"/>
    <w:rsid w:val="153D4F2B"/>
    <w:rsid w:val="154B107E"/>
    <w:rsid w:val="15D434E4"/>
    <w:rsid w:val="165C1DAE"/>
    <w:rsid w:val="16ED2D59"/>
    <w:rsid w:val="17344D4B"/>
    <w:rsid w:val="174D1CA9"/>
    <w:rsid w:val="17536FF6"/>
    <w:rsid w:val="17541870"/>
    <w:rsid w:val="19151124"/>
    <w:rsid w:val="1A251034"/>
    <w:rsid w:val="1A862B26"/>
    <w:rsid w:val="1AA944D3"/>
    <w:rsid w:val="1AC81784"/>
    <w:rsid w:val="1ACE2EF6"/>
    <w:rsid w:val="1B5C436C"/>
    <w:rsid w:val="1B91509A"/>
    <w:rsid w:val="1D0E736B"/>
    <w:rsid w:val="1D4043D5"/>
    <w:rsid w:val="1D9262D5"/>
    <w:rsid w:val="1D9E02DC"/>
    <w:rsid w:val="20243C3D"/>
    <w:rsid w:val="2210107D"/>
    <w:rsid w:val="22293C01"/>
    <w:rsid w:val="223B63D3"/>
    <w:rsid w:val="224243ED"/>
    <w:rsid w:val="2496247C"/>
    <w:rsid w:val="24DA1462"/>
    <w:rsid w:val="24F22820"/>
    <w:rsid w:val="251F0377"/>
    <w:rsid w:val="255A5461"/>
    <w:rsid w:val="25D43FBF"/>
    <w:rsid w:val="25F33453"/>
    <w:rsid w:val="26AA16D4"/>
    <w:rsid w:val="28264463"/>
    <w:rsid w:val="284758BC"/>
    <w:rsid w:val="284C2F0D"/>
    <w:rsid w:val="28C14835"/>
    <w:rsid w:val="28FF77E0"/>
    <w:rsid w:val="290632D5"/>
    <w:rsid w:val="2A4144C9"/>
    <w:rsid w:val="2A560484"/>
    <w:rsid w:val="2A6C3C54"/>
    <w:rsid w:val="2BFB753C"/>
    <w:rsid w:val="2C266EEB"/>
    <w:rsid w:val="2C6E439E"/>
    <w:rsid w:val="2C8F073A"/>
    <w:rsid w:val="2CA67011"/>
    <w:rsid w:val="2E55261B"/>
    <w:rsid w:val="2E942F11"/>
    <w:rsid w:val="302D19BE"/>
    <w:rsid w:val="309817B5"/>
    <w:rsid w:val="332130EA"/>
    <w:rsid w:val="34146F7F"/>
    <w:rsid w:val="34906983"/>
    <w:rsid w:val="34A02F04"/>
    <w:rsid w:val="35C60D52"/>
    <w:rsid w:val="3626772E"/>
    <w:rsid w:val="365F0D5E"/>
    <w:rsid w:val="367D4F11"/>
    <w:rsid w:val="37CC1E4D"/>
    <w:rsid w:val="393F60A1"/>
    <w:rsid w:val="395040F9"/>
    <w:rsid w:val="395C56DE"/>
    <w:rsid w:val="39736669"/>
    <w:rsid w:val="3A6B617C"/>
    <w:rsid w:val="3A965B44"/>
    <w:rsid w:val="3B4F3BCB"/>
    <w:rsid w:val="3B714E2B"/>
    <w:rsid w:val="3C6D73A0"/>
    <w:rsid w:val="3C71255B"/>
    <w:rsid w:val="3C75706B"/>
    <w:rsid w:val="3CD26109"/>
    <w:rsid w:val="3D655CAD"/>
    <w:rsid w:val="3DCF123E"/>
    <w:rsid w:val="3E3103B1"/>
    <w:rsid w:val="3EE50390"/>
    <w:rsid w:val="3FB66155"/>
    <w:rsid w:val="3FFE146B"/>
    <w:rsid w:val="41971DBD"/>
    <w:rsid w:val="43CC4B30"/>
    <w:rsid w:val="44511123"/>
    <w:rsid w:val="44A468BE"/>
    <w:rsid w:val="44D12D9F"/>
    <w:rsid w:val="4516350E"/>
    <w:rsid w:val="452D3B70"/>
    <w:rsid w:val="455A3219"/>
    <w:rsid w:val="457173F8"/>
    <w:rsid w:val="45867ED9"/>
    <w:rsid w:val="45BB5F14"/>
    <w:rsid w:val="47556C73"/>
    <w:rsid w:val="47FA24B7"/>
    <w:rsid w:val="48066FE5"/>
    <w:rsid w:val="480C0CC5"/>
    <w:rsid w:val="489E239A"/>
    <w:rsid w:val="48EB42D4"/>
    <w:rsid w:val="49B303BC"/>
    <w:rsid w:val="49C017DB"/>
    <w:rsid w:val="4BF413EA"/>
    <w:rsid w:val="4DED0341"/>
    <w:rsid w:val="4E21448E"/>
    <w:rsid w:val="4F640350"/>
    <w:rsid w:val="4FD03A76"/>
    <w:rsid w:val="507D710A"/>
    <w:rsid w:val="50844495"/>
    <w:rsid w:val="508670F0"/>
    <w:rsid w:val="50A873B9"/>
    <w:rsid w:val="51343C8C"/>
    <w:rsid w:val="516742F9"/>
    <w:rsid w:val="52C84CF5"/>
    <w:rsid w:val="54361EC0"/>
    <w:rsid w:val="547277F2"/>
    <w:rsid w:val="547E6196"/>
    <w:rsid w:val="54E82BB7"/>
    <w:rsid w:val="554369AA"/>
    <w:rsid w:val="55656729"/>
    <w:rsid w:val="55B43D13"/>
    <w:rsid w:val="562C3FA0"/>
    <w:rsid w:val="56864135"/>
    <w:rsid w:val="583069A4"/>
    <w:rsid w:val="583E1DE6"/>
    <w:rsid w:val="585573E7"/>
    <w:rsid w:val="5A334C18"/>
    <w:rsid w:val="5BD06347"/>
    <w:rsid w:val="5C2974BB"/>
    <w:rsid w:val="5C4B79F0"/>
    <w:rsid w:val="5C6164F3"/>
    <w:rsid w:val="5DA362FB"/>
    <w:rsid w:val="5E620400"/>
    <w:rsid w:val="5EEF047E"/>
    <w:rsid w:val="5EFA0B0F"/>
    <w:rsid w:val="5FEB709A"/>
    <w:rsid w:val="603C0967"/>
    <w:rsid w:val="606A2F3D"/>
    <w:rsid w:val="607B2E53"/>
    <w:rsid w:val="621850DE"/>
    <w:rsid w:val="63926986"/>
    <w:rsid w:val="63EF1AA2"/>
    <w:rsid w:val="63EF6D4C"/>
    <w:rsid w:val="64120910"/>
    <w:rsid w:val="65EF576E"/>
    <w:rsid w:val="671127A5"/>
    <w:rsid w:val="67234BE8"/>
    <w:rsid w:val="67404593"/>
    <w:rsid w:val="67C37F93"/>
    <w:rsid w:val="67D458C3"/>
    <w:rsid w:val="685B1C22"/>
    <w:rsid w:val="686C39B1"/>
    <w:rsid w:val="68B25ED9"/>
    <w:rsid w:val="68B72934"/>
    <w:rsid w:val="68D75530"/>
    <w:rsid w:val="693D4634"/>
    <w:rsid w:val="69A9737D"/>
    <w:rsid w:val="6A5B6461"/>
    <w:rsid w:val="6B5300C4"/>
    <w:rsid w:val="6B9320D0"/>
    <w:rsid w:val="6B9E401E"/>
    <w:rsid w:val="6BAE318D"/>
    <w:rsid w:val="6BE02E3B"/>
    <w:rsid w:val="6C1A6998"/>
    <w:rsid w:val="6C5164C2"/>
    <w:rsid w:val="6C7041BF"/>
    <w:rsid w:val="6CF021E1"/>
    <w:rsid w:val="6DEA1D4F"/>
    <w:rsid w:val="70EF2B6B"/>
    <w:rsid w:val="711C77D0"/>
    <w:rsid w:val="71282F7E"/>
    <w:rsid w:val="719834C8"/>
    <w:rsid w:val="71E33685"/>
    <w:rsid w:val="73051406"/>
    <w:rsid w:val="737C02EA"/>
    <w:rsid w:val="73F71B2F"/>
    <w:rsid w:val="742C5BE3"/>
    <w:rsid w:val="743517CF"/>
    <w:rsid w:val="74476928"/>
    <w:rsid w:val="7524075C"/>
    <w:rsid w:val="757E794D"/>
    <w:rsid w:val="76991F49"/>
    <w:rsid w:val="76C64F98"/>
    <w:rsid w:val="76CE7275"/>
    <w:rsid w:val="772E53A2"/>
    <w:rsid w:val="77764653"/>
    <w:rsid w:val="78FB30A9"/>
    <w:rsid w:val="79030169"/>
    <w:rsid w:val="79792DFF"/>
    <w:rsid w:val="79AD76D8"/>
    <w:rsid w:val="79C8155D"/>
    <w:rsid w:val="7A894AA6"/>
    <w:rsid w:val="7AB427B8"/>
    <w:rsid w:val="7D366D5F"/>
    <w:rsid w:val="7ED45A9B"/>
    <w:rsid w:val="7F6B3FAB"/>
    <w:rsid w:val="7F895F01"/>
    <w:rsid w:val="7FE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spacing w:after="120"/>
    </w:pPr>
    <w:rPr>
      <w:rFonts w:ascii="Times New Roman" w:hAnsi="Times New Roman"/>
      <w:kern w:val="0"/>
      <w:sz w:val="20"/>
      <w:szCs w:val="24"/>
      <w:lang w:val="zh-CN"/>
    </w:rPr>
  </w:style>
  <w:style w:type="paragraph" w:styleId="5">
    <w:name w:val="Balloon Text"/>
    <w:basedOn w:val="1"/>
    <w:unhideWhenUsed/>
    <w:qFormat/>
    <w:uiPriority w:val="99"/>
    <w:rPr>
      <w:sz w:val="18"/>
      <w:szCs w:val="18"/>
    </w:rPr>
  </w:style>
  <w:style w:type="paragraph" w:styleId="6">
    <w:name w:val="List 2"/>
    <w:basedOn w:val="1"/>
    <w:semiHidden/>
    <w:unhideWhenUsed/>
    <w:qFormat/>
    <w:uiPriority w:val="0"/>
    <w:pPr>
      <w:widowControl/>
      <w:ind w:left="100" w:leftChars="200" w:hanging="200" w:hangingChars="200"/>
      <w:contextualSpacing/>
      <w:jc w:val="left"/>
    </w:pPr>
    <w:rPr>
      <w:rFonts w:cs="Times New Roman"/>
    </w:rPr>
  </w:style>
  <w:style w:type="paragraph" w:styleId="7">
    <w:name w:val="Body Text Indent 2"/>
    <w:basedOn w:val="1"/>
    <w:qFormat/>
    <w:uiPriority w:val="0"/>
    <w:pPr>
      <w:ind w:firstLine="630"/>
    </w:pPr>
    <w:rPr>
      <w:sz w:val="32"/>
      <w:szCs w:val="20"/>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styleId="15">
    <w:name w:val="List Paragraph"/>
    <w:basedOn w:val="1"/>
    <w:qFormat/>
    <w:uiPriority w:val="34"/>
    <w:pPr>
      <w:ind w:firstLine="420" w:firstLineChars="200"/>
    </w:pPr>
  </w:style>
  <w:style w:type="paragraph" w:customStyle="1" w:styleId="16">
    <w:name w:val="p15"/>
    <w:basedOn w:val="1"/>
    <w:qFormat/>
    <w:uiPriority w:val="0"/>
    <w:pPr>
      <w:widowControl/>
      <w:ind w:firstLine="420"/>
    </w:pPr>
    <w:rPr>
      <w:kern w:val="0"/>
      <w:szCs w:val="21"/>
    </w:rPr>
  </w:style>
  <w:style w:type="character" w:customStyle="1" w:styleId="17">
    <w:name w:val="页眉 字符"/>
    <w:basedOn w:val="13"/>
    <w:link w:val="9"/>
    <w:qFormat/>
    <w:uiPriority w:val="0"/>
    <w:rPr>
      <w:rFonts w:asciiTheme="minorHAnsi" w:hAnsiTheme="minorHAnsi" w:eastAsiaTheme="minorEastAsia" w:cstheme="minorBidi"/>
      <w:kern w:val="2"/>
      <w:sz w:val="18"/>
      <w:szCs w:val="18"/>
    </w:rPr>
  </w:style>
  <w:style w:type="character" w:customStyle="1" w:styleId="18">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13323</Words>
  <Characters>14058</Characters>
  <Lines>26</Lines>
  <Paragraphs>7</Paragraphs>
  <TotalTime>11</TotalTime>
  <ScaleCrop>false</ScaleCrop>
  <LinksUpToDate>false</LinksUpToDate>
  <CharactersWithSpaces>14102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2021-09-14T03:36:00Z</dcterms:created>
  <dc:creator>LGYY-USER</dc:creator>
  <cp:lastModifiedBy>罗雪梅</cp:lastModifiedBy>
  <dcterms:modified xsi:type="dcterms:W3CDTF">2026-09-20T03:06:54Z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eyJoZGlkIjoiYmQ0ODQ1MjVlNzBlNmU0MDI4YWI5Njc5ZmY0YzM5NDYiLCJ1c2VySWQiOiIxOTAzODY4Nzg5In0=</vt:lpwstr>
  </property>
  <property fmtid="{D5CDD505-2E9C-101B-9397-08002B2CF9AE}" pid="4" name="ICV">
    <vt:lpwstr>315A3D81821A440A90A0CC745A43FDB0_13</vt:lpwstr>
  </property>
</Properties>
</file>