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3834D7">
      <w:pPr>
        <w:ind w:firstLine="0" w:firstLineChars="0"/>
        <w:jc w:val="center"/>
        <w:rPr>
          <w:rFonts w:hint="eastAsia" w:ascii="仿宋_GB2312" w:hAnsi="仿宋_GB2312" w:eastAsia="仿宋_GB2312" w:cs="仿宋_GB2312"/>
          <w:b/>
          <w:bCs/>
          <w:color w:val="auto"/>
          <w:kern w:val="44"/>
          <w:sz w:val="44"/>
          <w:szCs w:val="44"/>
        </w:rPr>
      </w:pPr>
      <w:r>
        <w:rPr>
          <w:rFonts w:hint="eastAsia" w:ascii="仿宋_GB2312" w:hAnsi="仿宋_GB2312" w:eastAsia="仿宋_GB2312" w:cs="仿宋_GB2312"/>
          <w:b/>
          <w:bCs/>
          <w:color w:val="auto"/>
          <w:kern w:val="44"/>
          <w:sz w:val="44"/>
          <w:szCs w:val="44"/>
        </w:rPr>
        <w:t>柳州市工人医院</w:t>
      </w:r>
      <w:r>
        <w:rPr>
          <w:rFonts w:hint="eastAsia" w:ascii="仿宋_GB2312" w:hAnsi="仿宋_GB2312" w:eastAsia="仿宋_GB2312" w:cs="仿宋_GB2312"/>
          <w:b/>
          <w:bCs/>
          <w:color w:val="auto"/>
          <w:kern w:val="0"/>
          <w:sz w:val="44"/>
          <w:szCs w:val="44"/>
        </w:rPr>
        <w:t>乳腺癌患者功能锻炼智能监督系统</w:t>
      </w:r>
      <w:r>
        <w:rPr>
          <w:rFonts w:hint="eastAsia" w:ascii="仿宋_GB2312" w:hAnsi="仿宋_GB2312" w:eastAsia="仿宋_GB2312" w:cs="仿宋_GB2312"/>
          <w:b/>
          <w:bCs/>
          <w:color w:val="auto"/>
          <w:kern w:val="44"/>
          <w:sz w:val="44"/>
          <w:szCs w:val="44"/>
        </w:rPr>
        <w:t>技术参数</w:t>
      </w:r>
    </w:p>
    <w:p w14:paraId="63AA3AF8">
      <w:pPr>
        <w:widowControl/>
        <w:ind w:firstLine="562"/>
        <w:jc w:val="left"/>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一、项目背景与目的</w:t>
      </w:r>
    </w:p>
    <w:p w14:paraId="14A51ABB">
      <w:pPr>
        <w:widowControl/>
        <w:ind w:firstLine="560"/>
        <w:jc w:val="left"/>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color w:val="auto"/>
          <w:kern w:val="0"/>
          <w:sz w:val="28"/>
          <w:szCs w:val="28"/>
        </w:rPr>
        <w:t>乳腺癌患者术后及治疗恢复过程中，上肢功能锻炼是促进患侧功能恢复、改善肩关节活动范围、提高生活质量的重要护理干预内容。</w:t>
      </w:r>
      <w:r>
        <w:rPr>
          <w:rFonts w:hint="eastAsia" w:ascii="仿宋_GB2312" w:hAnsi="仿宋_GB2312" w:eastAsia="仿宋_GB2312" w:cs="仿宋_GB2312"/>
          <w:bCs/>
          <w:color w:val="auto"/>
          <w:kern w:val="0"/>
          <w:sz w:val="28"/>
          <w:szCs w:val="28"/>
        </w:rPr>
        <w:t>本项目拟通过微信小程序、人工智能动作识别、固定摄像头多人识别和护士后台管理等技术手段，建设乳腺癌患者功能锻炼智能监督系统，实现患者居家锻炼和科室集中训练的数字化、可视化和可追踪管理。</w:t>
      </w:r>
    </w:p>
    <w:p w14:paraId="1CFF3B39">
      <w:pPr>
        <w:widowControl/>
        <w:ind w:firstLine="560"/>
        <w:jc w:val="left"/>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从患者管理角度看，系统能够帮助患者在家跟随视频完成康复操训练，并在动作不到位时进行语音或页面提醒，提高患者锻炼规范性和依从性。</w:t>
      </w:r>
    </w:p>
    <w:p w14:paraId="068FB188">
      <w:pPr>
        <w:widowControl/>
        <w:ind w:firstLine="560"/>
        <w:jc w:val="left"/>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从护理随访角度看，系统能够记录患者锻炼次数、完整训练视频、训练前后图片、动作角度数据和动作达标情况，为护士判断患者恢复变化提供客观依据。</w:t>
      </w:r>
    </w:p>
    <w:p w14:paraId="519A6E3F">
      <w:pPr>
        <w:widowControl/>
        <w:ind w:firstLine="560"/>
        <w:jc w:val="left"/>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从科室建设角度看，项目可形成乳腺癌患者功能锻炼智能化管理流程，为专科护理、康复指导、质量控制和科研数据积累提供支撑。</w:t>
      </w:r>
    </w:p>
    <w:p w14:paraId="17C8678D">
      <w:pPr>
        <w:widowControl/>
        <w:ind w:firstLine="0" w:firstLineChars="0"/>
        <w:jc w:val="left"/>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二、项目建设内容及要求</w:t>
      </w:r>
    </w:p>
    <w:p w14:paraId="36B3F3BE">
      <w:pPr>
        <w:widowControl/>
        <w:ind w:firstLine="56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本项目建设乳腺癌患者功能锻炼智能监督系统，覆盖患者手机端居家训练和科室固定训练区集中训练两个场景，建设患者端微信小程序、动作识别与规范性评价、训练前后变化记录、视频图片与数据管理、护士后台管理、固定摄像头动作识别、大屏展示及数据安全保护等功能，并在此基础上增加分阶段闯关式训练、动作分解教学及淋巴水肿、腋网综合征专项训练场景。</w:t>
      </w:r>
    </w:p>
    <w:p w14:paraId="55698804">
      <w:pPr>
        <w:widowControl/>
        <w:ind w:firstLine="560"/>
        <w:jc w:val="left"/>
        <w:rPr>
          <w:rFonts w:hint="eastAsia" w:ascii="仿宋_GB2312" w:hAnsi="仿宋_GB2312" w:eastAsia="仿宋_GB2312" w:cs="仿宋_GB2312"/>
          <w:color w:val="404040"/>
          <w:kern w:val="0"/>
          <w:sz w:val="28"/>
          <w:szCs w:val="28"/>
        </w:rPr>
      </w:pPr>
    </w:p>
    <w:p w14:paraId="6B180261">
      <w:pPr>
        <w:widowControl/>
        <w:ind w:firstLine="560"/>
        <w:jc w:val="left"/>
        <w:rPr>
          <w:rFonts w:hint="eastAsia" w:ascii="仿宋_GB2312" w:hAnsi="仿宋_GB2312" w:eastAsia="仿宋_GB2312" w:cs="仿宋_GB2312"/>
          <w:color w:val="404040"/>
          <w:kern w:val="0"/>
          <w:sz w:val="28"/>
          <w:szCs w:val="28"/>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851"/>
        <w:gridCol w:w="1275"/>
        <w:gridCol w:w="1418"/>
        <w:gridCol w:w="5488"/>
      </w:tblGrid>
      <w:tr w14:paraId="70E69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rPr>
        <w:tc>
          <w:tcPr>
            <w:tcW w:w="704" w:type="dxa"/>
            <w:vAlign w:val="center"/>
          </w:tcPr>
          <w:p w14:paraId="7F1C69AE">
            <w:pPr>
              <w:widowControl/>
              <w:ind w:firstLine="0" w:firstLineChars="0"/>
              <w:jc w:val="center"/>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序号</w:t>
            </w:r>
          </w:p>
        </w:tc>
        <w:tc>
          <w:tcPr>
            <w:tcW w:w="851" w:type="dxa"/>
            <w:vAlign w:val="center"/>
          </w:tcPr>
          <w:p w14:paraId="000F29BB">
            <w:pPr>
              <w:widowControl/>
              <w:ind w:firstLine="0" w:firstLineChars="0"/>
              <w:jc w:val="center"/>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名称</w:t>
            </w:r>
          </w:p>
        </w:tc>
        <w:tc>
          <w:tcPr>
            <w:tcW w:w="1275" w:type="dxa"/>
            <w:vAlign w:val="center"/>
          </w:tcPr>
          <w:p w14:paraId="60C0A59A">
            <w:pPr>
              <w:widowControl/>
              <w:ind w:firstLine="0" w:firstLineChars="0"/>
              <w:jc w:val="center"/>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模块</w:t>
            </w:r>
          </w:p>
        </w:tc>
        <w:tc>
          <w:tcPr>
            <w:tcW w:w="1418" w:type="dxa"/>
            <w:vAlign w:val="center"/>
          </w:tcPr>
          <w:p w14:paraId="599DE767">
            <w:pPr>
              <w:widowControl/>
              <w:ind w:firstLine="0" w:firstLineChars="0"/>
              <w:jc w:val="center"/>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功能</w:t>
            </w:r>
          </w:p>
        </w:tc>
        <w:tc>
          <w:tcPr>
            <w:tcW w:w="5488" w:type="dxa"/>
            <w:vAlign w:val="center"/>
          </w:tcPr>
          <w:p w14:paraId="19C33575">
            <w:pPr>
              <w:widowControl/>
              <w:ind w:firstLine="0" w:firstLineChars="0"/>
              <w:jc w:val="center"/>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详情描述</w:t>
            </w:r>
          </w:p>
        </w:tc>
      </w:tr>
      <w:tr w14:paraId="52A8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Align w:val="center"/>
          </w:tcPr>
          <w:p w14:paraId="32D29817">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1</w:t>
            </w:r>
          </w:p>
        </w:tc>
        <w:tc>
          <w:tcPr>
            <w:tcW w:w="851" w:type="dxa"/>
            <w:vAlign w:val="center"/>
          </w:tcPr>
          <w:p w14:paraId="542187B7">
            <w:pPr>
              <w:widowControl/>
              <w:ind w:firstLine="0" w:firstLineChars="0"/>
              <w:jc w:val="center"/>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智能体能力提升建设</w:t>
            </w:r>
          </w:p>
        </w:tc>
        <w:tc>
          <w:tcPr>
            <w:tcW w:w="1275" w:type="dxa"/>
            <w:vAlign w:val="center"/>
          </w:tcPr>
          <w:p w14:paraId="25605DC2">
            <w:pPr>
              <w:widowControl/>
              <w:ind w:firstLine="0" w:firstLineChars="0"/>
              <w:jc w:val="center"/>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乳腺癌患者功能锻炼知识库建设</w:t>
            </w:r>
          </w:p>
        </w:tc>
        <w:tc>
          <w:tcPr>
            <w:tcW w:w="1418" w:type="dxa"/>
            <w:vAlign w:val="center"/>
          </w:tcPr>
          <w:p w14:paraId="7CF9B2FD">
            <w:pPr>
              <w:widowControl/>
              <w:ind w:firstLine="0" w:firstLineChars="0"/>
              <w:jc w:val="center"/>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专业知识存储、检索、扩展</w:t>
            </w:r>
          </w:p>
        </w:tc>
        <w:tc>
          <w:tcPr>
            <w:tcW w:w="5488" w:type="dxa"/>
            <w:vAlign w:val="center"/>
          </w:tcPr>
          <w:p w14:paraId="12549A1C">
            <w:pPr>
              <w:widowControl/>
              <w:ind w:firstLine="0" w:firstLineChars="0"/>
              <w:jc w:val="left"/>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基于采购人现有已部署的大模型开展智能体能力提升，建设乳腺癌患者康复与功能锻炼专业知识库，支持专业知识的统一存储、组织管理、语义检索、持续扩展与动态更新。完成知识库与现有模型的适配对接，通过检索增强生成提供服务。知识库及相关检索服务支持服务器端本地部署，与现有模型协同运行，可在无互联网连接环境下独立提供服务。</w:t>
            </w:r>
          </w:p>
        </w:tc>
      </w:tr>
      <w:tr w14:paraId="1EB2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restart"/>
            <w:vAlign w:val="center"/>
          </w:tcPr>
          <w:p w14:paraId="5951ECF2">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2</w:t>
            </w:r>
          </w:p>
        </w:tc>
        <w:tc>
          <w:tcPr>
            <w:tcW w:w="851" w:type="dxa"/>
            <w:vMerge w:val="restart"/>
            <w:vAlign w:val="center"/>
          </w:tcPr>
          <w:p w14:paraId="36FBD436">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乳腺癌患者功能锻炼智能监督系统</w:t>
            </w:r>
          </w:p>
        </w:tc>
        <w:tc>
          <w:tcPr>
            <w:tcW w:w="1275" w:type="dxa"/>
            <w:vMerge w:val="restart"/>
            <w:vAlign w:val="center"/>
          </w:tcPr>
          <w:p w14:paraId="7608DC5A">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患者端微信小程序</w:t>
            </w:r>
          </w:p>
        </w:tc>
        <w:tc>
          <w:tcPr>
            <w:tcW w:w="1418" w:type="dxa"/>
            <w:vAlign w:val="center"/>
          </w:tcPr>
          <w:p w14:paraId="4CFA6680">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患者登录与身份绑定</w:t>
            </w:r>
          </w:p>
        </w:tc>
        <w:tc>
          <w:tcPr>
            <w:tcW w:w="5488" w:type="dxa"/>
            <w:vAlign w:val="center"/>
          </w:tcPr>
          <w:p w14:paraId="3D3B1571">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支持患者使用个人手机登录微信小程序，完成身份核验、患者档案绑定及必要的基础信息维护；训练数据与患者唯一标识关联，支持记录患侧及医护确认的训练相关信息，防止患者信息及训练记录错配。</w:t>
            </w:r>
          </w:p>
        </w:tc>
      </w:tr>
      <w:tr w14:paraId="3171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B535B7F">
            <w:pPr>
              <w:ind w:firstLine="560"/>
              <w:jc w:val="left"/>
              <w:rPr>
                <w:rFonts w:hint="eastAsia" w:ascii="仿宋_GB2312" w:hAnsi="仿宋_GB2312" w:eastAsia="仿宋_GB2312" w:cs="仿宋_GB2312"/>
                <w:color w:val="auto"/>
                <w:kern w:val="0"/>
                <w:sz w:val="28"/>
                <w:szCs w:val="28"/>
              </w:rPr>
            </w:pPr>
          </w:p>
        </w:tc>
        <w:tc>
          <w:tcPr>
            <w:tcW w:w="851" w:type="dxa"/>
            <w:vMerge w:val="continue"/>
            <w:vAlign w:val="center"/>
          </w:tcPr>
          <w:p w14:paraId="07E9E0DF">
            <w:pPr>
              <w:ind w:firstLine="560"/>
              <w:jc w:val="center"/>
              <w:rPr>
                <w:rFonts w:hint="eastAsia" w:ascii="仿宋_GB2312" w:hAnsi="仿宋_GB2312" w:eastAsia="仿宋_GB2312" w:cs="仿宋_GB2312"/>
                <w:color w:val="auto"/>
                <w:kern w:val="0"/>
                <w:sz w:val="28"/>
                <w:szCs w:val="28"/>
              </w:rPr>
            </w:pPr>
          </w:p>
        </w:tc>
        <w:tc>
          <w:tcPr>
            <w:tcW w:w="1275" w:type="dxa"/>
            <w:vMerge w:val="continue"/>
            <w:vAlign w:val="center"/>
          </w:tcPr>
          <w:p w14:paraId="3264744C">
            <w:pPr>
              <w:ind w:firstLine="560"/>
              <w:jc w:val="center"/>
              <w:rPr>
                <w:rFonts w:hint="eastAsia" w:ascii="仿宋_GB2312" w:hAnsi="仿宋_GB2312" w:eastAsia="仿宋_GB2312" w:cs="仿宋_GB2312"/>
                <w:color w:val="auto"/>
                <w:kern w:val="0"/>
                <w:sz w:val="28"/>
                <w:szCs w:val="28"/>
              </w:rPr>
            </w:pPr>
          </w:p>
        </w:tc>
        <w:tc>
          <w:tcPr>
            <w:tcW w:w="1418" w:type="dxa"/>
            <w:vAlign w:val="center"/>
          </w:tcPr>
          <w:p w14:paraId="52CE64AB">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今日训练与任务入口</w:t>
            </w:r>
          </w:p>
        </w:tc>
        <w:tc>
          <w:tcPr>
            <w:tcW w:w="5488" w:type="dxa"/>
            <w:vAlign w:val="center"/>
          </w:tcPr>
          <w:p w14:paraId="52F8E4E3">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根据医护配置的方案展示患者当日训练动作、训练次数、预计时长及注意事项；支持从“今日训练”直接进入任务，也可通过关卡地图进入已开放的训练内容。</w:t>
            </w:r>
          </w:p>
        </w:tc>
      </w:tr>
      <w:tr w14:paraId="103D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3F17390">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10EB4F74">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2E53DD99">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626902DB">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康复操视频跟练</w:t>
            </w:r>
          </w:p>
        </w:tc>
        <w:tc>
          <w:tcPr>
            <w:tcW w:w="5488" w:type="dxa"/>
            <w:vAlign w:val="center"/>
          </w:tcPr>
          <w:p w14:paraId="719F8850">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支持完整康复操及分动作示范视频播放，提供动作说明、语音引导和训练注意事项；支持开始、暂停、继续及结束训练。患者能够一边观看小程序内示范视频，一边完成自身动作采集和训练。</w:t>
            </w:r>
          </w:p>
        </w:tc>
      </w:tr>
      <w:tr w14:paraId="761D2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B1E3903">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717DE514">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05CA2AED">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37DD86E9">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前置摄像头动作采集</w:t>
            </w:r>
          </w:p>
        </w:tc>
        <w:tc>
          <w:tcPr>
            <w:tcW w:w="5488" w:type="dxa"/>
            <w:vAlign w:val="center"/>
          </w:tcPr>
          <w:p w14:paraId="488D770E">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支持使用手机前置摄像头采集患者训练画面，提供手机支架固定、拍摄距离、人体入镜及光照引导；关键部位未入镜或采集条件不满足要求时，应提示调整。供应商应明确支持的手机及系统版本范围。</w:t>
            </w:r>
          </w:p>
        </w:tc>
      </w:tr>
      <w:tr w14:paraId="7DDCB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7B43790">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37C4748B">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06B7BB30">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5194C6E0">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训练前拍照与角度记录</w:t>
            </w:r>
          </w:p>
        </w:tc>
        <w:tc>
          <w:tcPr>
            <w:tcW w:w="5488" w:type="dxa"/>
            <w:vAlign w:val="center"/>
          </w:tcPr>
          <w:p w14:paraId="539E602E">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按训练方案引导患者完成训练前关键动作拍照及角度记录，关联患者、患侧、动作名称、采集时间和本次训练任务；对遮挡、画面不完整等情况提示重新采集。</w:t>
            </w:r>
          </w:p>
        </w:tc>
      </w:tr>
      <w:tr w14:paraId="2C78A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7A3ABE4">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7D0614AE">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6D5442A8">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548E1327">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训练过程识别与实时提醒</w:t>
            </w:r>
          </w:p>
        </w:tc>
        <w:tc>
          <w:tcPr>
            <w:tcW w:w="5488" w:type="dxa"/>
            <w:vAlign w:val="center"/>
          </w:tcPr>
          <w:p w14:paraId="69819D33">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在训练过程中识别动作完成情况，对动作不到位提供语音、弹窗或页面轻提示。常规纠正提醒不要求患者点击确认，避免影响训练连续性；支持提示频率控制，减少重复干扰。</w:t>
            </w:r>
          </w:p>
        </w:tc>
      </w:tr>
      <w:tr w14:paraId="3E37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C715353">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129653FF">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2C2123FF">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0E6EB69F">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训练后拍照与角度记录</w:t>
            </w:r>
          </w:p>
        </w:tc>
        <w:tc>
          <w:tcPr>
            <w:tcW w:w="5488" w:type="dxa"/>
            <w:vAlign w:val="center"/>
          </w:tcPr>
          <w:p w14:paraId="4860A217">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训练结束后引导患者完成对应关键动作拍照及角度记录，与训练前记录关联；提示采用一致的拍摄视角、距离和动作条件，支持查看本次训练前后对比结果。</w:t>
            </w:r>
          </w:p>
        </w:tc>
      </w:tr>
      <w:tr w14:paraId="2FC93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5A9F35C">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43E9F547">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01736B01">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43DCC068">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完整训练视频上传与保存</w:t>
            </w:r>
          </w:p>
        </w:tc>
        <w:tc>
          <w:tcPr>
            <w:tcW w:w="5488" w:type="dxa"/>
            <w:vAlign w:val="center"/>
          </w:tcPr>
          <w:p w14:paraId="06CE34B8">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支持采集完整训练视频，并按医院确认的规则上传保存，不得仅以截图或短视频片段替代要求保存的完整训练视频；提供上传进度、失败提示、重试及必要的中断恢复机制，区分训练完成状态与视频上传状态。</w:t>
            </w:r>
          </w:p>
        </w:tc>
      </w:tr>
      <w:tr w14:paraId="4F9C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5ED407E">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09CFF8C5">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0A874CA0">
            <w:pPr>
              <w:widowControl/>
              <w:ind w:firstLine="0" w:firstLineChars="0"/>
              <w:jc w:val="center"/>
              <w:rPr>
                <w:rFonts w:hint="eastAsia" w:ascii="仿宋_GB2312" w:hAnsi="仿宋_GB2312" w:eastAsia="仿宋_GB2312" w:cs="仿宋_GB2312"/>
                <w:color w:val="404040"/>
                <w:kern w:val="0"/>
                <w:sz w:val="28"/>
                <w:szCs w:val="28"/>
              </w:rPr>
            </w:pPr>
          </w:p>
        </w:tc>
        <w:tc>
          <w:tcPr>
            <w:tcW w:w="1418" w:type="dxa"/>
            <w:vAlign w:val="center"/>
          </w:tcPr>
          <w:p w14:paraId="03934C4D">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个人训练记录查看</w:t>
            </w:r>
          </w:p>
        </w:tc>
        <w:tc>
          <w:tcPr>
            <w:tcW w:w="5488" w:type="dxa"/>
            <w:vAlign w:val="center"/>
          </w:tcPr>
          <w:p w14:paraId="44E2E5F6">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支持患者按日期查看本人训练次数、训练时长、动作完成情况、达标结果、训练前后图片、角度变化及历史趋势，并查看关卡和阶段进度；对数据缺失、无法评价及未完成任务作明确标识。</w:t>
            </w:r>
          </w:p>
        </w:tc>
      </w:tr>
      <w:tr w14:paraId="5D59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972F188">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29A8C8FF">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4B33A944">
            <w:pPr>
              <w:widowControl/>
              <w:ind w:firstLine="0" w:firstLineChars="0"/>
              <w:jc w:val="center"/>
              <w:rPr>
                <w:rFonts w:hint="eastAsia" w:ascii="仿宋_GB2312" w:hAnsi="仿宋_GB2312" w:eastAsia="仿宋_GB2312" w:cs="仿宋_GB2312"/>
                <w:color w:val="404040"/>
                <w:kern w:val="0"/>
                <w:sz w:val="28"/>
                <w:szCs w:val="28"/>
              </w:rPr>
            </w:pPr>
          </w:p>
        </w:tc>
        <w:tc>
          <w:tcPr>
            <w:tcW w:w="1418" w:type="dxa"/>
            <w:vAlign w:val="center"/>
          </w:tcPr>
          <w:p w14:paraId="17F16C40">
            <w:pPr>
              <w:widowControl/>
              <w:ind w:firstLine="0" w:firstLineChars="0"/>
              <w:jc w:val="center"/>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阶段性问卷随访</w:t>
            </w:r>
          </w:p>
        </w:tc>
        <w:tc>
          <w:tcPr>
            <w:tcW w:w="5488" w:type="dxa"/>
            <w:vAlign w:val="center"/>
          </w:tcPr>
          <w:p w14:paraId="23D27EDC">
            <w:pPr>
              <w:widowControl/>
              <w:ind w:firstLine="0" w:firstLineChars="0"/>
              <w:jc w:val="left"/>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支持按患者功能锻炼开始时间设置阶段性问卷随访任务，如锻炼满15天后自动推送问卷及填写提醒，采集锻炼完成情况、主观不适、训练困难及康复指导需求等信息；支持问卷内容配置、随访周期设置、填写进度跟踪、结果统计及历史记录查询，对符合预设关注条件的反馈提示医护人员跟进。</w:t>
            </w:r>
          </w:p>
        </w:tc>
      </w:tr>
      <w:tr w14:paraId="1D60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23742E8">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2D0EA4B6">
            <w:pPr>
              <w:ind w:firstLine="560"/>
              <w:jc w:val="center"/>
              <w:rPr>
                <w:rFonts w:hint="eastAsia" w:ascii="仿宋_GB2312" w:hAnsi="仿宋_GB2312" w:eastAsia="仿宋_GB2312" w:cs="仿宋_GB2312"/>
                <w:color w:val="404040"/>
                <w:kern w:val="0"/>
                <w:sz w:val="28"/>
                <w:szCs w:val="28"/>
              </w:rPr>
            </w:pPr>
          </w:p>
        </w:tc>
        <w:tc>
          <w:tcPr>
            <w:tcW w:w="1275" w:type="dxa"/>
            <w:vMerge w:val="restart"/>
            <w:vAlign w:val="center"/>
          </w:tcPr>
          <w:p w14:paraId="25D19935">
            <w:pPr>
              <w:widowControl/>
              <w:ind w:firstLine="0" w:firstLineChars="0"/>
              <w:jc w:val="center"/>
              <w:rPr>
                <w:rFonts w:hint="eastAsia" w:ascii="仿宋_GB2312" w:hAnsi="仿宋_GB2312" w:eastAsia="仿宋_GB2312" w:cs="仿宋_GB2312"/>
                <w:color w:val="404040"/>
                <w:kern w:val="0"/>
                <w:sz w:val="28"/>
                <w:szCs w:val="28"/>
              </w:rPr>
            </w:pPr>
            <w:r>
              <w:rPr>
                <w:rFonts w:hint="eastAsia" w:ascii="仿宋_GB2312" w:hAnsi="仿宋_GB2312" w:eastAsia="仿宋_GB2312" w:cs="仿宋_GB2312"/>
                <w:color w:val="404040"/>
                <w:kern w:val="0"/>
                <w:sz w:val="28"/>
                <w:szCs w:val="28"/>
              </w:rPr>
              <w:t>分阶段闯关与专项训练</w:t>
            </w:r>
          </w:p>
        </w:tc>
        <w:tc>
          <w:tcPr>
            <w:tcW w:w="1418" w:type="dxa"/>
            <w:vAlign w:val="center"/>
          </w:tcPr>
          <w:p w14:paraId="74EF5DD8">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训练地图与阶段设置</w:t>
            </w:r>
          </w:p>
        </w:tc>
        <w:tc>
          <w:tcPr>
            <w:tcW w:w="5488" w:type="dxa"/>
            <w:vAlign w:val="center"/>
          </w:tcPr>
          <w:p w14:paraId="1DF00E46">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支持以关卡地图展示基础动作学习、单动作巩固、组合动作训练、完整康复操和维持训练等阶段，区分已开放、已完成、待评估及暂未开放状态。阶段名称、顺序和内容由医院配置。</w:t>
            </w:r>
          </w:p>
        </w:tc>
      </w:tr>
      <w:tr w14:paraId="671F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2C375FD">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6F922D38">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55DDB407">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355065F5">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动作分解教学</w:t>
            </w:r>
          </w:p>
        </w:tc>
        <w:tc>
          <w:tcPr>
            <w:tcW w:w="5488" w:type="dxa"/>
            <w:vAlign w:val="center"/>
          </w:tcPr>
          <w:p w14:paraId="686433AE">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将握拳、屈肘、上举、外展、后背手、抱头等动作拆解为准备姿势、执行、保持和回位等步骤，提供分段视频、慢速示范、图文要点及语音引导；支持反复观看和分步练习。</w:t>
            </w:r>
          </w:p>
        </w:tc>
      </w:tr>
      <w:tr w14:paraId="73E8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F548A22">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29440E7F">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32ECF74D">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47D824A8">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单动作与组合关卡</w:t>
            </w:r>
          </w:p>
        </w:tc>
        <w:tc>
          <w:tcPr>
            <w:tcW w:w="5488" w:type="dxa"/>
            <w:vAlign w:val="center"/>
          </w:tcPr>
          <w:p w14:paraId="4A031926">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支持按单个动作设置训练关卡，配置目标次数、保持时间、适用活动范围、休息间隔及完成条件；支持将多个动作按指定顺序组合为训练任务，逐步过渡到完整康复操，分别记录各动作和整组训练结果。</w:t>
            </w:r>
          </w:p>
        </w:tc>
      </w:tr>
      <w:tr w14:paraId="5A47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C28C57B">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032CC572">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679F5E02">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67E66A63">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个体化路径与进阶控制</w:t>
            </w:r>
          </w:p>
        </w:tc>
        <w:tc>
          <w:tcPr>
            <w:tcW w:w="5488" w:type="dxa"/>
            <w:vAlign w:val="center"/>
          </w:tcPr>
          <w:p w14:paraId="0D8C4BE2">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医护根据患者患侧、恢复阶段、活动限制和症状配置起始关卡及适用动作，允许跳过不适用动作、降低难度或调整任务。在已授权范围内按规则开放后续关卡；涉及活动范围或强度变化时，应由医护评估确认，不得仅凭积分或AI评分自动升级。</w:t>
            </w:r>
          </w:p>
        </w:tc>
      </w:tr>
      <w:tr w14:paraId="281D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016AF92">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515A2B30">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0B379E4B">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6FC04C28">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游戏化激励与任务恢复</w:t>
            </w:r>
          </w:p>
        </w:tc>
        <w:tc>
          <w:tcPr>
            <w:tcW w:w="5488" w:type="dxa"/>
            <w:vAlign w:val="center"/>
          </w:tcPr>
          <w:p w14:paraId="3F367B1D">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进度反馈、阶段勋章、完成奖励及鼓励性提示，奖励以完成医护安排的任务为依据，不以超额训练或扩大动作幅度作为奖励条件。支持训练中断后恢复，不自动要求加倍补练，不设置患者间训练强度或动作幅度排名。</w:t>
            </w:r>
          </w:p>
        </w:tc>
      </w:tr>
      <w:tr w14:paraId="1C68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E25287F">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128F5599">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1FD390AC">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1261D1E8">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淋巴水肿专项训练</w:t>
            </w:r>
          </w:p>
        </w:tc>
        <w:tc>
          <w:tcPr>
            <w:tcW w:w="5488" w:type="dxa"/>
            <w:vAlign w:val="center"/>
          </w:tcPr>
          <w:p w14:paraId="4DBE6654">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提供经医院审核的淋巴水肿相关宣教、分解教学及训练任务模板，区分风险管理与已发生淋巴水肿的管理需求，由医护评估后分配适用方案；支持配置动作、次数、频次、活动范围及注意事项，记录训练前后肿胀感、沉重感和紧绷感等反馈。</w:t>
            </w:r>
          </w:p>
        </w:tc>
      </w:tr>
      <w:tr w14:paraId="1DAE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33992E5">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02C557A7">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67C049E7">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56E01183">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腋网综合征专项训练</w:t>
            </w:r>
          </w:p>
        </w:tc>
        <w:tc>
          <w:tcPr>
            <w:tcW w:w="5488" w:type="dxa"/>
            <w:vAlign w:val="center"/>
          </w:tcPr>
          <w:p w14:paraId="6D0CC353">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提供经医院审核的腋网综合征相关宣教、分解教学及训练任务模板，由医护确认适用患者、动作范围和进阶条件；支持记录疼痛、牵拉感及活动受限情况，供护士复核和调整方案。</w:t>
            </w:r>
          </w:p>
        </w:tc>
      </w:tr>
      <w:tr w14:paraId="029C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1EE8010">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75B3CE69">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0E0281DE">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113CCE89">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专项路径与常规任务协调</w:t>
            </w:r>
          </w:p>
        </w:tc>
        <w:tc>
          <w:tcPr>
            <w:tcW w:w="5488" w:type="dxa"/>
            <w:vAlign w:val="center"/>
          </w:tcPr>
          <w:p w14:paraId="64CC09AD">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专项训练可由医护设置为与常规训练并行、替换或暂停部分常规任务，支持识别重复动作并统筹每日训练量。专项路径不得作为普通闯关完成后自动开放的高难度关卡。</w:t>
            </w:r>
          </w:p>
        </w:tc>
      </w:tr>
      <w:tr w14:paraId="25D4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A02D362">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1974255B">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17C9DADE">
            <w:pPr>
              <w:widowControl/>
              <w:ind w:firstLine="0" w:firstLineChars="0"/>
              <w:jc w:val="center"/>
              <w:rPr>
                <w:rFonts w:hint="eastAsia" w:ascii="仿宋_GB2312" w:hAnsi="仿宋_GB2312" w:eastAsia="仿宋_GB2312" w:cs="仿宋_GB2312"/>
                <w:color w:val="404040"/>
                <w:kern w:val="0"/>
                <w:sz w:val="28"/>
                <w:szCs w:val="28"/>
              </w:rPr>
            </w:pPr>
          </w:p>
        </w:tc>
        <w:tc>
          <w:tcPr>
            <w:tcW w:w="1418" w:type="dxa"/>
            <w:vAlign w:val="center"/>
          </w:tcPr>
          <w:p w14:paraId="35DE4314">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不适反馈与暂停处理</w:t>
            </w:r>
          </w:p>
        </w:tc>
        <w:tc>
          <w:tcPr>
            <w:tcW w:w="5488" w:type="dxa"/>
            <w:vAlign w:val="center"/>
          </w:tcPr>
          <w:p w14:paraId="2AC0143C">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训练前后简洁自评及训练中随时暂停、上报不适。根据医院配置规则提示停止当前任务、联系医护并生成后台待处理记录；支持暂停后续关卡，经医护评估后恢复。系统不得仅凭普通摄像头画面或患者自评自动确诊淋巴水肿、腋网综合征。</w:t>
            </w:r>
          </w:p>
        </w:tc>
      </w:tr>
      <w:tr w14:paraId="56777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20DFBD0">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7D823BE4">
            <w:pPr>
              <w:ind w:firstLine="560"/>
              <w:jc w:val="center"/>
              <w:rPr>
                <w:rFonts w:hint="eastAsia" w:ascii="仿宋_GB2312" w:hAnsi="仿宋_GB2312" w:eastAsia="仿宋_GB2312" w:cs="仿宋_GB2312"/>
                <w:color w:val="404040"/>
                <w:kern w:val="0"/>
                <w:sz w:val="28"/>
                <w:szCs w:val="28"/>
              </w:rPr>
            </w:pPr>
          </w:p>
        </w:tc>
        <w:tc>
          <w:tcPr>
            <w:tcW w:w="1275" w:type="dxa"/>
            <w:vAlign w:val="center"/>
          </w:tcPr>
          <w:p w14:paraId="08409829">
            <w:pPr>
              <w:widowControl/>
              <w:ind w:firstLine="0" w:firstLineChars="0"/>
              <w:jc w:val="center"/>
              <w:rPr>
                <w:rFonts w:hint="eastAsia" w:ascii="仿宋_GB2312" w:hAnsi="仿宋_GB2312" w:eastAsia="仿宋_GB2312" w:cs="仿宋_GB2312"/>
                <w:color w:val="404040"/>
                <w:kern w:val="0"/>
                <w:sz w:val="28"/>
                <w:szCs w:val="28"/>
              </w:rPr>
            </w:pPr>
            <w:r>
              <w:rPr>
                <w:rFonts w:hint="eastAsia" w:ascii="仿宋_GB2312" w:hAnsi="仿宋_GB2312" w:eastAsia="仿宋_GB2312" w:cs="仿宋_GB2312"/>
                <w:color w:val="404040"/>
                <w:kern w:val="0"/>
                <w:sz w:val="28"/>
                <w:szCs w:val="28"/>
              </w:rPr>
              <w:t>训练前后变化记录</w:t>
            </w:r>
          </w:p>
        </w:tc>
        <w:tc>
          <w:tcPr>
            <w:tcW w:w="1418" w:type="dxa"/>
            <w:vAlign w:val="center"/>
          </w:tcPr>
          <w:p w14:paraId="311A19F6">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历史变化趋势</w:t>
            </w:r>
          </w:p>
        </w:tc>
        <w:tc>
          <w:tcPr>
            <w:tcW w:w="5488" w:type="dxa"/>
            <w:vAlign w:val="center"/>
          </w:tcPr>
          <w:p w14:paraId="5162CDA1">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支持按动作和时间范围查看训练前角度、训练后角度、单次变化及历史趋势，并结合训练次数、达标情况和患者自评展示。对缺失或无法评价的数据进行标识，不得按零值参与变化计算。</w:t>
            </w:r>
          </w:p>
        </w:tc>
      </w:tr>
      <w:tr w14:paraId="2DB91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0EEDF69">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26FD947D">
            <w:pPr>
              <w:ind w:firstLine="560"/>
              <w:jc w:val="center"/>
              <w:rPr>
                <w:rFonts w:hint="eastAsia" w:ascii="仿宋_GB2312" w:hAnsi="仿宋_GB2312" w:eastAsia="仿宋_GB2312" w:cs="仿宋_GB2312"/>
                <w:color w:val="404040"/>
                <w:kern w:val="0"/>
                <w:sz w:val="28"/>
                <w:szCs w:val="28"/>
              </w:rPr>
            </w:pPr>
          </w:p>
        </w:tc>
        <w:tc>
          <w:tcPr>
            <w:tcW w:w="1275" w:type="dxa"/>
            <w:vMerge w:val="restart"/>
            <w:vAlign w:val="center"/>
          </w:tcPr>
          <w:p w14:paraId="693654FA">
            <w:pPr>
              <w:widowControl/>
              <w:ind w:firstLine="0" w:firstLineChars="0"/>
              <w:jc w:val="center"/>
              <w:rPr>
                <w:rFonts w:hint="eastAsia" w:ascii="仿宋_GB2312" w:hAnsi="仿宋_GB2312" w:eastAsia="仿宋_GB2312" w:cs="仿宋_GB2312"/>
                <w:color w:val="404040"/>
                <w:kern w:val="0"/>
                <w:sz w:val="28"/>
                <w:szCs w:val="28"/>
              </w:rPr>
            </w:pPr>
            <w:r>
              <w:rPr>
                <w:rFonts w:hint="eastAsia" w:ascii="仿宋_GB2312" w:hAnsi="仿宋_GB2312" w:eastAsia="仿宋_GB2312" w:cs="仿宋_GB2312"/>
                <w:color w:val="404040"/>
                <w:kern w:val="0"/>
                <w:sz w:val="28"/>
                <w:szCs w:val="28"/>
              </w:rPr>
              <w:t>视频、图片与数据管理</w:t>
            </w:r>
          </w:p>
        </w:tc>
        <w:tc>
          <w:tcPr>
            <w:tcW w:w="1418" w:type="dxa"/>
            <w:vAlign w:val="center"/>
          </w:tcPr>
          <w:p w14:paraId="6466E54B">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训练数据统一归档</w:t>
            </w:r>
          </w:p>
        </w:tc>
        <w:tc>
          <w:tcPr>
            <w:tcW w:w="5488" w:type="dxa"/>
            <w:vAlign w:val="center"/>
          </w:tcPr>
          <w:p w14:paraId="5A774C5B">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统一保存完整训练视频、训练前后图片、动作识别结果、角度数据、锻炼次数、达标情况、不规范提示及护士查看和复核记录，关联患者、训练任务、动作、关卡及方案版本。</w:t>
            </w:r>
          </w:p>
        </w:tc>
      </w:tr>
      <w:tr w14:paraId="5C756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1CBF7EB">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78F2AF96">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1146F6B2">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6A72BF09">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媒体存储与访问管理</w:t>
            </w:r>
          </w:p>
        </w:tc>
        <w:tc>
          <w:tcPr>
            <w:tcW w:w="5488" w:type="dxa"/>
            <w:vAlign w:val="center"/>
          </w:tcPr>
          <w:p w14:paraId="4F17BB33">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支持视频和图片的授权访问、回看及保存期限配置，记录文件上传、存储、访问和清理状态；支持存储容量监测和告警，防止因容量不足导致数据无提示丢失。视频保存范围、画质和期限应在实施前明确。</w:t>
            </w:r>
          </w:p>
        </w:tc>
      </w:tr>
      <w:tr w14:paraId="4B84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E36D4BD">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388C1E84">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727B8F35">
            <w:pPr>
              <w:widowControl/>
              <w:ind w:firstLine="0" w:firstLineChars="0"/>
              <w:jc w:val="center"/>
              <w:rPr>
                <w:rFonts w:hint="eastAsia" w:ascii="仿宋_GB2312" w:hAnsi="仿宋_GB2312" w:eastAsia="仿宋_GB2312" w:cs="仿宋_GB2312"/>
                <w:color w:val="404040"/>
                <w:kern w:val="0"/>
                <w:sz w:val="28"/>
                <w:szCs w:val="28"/>
              </w:rPr>
            </w:pPr>
          </w:p>
        </w:tc>
        <w:tc>
          <w:tcPr>
            <w:tcW w:w="1418" w:type="dxa"/>
            <w:vAlign w:val="center"/>
          </w:tcPr>
          <w:p w14:paraId="0931DB9E">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数据检索、导出与恢复</w:t>
            </w:r>
          </w:p>
        </w:tc>
        <w:tc>
          <w:tcPr>
            <w:tcW w:w="5488" w:type="dxa"/>
            <w:vAlign w:val="center"/>
          </w:tcPr>
          <w:p w14:paraId="58C2FD83">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支持按患者、日期、动作、关卡及训练状态检索，按权限导出训练明细和统计结果，保留字段、单位及时间说明；支持数据备份、恢复及媒体文件与业务记录一致性核验。</w:t>
            </w:r>
          </w:p>
        </w:tc>
      </w:tr>
      <w:tr w14:paraId="655F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02A8BDA">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6B43EFE0">
            <w:pPr>
              <w:ind w:firstLine="560"/>
              <w:jc w:val="center"/>
              <w:rPr>
                <w:rFonts w:hint="eastAsia" w:ascii="仿宋_GB2312" w:hAnsi="仿宋_GB2312" w:eastAsia="仿宋_GB2312" w:cs="仿宋_GB2312"/>
                <w:color w:val="404040"/>
                <w:kern w:val="0"/>
                <w:sz w:val="28"/>
                <w:szCs w:val="28"/>
              </w:rPr>
            </w:pPr>
          </w:p>
        </w:tc>
        <w:tc>
          <w:tcPr>
            <w:tcW w:w="1275" w:type="dxa"/>
            <w:vMerge w:val="restart"/>
            <w:vAlign w:val="center"/>
          </w:tcPr>
          <w:p w14:paraId="285661BB">
            <w:pPr>
              <w:widowControl/>
              <w:ind w:firstLine="0" w:firstLineChars="0"/>
              <w:jc w:val="center"/>
              <w:rPr>
                <w:rFonts w:hint="eastAsia" w:ascii="仿宋_GB2312" w:hAnsi="仿宋_GB2312" w:eastAsia="仿宋_GB2312" w:cs="仿宋_GB2312"/>
                <w:color w:val="404040"/>
                <w:kern w:val="0"/>
                <w:sz w:val="28"/>
                <w:szCs w:val="28"/>
              </w:rPr>
            </w:pPr>
            <w:r>
              <w:rPr>
                <w:rFonts w:hint="eastAsia" w:ascii="仿宋_GB2312" w:hAnsi="仿宋_GB2312" w:eastAsia="仿宋_GB2312" w:cs="仿宋_GB2312"/>
                <w:color w:val="404040"/>
                <w:kern w:val="0"/>
                <w:sz w:val="28"/>
                <w:szCs w:val="28"/>
              </w:rPr>
              <w:t>护士后台管理平台</w:t>
            </w:r>
          </w:p>
        </w:tc>
        <w:tc>
          <w:tcPr>
            <w:tcW w:w="1418" w:type="dxa"/>
            <w:vAlign w:val="center"/>
          </w:tcPr>
          <w:p w14:paraId="14F0186E">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患者档案与训练方案管理</w:t>
            </w:r>
          </w:p>
        </w:tc>
        <w:tc>
          <w:tcPr>
            <w:tcW w:w="5488" w:type="dxa"/>
            <w:vAlign w:val="center"/>
          </w:tcPr>
          <w:p w14:paraId="59E5F11A">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支持患者档案、分组、患侧、恢复阶段及训练相关信息管理；支持配置患者适用动作、频次、次数、角度范围、关卡及专项路径，保留方案调整人员、时间和原因。</w:t>
            </w:r>
          </w:p>
        </w:tc>
      </w:tr>
      <w:tr w14:paraId="271DF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5404FB6">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5F3EAAF1">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0230D7BD">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26D12EA0">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训练记录与每日次数统计</w:t>
            </w:r>
          </w:p>
        </w:tc>
        <w:tc>
          <w:tcPr>
            <w:tcW w:w="5488" w:type="dxa"/>
            <w:vAlign w:val="center"/>
          </w:tcPr>
          <w:p w14:paraId="41F6761C">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支持查看患者训练记录和任务明细，统计每日训练次数、有效动作次数、训练时长和完成情况；区分训练任务次数与动作重复次数，查看已完成、未按时训练、未完成及因不适暂停等状态。</w:t>
            </w:r>
          </w:p>
        </w:tc>
      </w:tr>
      <w:tr w14:paraId="48E5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31A1614">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5ACDDC20">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26828FD1">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79D416BF">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动作规范性统计</w:t>
            </w:r>
          </w:p>
        </w:tc>
        <w:tc>
          <w:tcPr>
            <w:tcW w:w="5488" w:type="dxa"/>
            <w:vAlign w:val="center"/>
          </w:tcPr>
          <w:p w14:paraId="587984B6">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支持按患者、动作、日期及分组统计达标情况、常见不规范动作和提示频次，识别反复不到位的动作；统计应明确有效评价记录和无法评价记录的处理口径。</w:t>
            </w:r>
          </w:p>
        </w:tc>
      </w:tr>
      <w:tr w14:paraId="40CC3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A044F9B">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326EAE1F">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5B1AB9AC">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2B51D03B">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视频回看与前后变化查看</w:t>
            </w:r>
          </w:p>
        </w:tc>
        <w:tc>
          <w:tcPr>
            <w:tcW w:w="5488" w:type="dxa"/>
            <w:vAlign w:val="center"/>
          </w:tcPr>
          <w:p w14:paraId="7CAE2B9D">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支持完整训练视频回看、训练前后图片并列对比、单次角度变化和历史趋势查看，联动展示本次训练采用的方案、动作阈值及症状反馈，为护士判断恢复变化和随访重点提供参考。</w:t>
            </w:r>
          </w:p>
        </w:tc>
      </w:tr>
      <w:tr w14:paraId="3F142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492F081">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4421873D">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554E0B19">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2E0C930D">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异常筛选与随访复核</w:t>
            </w:r>
          </w:p>
        </w:tc>
        <w:tc>
          <w:tcPr>
            <w:tcW w:w="5488" w:type="dxa"/>
            <w:vAlign w:val="center"/>
          </w:tcPr>
          <w:p w14:paraId="337232D0">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支持按未按时训练、次数不足、动作反复不到位、角度变化需关注及不适上报等条件筛选患者。护士可记录复核意见、指导内容、处理状态及随访结果；原始算法结果和人工复核意见应分别保留。</w:t>
            </w:r>
          </w:p>
        </w:tc>
      </w:tr>
      <w:tr w14:paraId="399B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4403609">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2E659B63">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0B06ED93">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23D4D441">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内容、关卡及规则管理</w:t>
            </w:r>
          </w:p>
        </w:tc>
        <w:tc>
          <w:tcPr>
            <w:tcW w:w="5488" w:type="dxa"/>
            <w:vAlign w:val="center"/>
          </w:tcPr>
          <w:p w14:paraId="36DF8FC4">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支持康复操视频、动作教学片段、关卡、阶段及专项路径的新增、编辑、排序、启停和版本管理；训练内容及规则经医院审核后发布，支持人工开放、暂停、降阶及替换任务。</w:t>
            </w:r>
          </w:p>
        </w:tc>
      </w:tr>
      <w:tr w14:paraId="6BB35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DCDB803">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2819053C">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62EAA6D6">
            <w:pPr>
              <w:widowControl/>
              <w:ind w:firstLine="0" w:firstLineChars="0"/>
              <w:jc w:val="center"/>
              <w:rPr>
                <w:rFonts w:hint="eastAsia" w:ascii="仿宋_GB2312" w:hAnsi="仿宋_GB2312" w:eastAsia="仿宋_GB2312" w:cs="仿宋_GB2312"/>
                <w:color w:val="404040"/>
                <w:kern w:val="0"/>
                <w:sz w:val="28"/>
                <w:szCs w:val="28"/>
              </w:rPr>
            </w:pPr>
          </w:p>
        </w:tc>
        <w:tc>
          <w:tcPr>
            <w:tcW w:w="1418" w:type="dxa"/>
            <w:vAlign w:val="center"/>
          </w:tcPr>
          <w:p w14:paraId="5F0F49FD">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数据统计与导出</w:t>
            </w:r>
          </w:p>
        </w:tc>
        <w:tc>
          <w:tcPr>
            <w:tcW w:w="5488" w:type="dxa"/>
            <w:vAlign w:val="center"/>
          </w:tcPr>
          <w:p w14:paraId="68965E7A">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支持按时间、患者分组、训练阶段及专项路径统计训练完成情况、依从情况、动作达标情况和待复核任务，按授权导出报表及明细，满足护理随访、质控及经批准的科研数据整理需求。</w:t>
            </w:r>
          </w:p>
        </w:tc>
      </w:tr>
      <w:tr w14:paraId="59A9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A8D5FEA">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7CA58239">
            <w:pPr>
              <w:ind w:firstLine="560"/>
              <w:jc w:val="center"/>
              <w:rPr>
                <w:rFonts w:hint="eastAsia" w:ascii="仿宋_GB2312" w:hAnsi="仿宋_GB2312" w:eastAsia="仿宋_GB2312" w:cs="仿宋_GB2312"/>
                <w:color w:val="404040"/>
                <w:kern w:val="0"/>
                <w:sz w:val="28"/>
                <w:szCs w:val="28"/>
              </w:rPr>
            </w:pPr>
          </w:p>
        </w:tc>
        <w:tc>
          <w:tcPr>
            <w:tcW w:w="1275" w:type="dxa"/>
            <w:vMerge w:val="restart"/>
            <w:vAlign w:val="center"/>
          </w:tcPr>
          <w:p w14:paraId="7481CC53">
            <w:pPr>
              <w:widowControl/>
              <w:ind w:firstLine="0" w:firstLineChars="0"/>
              <w:jc w:val="center"/>
              <w:rPr>
                <w:rFonts w:hint="eastAsia" w:ascii="仿宋_GB2312" w:hAnsi="仿宋_GB2312" w:eastAsia="仿宋_GB2312" w:cs="仿宋_GB2312"/>
                <w:color w:val="404040"/>
                <w:kern w:val="0"/>
                <w:sz w:val="28"/>
                <w:szCs w:val="28"/>
              </w:rPr>
            </w:pPr>
            <w:r>
              <w:rPr>
                <w:rFonts w:hint="eastAsia" w:ascii="仿宋_GB2312" w:hAnsi="仿宋_GB2312" w:eastAsia="仿宋_GB2312" w:cs="仿宋_GB2312"/>
                <w:color w:val="404040"/>
                <w:kern w:val="0"/>
                <w:sz w:val="28"/>
                <w:szCs w:val="28"/>
              </w:rPr>
              <w:t>固定摄像头动作识别场景</w:t>
            </w:r>
          </w:p>
        </w:tc>
        <w:tc>
          <w:tcPr>
            <w:tcW w:w="1418" w:type="dxa"/>
            <w:vAlign w:val="center"/>
          </w:tcPr>
          <w:p w14:paraId="328883AA">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固定训练区搭建</w:t>
            </w:r>
          </w:p>
        </w:tc>
        <w:tc>
          <w:tcPr>
            <w:tcW w:w="5488" w:type="dxa"/>
            <w:vAlign w:val="center"/>
          </w:tcPr>
          <w:p w14:paraId="3A2FDFCF">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在医院指定的宣教室、病区或康复训练区域完成简易搭建，包括机位不少于2台、训练站位标识、摄像头安装调试、识别区域划定和现场展示联调。安装布局应满足拍摄及通行要求。</w:t>
            </w:r>
          </w:p>
        </w:tc>
      </w:tr>
      <w:tr w14:paraId="7DF25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33223BF">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15923B65">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25FD3F79">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7F78DE1E">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摄像机接入与识别计算</w:t>
            </w:r>
          </w:p>
        </w:tc>
        <w:tc>
          <w:tcPr>
            <w:tcW w:w="5488" w:type="dxa"/>
            <w:vAlign w:val="center"/>
          </w:tcPr>
          <w:p w14:paraId="5AEE2AF2">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支持固定摄像机接入、画面采集、设备状态查看及异常提示。配置或对接识别电脑、服务器或边缘计算设备，承担动作识别、视频处理和角度计算；供应商应明确设备配置、算力需求及新增或复用范围。</w:t>
            </w:r>
          </w:p>
        </w:tc>
      </w:tr>
      <w:tr w14:paraId="5DC7A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61103A1">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65C51ED0">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563BFDE8">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5688A025">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多人同步训练与站位关联</w:t>
            </w:r>
          </w:p>
        </w:tc>
        <w:tc>
          <w:tcPr>
            <w:tcW w:w="5488" w:type="dxa"/>
            <w:vAlign w:val="center"/>
          </w:tcPr>
          <w:p w14:paraId="527496BD">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多名患者在固定站位同时做操，分别识别动作和达标状态，按站位编号关联结果；支持患者与站位绑定、核对和解除绑定，处理进入、离开及换位情况，避免训练记录串人。供应商应明确同时识别人数及适用条件。</w:t>
            </w:r>
          </w:p>
        </w:tc>
      </w:tr>
      <w:tr w14:paraId="0FE4B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085BAEE">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35611540">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68791B74">
            <w:pPr>
              <w:widowControl/>
              <w:ind w:firstLine="0" w:firstLineChars="0"/>
              <w:jc w:val="center"/>
              <w:rPr>
                <w:rFonts w:hint="eastAsia" w:ascii="仿宋_GB2312" w:hAnsi="仿宋_GB2312" w:eastAsia="仿宋_GB2312" w:cs="仿宋_GB2312"/>
                <w:color w:val="404040"/>
                <w:kern w:val="0"/>
                <w:sz w:val="28"/>
                <w:szCs w:val="28"/>
              </w:rPr>
            </w:pPr>
          </w:p>
        </w:tc>
        <w:tc>
          <w:tcPr>
            <w:tcW w:w="1418" w:type="dxa"/>
            <w:vAlign w:val="center"/>
          </w:tcPr>
          <w:p w14:paraId="091F1DDE">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集中教学与试点验证</w:t>
            </w:r>
          </w:p>
        </w:tc>
        <w:tc>
          <w:tcPr>
            <w:tcW w:w="5488" w:type="dxa"/>
            <w:vAlign w:val="center"/>
          </w:tcPr>
          <w:p w14:paraId="09C97045">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支持科室集中宣教、多人同步训练、现场动作规范性监督、护士教学示范、试点展示及效果验证；现场训练结果可按患者归档，未绑定身份的演示记录应与正式患者数据区分。</w:t>
            </w:r>
          </w:p>
        </w:tc>
      </w:tr>
      <w:tr w14:paraId="6A16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45C7D99">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7B4B4399">
            <w:pPr>
              <w:ind w:firstLine="560"/>
              <w:jc w:val="center"/>
              <w:rPr>
                <w:rFonts w:hint="eastAsia" w:ascii="仿宋_GB2312" w:hAnsi="仿宋_GB2312" w:eastAsia="仿宋_GB2312" w:cs="仿宋_GB2312"/>
                <w:color w:val="404040"/>
                <w:kern w:val="0"/>
                <w:sz w:val="28"/>
                <w:szCs w:val="28"/>
              </w:rPr>
            </w:pPr>
          </w:p>
        </w:tc>
        <w:tc>
          <w:tcPr>
            <w:tcW w:w="1275" w:type="dxa"/>
            <w:vMerge w:val="restart"/>
            <w:vAlign w:val="center"/>
          </w:tcPr>
          <w:p w14:paraId="116D4FCD">
            <w:pPr>
              <w:widowControl/>
              <w:ind w:firstLine="0" w:firstLineChars="0"/>
              <w:jc w:val="center"/>
              <w:rPr>
                <w:rFonts w:hint="eastAsia" w:ascii="仿宋_GB2312" w:hAnsi="仿宋_GB2312" w:eastAsia="仿宋_GB2312" w:cs="仿宋_GB2312"/>
                <w:color w:val="404040"/>
                <w:kern w:val="0"/>
                <w:sz w:val="28"/>
                <w:szCs w:val="28"/>
              </w:rPr>
            </w:pPr>
            <w:r>
              <w:rPr>
                <w:rFonts w:hint="eastAsia" w:ascii="仿宋_GB2312" w:hAnsi="仿宋_GB2312" w:eastAsia="仿宋_GB2312" w:cs="仿宋_GB2312"/>
                <w:color w:val="404040"/>
                <w:kern w:val="0"/>
                <w:sz w:val="28"/>
                <w:szCs w:val="28"/>
              </w:rPr>
              <w:t>固定训练区大屏展示与现场反馈</w:t>
            </w:r>
          </w:p>
        </w:tc>
        <w:tc>
          <w:tcPr>
            <w:tcW w:w="1418" w:type="dxa"/>
            <w:vAlign w:val="center"/>
          </w:tcPr>
          <w:p w14:paraId="299B31D5">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当前动作与示范展示</w:t>
            </w:r>
          </w:p>
        </w:tc>
        <w:tc>
          <w:tcPr>
            <w:tcW w:w="5488" w:type="dxa"/>
            <w:vAlign w:val="center"/>
          </w:tcPr>
          <w:p w14:paraId="41D3815C">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展示当前训练动作、示范内容、动作要点、训练进度和休息提示，辅助患者同步训练及护士现场教学。大屏作为展示终端，不承担AI识别算力。</w:t>
            </w:r>
          </w:p>
        </w:tc>
      </w:tr>
      <w:tr w14:paraId="28EFC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BCAA171">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27A05913">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4D85EC78">
            <w:pPr>
              <w:widowControl/>
              <w:ind w:firstLine="0" w:firstLineChars="0"/>
              <w:jc w:val="center"/>
              <w:rPr>
                <w:rFonts w:hint="eastAsia" w:ascii="仿宋_GB2312" w:hAnsi="仿宋_GB2312" w:eastAsia="仿宋_GB2312" w:cs="仿宋_GB2312"/>
                <w:color w:val="404040"/>
                <w:kern w:val="0"/>
                <w:sz w:val="28"/>
                <w:szCs w:val="28"/>
              </w:rPr>
            </w:pPr>
          </w:p>
        </w:tc>
        <w:tc>
          <w:tcPr>
            <w:tcW w:w="1418" w:type="dxa"/>
            <w:vAlign w:val="center"/>
          </w:tcPr>
          <w:p w14:paraId="25CD84C6">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分站位实时反馈</w:t>
            </w:r>
          </w:p>
        </w:tc>
        <w:tc>
          <w:tcPr>
            <w:tcW w:w="5488" w:type="dxa"/>
            <w:vAlign w:val="center"/>
          </w:tcPr>
          <w:p w14:paraId="586B56DA">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按站位展示动作达标状态、不规范纠正提示、训练次数、完成情况和异常动作提醒，提供护士现场指导辅助信息。公开展示原则上避免展示患者姓名等身份信息。</w:t>
            </w:r>
          </w:p>
        </w:tc>
      </w:tr>
      <w:tr w14:paraId="124C2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1EBD881">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1FDD85F6">
            <w:pPr>
              <w:ind w:firstLine="560"/>
              <w:jc w:val="center"/>
              <w:rPr>
                <w:rFonts w:hint="eastAsia" w:ascii="仿宋_GB2312" w:hAnsi="仿宋_GB2312" w:eastAsia="仿宋_GB2312" w:cs="仿宋_GB2312"/>
                <w:color w:val="404040"/>
                <w:kern w:val="0"/>
                <w:sz w:val="28"/>
                <w:szCs w:val="28"/>
              </w:rPr>
            </w:pPr>
          </w:p>
        </w:tc>
        <w:tc>
          <w:tcPr>
            <w:tcW w:w="1275" w:type="dxa"/>
            <w:vMerge w:val="restart"/>
            <w:vAlign w:val="center"/>
          </w:tcPr>
          <w:p w14:paraId="1068F195">
            <w:pPr>
              <w:widowControl/>
              <w:ind w:firstLine="0" w:firstLineChars="0"/>
              <w:jc w:val="center"/>
              <w:rPr>
                <w:rFonts w:hint="eastAsia" w:ascii="仿宋_GB2312" w:hAnsi="仿宋_GB2312" w:eastAsia="仿宋_GB2312" w:cs="仿宋_GB2312"/>
                <w:color w:val="404040"/>
                <w:kern w:val="0"/>
                <w:sz w:val="28"/>
                <w:szCs w:val="28"/>
              </w:rPr>
            </w:pPr>
            <w:r>
              <w:rPr>
                <w:rFonts w:hint="eastAsia" w:ascii="仿宋_GB2312" w:hAnsi="仿宋_GB2312" w:eastAsia="仿宋_GB2312" w:cs="仿宋_GB2312"/>
                <w:color w:val="404040"/>
                <w:kern w:val="0"/>
                <w:sz w:val="28"/>
                <w:szCs w:val="28"/>
              </w:rPr>
              <w:t>数据安全与隐私保护</w:t>
            </w:r>
          </w:p>
        </w:tc>
        <w:tc>
          <w:tcPr>
            <w:tcW w:w="1418" w:type="dxa"/>
            <w:vAlign w:val="center"/>
          </w:tcPr>
          <w:p w14:paraId="250891FC">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知情告知及场地授权</w:t>
            </w:r>
          </w:p>
        </w:tc>
        <w:tc>
          <w:tcPr>
            <w:tcW w:w="5488" w:type="dxa"/>
            <w:vAlign w:val="center"/>
          </w:tcPr>
          <w:p w14:paraId="54D53482">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患者端采集数据前应展示采集目的、范围、用途及保存规则，记录授权状态；固定训练区应设置明确告知并完成相应授权管理。提供授权撤回申请渠道，按医院规定处理后续采集及已有数据。</w:t>
            </w:r>
          </w:p>
        </w:tc>
      </w:tr>
      <w:tr w14:paraId="10029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FC34389">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51028C53">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69CE36C6">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271835FA">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最小必要采集与影像保护</w:t>
            </w:r>
          </w:p>
        </w:tc>
        <w:tc>
          <w:tcPr>
            <w:tcW w:w="5488" w:type="dxa"/>
            <w:vAlign w:val="center"/>
          </w:tcPr>
          <w:p w14:paraId="66DB8ECF">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仅采集本项目训练和护理随访所需数据，对身份信息、训练视频、图片及动作数据提供传输和存储保护；媒体访问应进行身份及权限校验，禁止通过无访问控制的公开地址暴露患者影像。</w:t>
            </w:r>
          </w:p>
        </w:tc>
      </w:tr>
      <w:tr w14:paraId="4D12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E66F7B8">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5F3A3432">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56F140A6">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0049FC05">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分级权限与日志审计</w:t>
            </w:r>
          </w:p>
        </w:tc>
        <w:tc>
          <w:tcPr>
            <w:tcW w:w="5488" w:type="dxa"/>
            <w:vAlign w:val="center"/>
          </w:tcPr>
          <w:p w14:paraId="31560BE2">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支持患者、护士、系统管理员等角色分级授权，控制患者查询、影像回看、数据导出、规则修改和权限调整；记录操作人员、时间、对象及结果，保留护士查看、复核和方案调整轨迹。</w:t>
            </w:r>
          </w:p>
        </w:tc>
      </w:tr>
      <w:tr w14:paraId="2741E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DFEE9C7">
            <w:pPr>
              <w:ind w:firstLine="56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175B594D">
            <w:pPr>
              <w:ind w:firstLine="56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267DA8EE">
            <w:pPr>
              <w:ind w:firstLine="560"/>
              <w:jc w:val="center"/>
              <w:rPr>
                <w:rFonts w:hint="eastAsia" w:ascii="仿宋_GB2312" w:hAnsi="仿宋_GB2312" w:eastAsia="仿宋_GB2312" w:cs="仿宋_GB2312"/>
                <w:color w:val="404040"/>
                <w:kern w:val="0"/>
                <w:sz w:val="28"/>
                <w:szCs w:val="28"/>
              </w:rPr>
            </w:pPr>
          </w:p>
        </w:tc>
        <w:tc>
          <w:tcPr>
            <w:tcW w:w="1418" w:type="dxa"/>
            <w:vAlign w:val="center"/>
          </w:tcPr>
          <w:p w14:paraId="3DC670A7">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数据脱敏与科研使用</w:t>
            </w:r>
          </w:p>
        </w:tc>
        <w:tc>
          <w:tcPr>
            <w:tcW w:w="5488" w:type="dxa"/>
            <w:vAlign w:val="center"/>
          </w:tcPr>
          <w:p w14:paraId="00DC875F">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支持按医院审批范围提供脱敏数据及使用记录。含可识别人脸等身份特征的影像，应按其敏感程度进行受控处理，不得仅删除姓名即作为匿名数据使用；未经授权不得用于科研或模型训练。</w:t>
            </w:r>
          </w:p>
        </w:tc>
      </w:tr>
      <w:tr w14:paraId="7AC1D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7218649">
            <w:pPr>
              <w:widowControl/>
              <w:ind w:firstLine="0" w:firstLineChars="0"/>
              <w:jc w:val="left"/>
              <w:rPr>
                <w:rFonts w:hint="eastAsia" w:ascii="仿宋_GB2312" w:hAnsi="仿宋_GB2312" w:eastAsia="仿宋_GB2312" w:cs="仿宋_GB2312"/>
                <w:color w:val="404040"/>
                <w:kern w:val="0"/>
                <w:sz w:val="28"/>
                <w:szCs w:val="28"/>
              </w:rPr>
            </w:pPr>
          </w:p>
        </w:tc>
        <w:tc>
          <w:tcPr>
            <w:tcW w:w="851" w:type="dxa"/>
            <w:vMerge w:val="continue"/>
            <w:vAlign w:val="center"/>
          </w:tcPr>
          <w:p w14:paraId="4C2970E7">
            <w:pPr>
              <w:widowControl/>
              <w:ind w:firstLine="0" w:firstLineChars="0"/>
              <w:jc w:val="center"/>
              <w:rPr>
                <w:rFonts w:hint="eastAsia" w:ascii="仿宋_GB2312" w:hAnsi="仿宋_GB2312" w:eastAsia="仿宋_GB2312" w:cs="仿宋_GB2312"/>
                <w:color w:val="404040"/>
                <w:kern w:val="0"/>
                <w:sz w:val="28"/>
                <w:szCs w:val="28"/>
              </w:rPr>
            </w:pPr>
          </w:p>
        </w:tc>
        <w:tc>
          <w:tcPr>
            <w:tcW w:w="1275" w:type="dxa"/>
            <w:vMerge w:val="continue"/>
            <w:vAlign w:val="center"/>
          </w:tcPr>
          <w:p w14:paraId="6CDD2FF6">
            <w:pPr>
              <w:widowControl/>
              <w:ind w:firstLine="0" w:firstLineChars="0"/>
              <w:jc w:val="center"/>
              <w:rPr>
                <w:rFonts w:hint="eastAsia" w:ascii="仿宋_GB2312" w:hAnsi="仿宋_GB2312" w:eastAsia="仿宋_GB2312" w:cs="仿宋_GB2312"/>
                <w:color w:val="404040"/>
                <w:kern w:val="0"/>
                <w:sz w:val="28"/>
                <w:szCs w:val="28"/>
              </w:rPr>
            </w:pPr>
          </w:p>
        </w:tc>
        <w:tc>
          <w:tcPr>
            <w:tcW w:w="1418" w:type="dxa"/>
            <w:vAlign w:val="center"/>
          </w:tcPr>
          <w:p w14:paraId="7C85D105">
            <w:pPr>
              <w:widowControl/>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第三方服务安全</w:t>
            </w:r>
          </w:p>
        </w:tc>
        <w:tc>
          <w:tcPr>
            <w:tcW w:w="5488" w:type="dxa"/>
            <w:vAlign w:val="center"/>
          </w:tcPr>
          <w:p w14:paraId="34B0B94F">
            <w:pPr>
              <w:widowControl/>
              <w:ind w:firstLine="0" w:firstLineChars="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供应商应列明使用的第三方组件、云服务和AI服务及其数据流向、权限和运行依赖；未经医院批准不得向外部平台传输患者身份、视频、图片及训练数据。远程维护应经医院授权并留痕。</w:t>
            </w:r>
          </w:p>
        </w:tc>
      </w:tr>
    </w:tbl>
    <w:p w14:paraId="66A50147">
      <w:pPr>
        <w:ind w:firstLine="0" w:firstLineChars="0"/>
        <w:rPr>
          <w:rFonts w:hint="eastAsia" w:ascii="仿宋_GB2312" w:hAnsi="仿宋_GB2312" w:eastAsia="仿宋_GB2312" w:cs="仿宋_GB2312"/>
          <w:b/>
          <w:bCs/>
          <w:sz w:val="28"/>
          <w:szCs w:val="28"/>
        </w:rPr>
      </w:pPr>
    </w:p>
    <w:p w14:paraId="52323403">
      <w:pPr>
        <w:ind w:firstLine="0" w:firstLine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三、对接口及系统改造的要求</w:t>
      </w:r>
    </w:p>
    <w:p w14:paraId="3527D6E5">
      <w:pPr>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系统应扩展训练方案、阶段、关卡、动作步骤及专项路径的数据结构，实现患者端与护士后台的任务同步、进度同步、方案调整及暂停恢复状态同步。</w:t>
      </w:r>
    </w:p>
    <w:p w14:paraId="546BE163">
      <w:pPr>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动作识别服务应支持按患者当前训练方案调用适用规则，不得对全部患者使用统一的动作幅度和达标阈值。训练记录应关联方案版本及关卡标识，确保规则调整后仍可追溯历史训练依据。</w:t>
      </w:r>
    </w:p>
    <w:p w14:paraId="4DABD12D">
      <w:pPr>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淋巴水肿、腋网综合征等专项路径的开通，应依据医护确认信息。系统不得仅凭普通摄像头画面或患者自评自动确诊相关并发症；现有AI能力不能可靠评价的专项动作，可采用示范跟练、自评记录及人工复核方式，并明确标注评价方式。</w:t>
      </w:r>
    </w:p>
    <w:p w14:paraId="4E64DF8F">
      <w:pPr>
        <w:ind w:firstLine="0" w:firstLine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四、项目实施要求</w:t>
      </w:r>
    </w:p>
    <w:p w14:paraId="4CA87358">
      <w:pPr>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商应配合医院建立“动作库—教学步骤—训练关卡—阶段路径—专项路径”的内容体系，完成教学素材制作或适配、交互设计、规则配置及功能联调。动作内容、适用条件、活动限制、进阶条件和不适处置提示应由医院指定专业人员审核。</w:t>
      </w:r>
    </w:p>
    <w:p w14:paraId="3E55183B">
      <w:pPr>
        <w:ind w:firstLine="560"/>
        <w:rPr>
          <w:rFonts w:hint="eastAsia" w:ascii="仿宋_GB2312" w:hAnsi="仿宋_GB2312" w:eastAsia="仿宋_GB2312" w:cs="仿宋_GB2312"/>
          <w:b/>
          <w:bCs/>
          <w:sz w:val="28"/>
          <w:szCs w:val="28"/>
        </w:rPr>
      </w:pPr>
      <w:r>
        <w:rPr>
          <w:rFonts w:hint="eastAsia" w:ascii="仿宋_GB2312" w:hAnsi="仿宋_GB2312" w:eastAsia="仿宋_GB2312" w:cs="仿宋_GB2312"/>
          <w:sz w:val="28"/>
          <w:szCs w:val="28"/>
        </w:rPr>
        <w:t>实施前应确认首期关卡数量、教学素材数量及制作责任，明确淋巴水肿、腋网综合征两类专项路径各自包含的动作和功能，并逐项标明采用AI识别、患者自评或人工复核的评价方式。新增AI识别动作应同步明确开发范围、测试条件和验收方法。</w:t>
      </w:r>
    </w:p>
    <w:p w14:paraId="2FA42CDB">
      <w:pPr>
        <w:pStyle w:val="2"/>
        <w:spacing w:before="0" w:beforeLines="0" w:after="0" w:afterLines="0"/>
        <w:ind w:firstLine="0" w:firstLineChars="0"/>
        <w:rPr>
          <w:rFonts w:hint="eastAsia" w:ascii="仿宋_GB2312" w:hAnsi="仿宋_GB2312" w:eastAsia="仿宋_GB2312" w:cs="仿宋_GB2312"/>
          <w:bCs w:val="0"/>
          <w:sz w:val="28"/>
          <w:szCs w:val="28"/>
        </w:rPr>
      </w:pPr>
      <w:r>
        <w:rPr>
          <w:rFonts w:hint="eastAsia" w:ascii="仿宋_GB2312" w:hAnsi="仿宋_GB2312" w:eastAsia="仿宋_GB2312" w:cs="仿宋_GB2312"/>
          <w:bCs w:val="0"/>
          <w:sz w:val="28"/>
          <w:szCs w:val="28"/>
        </w:rPr>
        <w:t>五、售后服务及其他要求</w:t>
      </w:r>
    </w:p>
    <w:p w14:paraId="4859A2C0">
      <w:pPr>
        <w:ind w:firstLine="56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5.1自本项目整体最终验收之日起，所有产品要求提供三年的免费质保服务。含软硬件维护和系统软件升级、系统BUG及漏洞修复、技术支持服务、系统管理及操作培训服务，免费提供系统个性化修改需求。请详细说明售后服务的内容。</w:t>
      </w:r>
    </w:p>
    <w:p w14:paraId="31C58DBF">
      <w:pPr>
        <w:ind w:firstLine="56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5.2安装调试要求：免费送货上门、安装调试、提供完善的设备及软件系统使用中文操作手册、图纸、网络详细拓扑图、系统配置、功能配置、设备配置及互联记录。</w:t>
      </w:r>
    </w:p>
    <w:p w14:paraId="02DBA4BE">
      <w:pPr>
        <w:ind w:firstLine="56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5.3原厂技术人员免费提供售后服务，含电话支持、现场响应、远程操作、网上客服中心等多种方式服务，应做到7×24小时全天候电话或微信等常用联系方式响应。</w:t>
      </w:r>
      <w:bookmarkStart w:id="0" w:name="_Toc507405798"/>
      <w:r>
        <w:rPr>
          <w:rFonts w:hint="eastAsia" w:ascii="仿宋_GB2312" w:hAnsi="仿宋_GB2312" w:eastAsia="仿宋_GB2312" w:cs="仿宋_GB2312"/>
          <w:sz w:val="28"/>
          <w:szCs w:val="28"/>
        </w:rPr>
        <w:t>当出现故障时，接到故障通知后，原厂技术人员应在30分钟内响应，远程技术支持无法解决的，6小时内需到达现场处理修复，并调查分析事故原因，如现场仍不能解决问题，需24小时内免费提供同档次或更高档次的备用设备解决问题。</w:t>
      </w:r>
    </w:p>
    <w:p w14:paraId="3F4BC405">
      <w:pPr>
        <w:ind w:firstLine="56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5.4供应商提供原厂技术人员巡检服务，通过电话或其他方式访问用户，了解产品使用情况及网络安全情况：按院方要求巡检（国家法定节假日前巡检），并形成巡检报告（内容涉及此产品服务器\相关设备的运行情况）反馈给我院。</w:t>
      </w:r>
    </w:p>
    <w:p w14:paraId="58ABDA18">
      <w:pPr>
        <w:pStyle w:val="30"/>
        <w:ind w:left="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5.5免费系统改造，支持信创电脑和服务器。</w:t>
      </w:r>
    </w:p>
    <w:p w14:paraId="53DAB93D">
      <w:pPr>
        <w:pStyle w:val="11"/>
        <w:spacing w:after="0" w:line="278" w:lineRule="auto"/>
        <w:ind w:firstLine="562"/>
        <w:rPr>
          <w:rFonts w:hint="eastAsia" w:ascii="仿宋_GB2312" w:hAnsi="仿宋_GB2312" w:eastAsia="仿宋_GB2312" w:cs="仿宋_GB2312"/>
          <w:b/>
          <w:bCs/>
          <w:sz w:val="28"/>
          <w:szCs w:val="28"/>
          <w:lang w:val="en-US"/>
        </w:rPr>
      </w:pPr>
      <w:r>
        <w:rPr>
          <w:rFonts w:hint="eastAsia" w:ascii="仿宋_GB2312" w:hAnsi="仿宋_GB2312" w:eastAsia="仿宋_GB2312" w:cs="仿宋_GB2312"/>
          <w:b/>
          <w:bCs/>
          <w:sz w:val="28"/>
          <w:szCs w:val="28"/>
          <w:lang w:val="en-US"/>
        </w:rPr>
        <w:t>六、违约责任</w:t>
      </w:r>
    </w:p>
    <w:p w14:paraId="09012FEE">
      <w:pPr>
        <w:ind w:firstLine="56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6.1投标方所提供的软/硬件规格、技术标准、材料等质量不合格的，应及时更换，更换不及时的按逾期交付处罚；因质量问题我院不同意接收，投标方应向我院支付违约货款额5%违约金并赔偿我院经济损失。</w:t>
      </w:r>
    </w:p>
    <w:p w14:paraId="0D987DFA">
      <w:pPr>
        <w:ind w:firstLine="56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6.2若投标方提供的产品或软件侵犯了第三方合法权益而引发的任何纠纷或诉讼，均由投标方负责交涉并承担全部责任。</w:t>
      </w:r>
    </w:p>
    <w:p w14:paraId="2E25A25C">
      <w:pPr>
        <w:ind w:firstLine="56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6.3投标方逾期交付的，每天向甲方偿付违约货款额3‰违约金，但违约金累计不得超过违约货款额5%，超过30天对方有权解除合同，违约方承担因此给对方造成的经济损失；</w:t>
      </w:r>
    </w:p>
    <w:p w14:paraId="74D26249">
      <w:pPr>
        <w:pStyle w:val="11"/>
        <w:spacing w:after="0" w:line="278" w:lineRule="auto"/>
        <w:ind w:firstLine="480"/>
        <w:rPr>
          <w:rFonts w:hint="eastAsia"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6.4售后服务违约：</w:t>
      </w:r>
    </w:p>
    <w:p w14:paraId="46117392">
      <w:pPr>
        <w:pStyle w:val="11"/>
        <w:spacing w:after="0" w:line="278" w:lineRule="auto"/>
        <w:ind w:firstLine="480"/>
        <w:rPr>
          <w:rFonts w:hint="eastAsia"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6.4.1不能按本技术参数文档第5.3要求中按时提供设备备件的，故障上报24小时不能免费提供同档次或更高档次的备用设备解决问题，每超期一天，按500元/天向甲方支付违约金；</w:t>
      </w:r>
    </w:p>
    <w:p w14:paraId="268B74FE">
      <w:pPr>
        <w:pStyle w:val="11"/>
        <w:spacing w:after="0" w:line="278" w:lineRule="auto"/>
        <w:ind w:firstLine="480"/>
        <w:rPr>
          <w:rFonts w:hint="eastAsia"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6.4.2投标方未按本技术要求和响应文件中规定的其他服务承诺提供售后服务的，每次投标方应按合同合计金额的5% 向甲方支付违约金。</w:t>
      </w:r>
    </w:p>
    <w:p w14:paraId="4F13FCA7">
      <w:pPr>
        <w:pStyle w:val="11"/>
        <w:spacing w:after="0" w:line="278" w:lineRule="auto"/>
        <w:ind w:firstLine="480"/>
        <w:rPr>
          <w:rFonts w:hint="eastAsia" w:ascii="仿宋_GB2312" w:hAnsi="仿宋_GB2312" w:eastAsia="仿宋_GB2312" w:cs="仿宋_GB2312"/>
          <w:sz w:val="28"/>
          <w:szCs w:val="28"/>
          <w:lang w:val="en-US"/>
        </w:rPr>
      </w:pPr>
      <w:r>
        <w:rPr>
          <w:rFonts w:hint="eastAsia" w:ascii="仿宋_GB2312" w:hAnsi="仿宋_GB2312" w:eastAsia="仿宋_GB2312" w:cs="仿宋_GB2312"/>
          <w:sz w:val="28"/>
          <w:szCs w:val="28"/>
        </w:rPr>
        <w:t>6.</w:t>
      </w:r>
      <w:r>
        <w:rPr>
          <w:rFonts w:hint="eastAsia" w:ascii="仿宋_GB2312" w:hAnsi="仿宋_GB2312" w:eastAsia="仿宋_GB2312" w:cs="仿宋_GB2312"/>
          <w:sz w:val="28"/>
          <w:szCs w:val="28"/>
          <w:lang w:val="en-US"/>
        </w:rPr>
        <w:t>5</w:t>
      </w:r>
      <w:r>
        <w:rPr>
          <w:rFonts w:hint="eastAsia" w:ascii="仿宋_GB2312" w:hAnsi="仿宋_GB2312" w:eastAsia="仿宋_GB2312" w:cs="仿宋_GB2312"/>
          <w:sz w:val="28"/>
          <w:szCs w:val="28"/>
        </w:rPr>
        <w:t>合同签订后7个工作日内进场实施，每个模块计划实施周期需在合同内写明。因软件提供商原因逾期不进场实施的，需按每天向院方支付合同款金额3‰作为违约金，超过30天，甲有权解除合同，乙方需承担因此给院方造成的经济损失；</w:t>
      </w:r>
      <w:r>
        <w:rPr>
          <w:rFonts w:hint="eastAsia" w:ascii="仿宋_GB2312" w:hAnsi="仿宋_GB2312" w:eastAsia="仿宋_GB2312" w:cs="仿宋_GB2312"/>
          <w:sz w:val="28"/>
          <w:szCs w:val="28"/>
          <w:lang w:val="en-US"/>
        </w:rPr>
        <w:t>不能按照合同约定上线期限完成，需要书面申请说明原因，得到医院书面同意后最多延期一个月，否则（或者延期一个月后）按每超期7天（一周）从总合同金额扣除5%的违约金。扣除比例达到总合同金额的50%及以上的，视为乙方违约，甲方有权单方面解除合同，并要求乙方退回所有医院已支付款项，同时按合同总金额的20%做为违约金支付给甲方。</w:t>
      </w:r>
    </w:p>
    <w:p w14:paraId="4CD07E57">
      <w:pPr>
        <w:pStyle w:val="11"/>
        <w:spacing w:after="0" w:line="278" w:lineRule="auto"/>
        <w:ind w:firstLine="480"/>
        <w:rPr>
          <w:rFonts w:hint="eastAsia"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6.6任何一方违反本技术要求中“保密、廉洁条款”要求的，应承担相应的违约责任并赔偿由此造成的损失，损失累计金额超过合同款项的5%的，损失方同时有权终止合同并收回已付款项。</w:t>
      </w:r>
    </w:p>
    <w:p w14:paraId="758BAA1E">
      <w:pPr>
        <w:pStyle w:val="11"/>
        <w:spacing w:after="0" w:line="278" w:lineRule="auto"/>
        <w:ind w:firstLine="480"/>
        <w:rPr>
          <w:rFonts w:hint="eastAsia"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6.7厂商方未按本技术要求和响应文件中规定的其他服务承诺提供售后服务的，按损失情况，每次应按合同合计金额的0.1‰-0.1%由乙方向甲方支付违约金，损失累计金额超过合同款项的5%的，损失方同时有权终止合同并收回已付款项。</w:t>
      </w:r>
    </w:p>
    <w:p w14:paraId="0A0A2AED">
      <w:pPr>
        <w:pStyle w:val="11"/>
        <w:spacing w:after="0" w:line="278" w:lineRule="auto"/>
        <w:ind w:firstLine="480"/>
        <w:rPr>
          <w:rFonts w:hint="eastAsia"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6.8厂商不得在提供的硬件及软件系统中设置包括且不限于如：软硬件加密狗、加密软件、时间锁、授权码等限制硬件及软件系统正常运行的措施，如有特殊需要必须提交纸质文件说明，经过我院签字同意才可设置，否则视为乙方违约，乙方需要支付医院违约金</w:t>
      </w:r>
      <w:r>
        <w:rPr>
          <w:rFonts w:hint="eastAsia" w:ascii="仿宋_GB2312" w:hAnsi="仿宋_GB2312" w:eastAsia="仿宋_GB2312" w:cs="仿宋_GB2312"/>
          <w:color w:val="auto"/>
          <w:kern w:val="2"/>
          <w:sz w:val="28"/>
          <w:szCs w:val="28"/>
          <w:lang w:val="en-US"/>
        </w:rPr>
        <w:t>200</w:t>
      </w:r>
      <w:r>
        <w:rPr>
          <w:rFonts w:hint="eastAsia" w:ascii="仿宋_GB2312" w:hAnsi="仿宋_GB2312" w:eastAsia="仿宋_GB2312" w:cs="仿宋_GB2312"/>
          <w:color w:val="auto"/>
          <w:kern w:val="2"/>
          <w:sz w:val="28"/>
          <w:szCs w:val="28"/>
          <w:lang w:val="en-US" w:eastAsia="zh-CN"/>
        </w:rPr>
        <w:t>,</w:t>
      </w:r>
      <w:r>
        <w:rPr>
          <w:rFonts w:hint="eastAsia" w:ascii="仿宋_GB2312" w:hAnsi="仿宋_GB2312" w:eastAsia="仿宋_GB2312" w:cs="仿宋_GB2312"/>
          <w:color w:val="auto"/>
          <w:kern w:val="2"/>
          <w:sz w:val="28"/>
          <w:szCs w:val="28"/>
          <w:lang w:val="en-US"/>
        </w:rPr>
        <w:t>000元（贰拾万元</w:t>
      </w:r>
      <w:r>
        <w:rPr>
          <w:rFonts w:hint="eastAsia" w:ascii="仿宋_GB2312" w:hAnsi="仿宋_GB2312" w:eastAsia="仿宋_GB2312" w:cs="仿宋_GB2312"/>
          <w:kern w:val="2"/>
          <w:sz w:val="28"/>
          <w:szCs w:val="28"/>
          <w:lang w:val="en-US"/>
        </w:rPr>
        <w:t>），在此基础上医院有权要求乙方退回甲方已支付的所有款项。如对医院造成损失的，甲方有权要求乙方赔偿。</w:t>
      </w:r>
    </w:p>
    <w:p w14:paraId="431D7A79">
      <w:pPr>
        <w:pStyle w:val="11"/>
        <w:spacing w:after="0" w:line="278" w:lineRule="auto"/>
        <w:ind w:firstLine="480"/>
        <w:rPr>
          <w:rFonts w:hint="eastAsia"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6.9厂商驻场工程师人员变更必须得到医院书面同意，否则视为乙方违约，甲方有权按5000元/人/次从合同总款中扣除。</w:t>
      </w:r>
    </w:p>
    <w:p w14:paraId="5CF04C85">
      <w:pPr>
        <w:pStyle w:val="11"/>
        <w:spacing w:after="0" w:line="278" w:lineRule="auto"/>
        <w:ind w:firstLine="480"/>
        <w:rPr>
          <w:rFonts w:hint="eastAsia"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6.10如合同乙方非软件提供商，软件提供商需承担连带责任，即本技术参数中对乙方的所有约束要求、违约条件均等同于对软件提供商的要求，甲方在追究乙方违约责任的同时可以同步追究软件提供商同等责任，乙方在投标时必须提供软件提供商的售后服务承诺书原件（须加盖软件提供商公章）。</w:t>
      </w:r>
    </w:p>
    <w:bookmarkEnd w:id="0"/>
    <w:p w14:paraId="09B47EFC">
      <w:pPr>
        <w:pStyle w:val="11"/>
        <w:spacing w:after="0" w:line="278" w:lineRule="auto"/>
        <w:ind w:firstLine="562"/>
        <w:rPr>
          <w:rFonts w:hint="eastAsia" w:ascii="仿宋_GB2312" w:hAnsi="仿宋_GB2312" w:eastAsia="仿宋_GB2312" w:cs="仿宋_GB2312"/>
          <w:b/>
          <w:bCs/>
          <w:sz w:val="28"/>
          <w:szCs w:val="28"/>
          <w:lang w:val="en-US"/>
        </w:rPr>
      </w:pPr>
      <w:bookmarkStart w:id="1" w:name="_Toc507405799"/>
      <w:bookmarkStart w:id="2" w:name="_Toc507405800"/>
      <w:r>
        <w:rPr>
          <w:rFonts w:hint="eastAsia" w:ascii="仿宋_GB2312" w:hAnsi="仿宋_GB2312" w:eastAsia="仿宋_GB2312" w:cs="仿宋_GB2312"/>
          <w:b/>
          <w:bCs/>
          <w:sz w:val="28"/>
          <w:szCs w:val="28"/>
          <w:lang w:val="en-US"/>
        </w:rPr>
        <w:t>七、保密、廉洁协议</w:t>
      </w:r>
    </w:p>
    <w:p w14:paraId="6C7835E7">
      <w:pPr>
        <w:ind w:firstLine="56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7.1双方保证对从另一方取得且无法自公开渠道获得的商业秘密(技术信息、经营信息及其他商业秘密）予以保密。未经该商业秘密的提供方同意，一方不得向任何第三方泄露该商业秘密的全部或部分内容，但法律、法规另有规定或双方另有约定的除外。任何一方违反保密义务的，应承担相应的违约责任并赔偿由此造成的损失。</w:t>
      </w:r>
    </w:p>
    <w:p w14:paraId="5AB8CD23">
      <w:pPr>
        <w:ind w:firstLine="56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7.2双方不得以任何方式向第三方泄露本项目的软件技术、设计方案以及功能配置等内容。</w:t>
      </w:r>
    </w:p>
    <w:p w14:paraId="7EA2990B">
      <w:pPr>
        <w:ind w:firstLine="56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7.3不以任何方式向第三方泄露在本协议开发实施过程中获取的经济、技术、数据以及双方其他非公开的信息。</w:t>
      </w:r>
    </w:p>
    <w:p w14:paraId="3ED63953">
      <w:pPr>
        <w:ind w:firstLine="56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7.4不从事商业贿赂行为，遵守廉洁协议或相关规定。甲方发现乙方有违反廉洁协议或相关规定采用不正当手段进行不正当竞争行为的，或被有关部门生效文书认定有行贿或者受贿行为的，甲方有权解除该业务合同，由此给甲方造成的损失以及发生的一切费用均由乙方承担，甲方有权对乙方实施商业贿赂不良记录，列入“黑名单”，并三年内取消其业务往来资格。</w:t>
      </w:r>
    </w:p>
    <w:p w14:paraId="3AF01764">
      <w:pPr>
        <w:ind w:firstLine="56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7.5保密期限自本合同生效之日起永久有效，如乙方需解除保密协议需向甲方提出书面申请，双方协商同意签字确认后方可解除。</w:t>
      </w:r>
    </w:p>
    <w:p w14:paraId="27BE3A4F">
      <w:pPr>
        <w:pStyle w:val="11"/>
        <w:spacing w:after="0" w:line="278" w:lineRule="auto"/>
        <w:ind w:firstLine="562"/>
        <w:rPr>
          <w:rFonts w:hint="eastAsia" w:ascii="仿宋_GB2312" w:hAnsi="仿宋_GB2312" w:eastAsia="仿宋_GB2312" w:cs="仿宋_GB2312"/>
          <w:b/>
          <w:bCs/>
          <w:sz w:val="28"/>
          <w:szCs w:val="28"/>
          <w:lang w:val="en-US"/>
        </w:rPr>
      </w:pPr>
      <w:r>
        <w:rPr>
          <w:rFonts w:hint="eastAsia" w:ascii="仿宋_GB2312" w:hAnsi="仿宋_GB2312" w:eastAsia="仿宋_GB2312" w:cs="仿宋_GB2312"/>
          <w:b/>
          <w:bCs/>
          <w:sz w:val="28"/>
          <w:szCs w:val="28"/>
          <w:lang w:val="en-US"/>
        </w:rPr>
        <w:t>八、报价</w:t>
      </w:r>
    </w:p>
    <w:p w14:paraId="47CFC084">
      <w:pPr>
        <w:pStyle w:val="11"/>
        <w:spacing w:after="0" w:line="278" w:lineRule="auto"/>
        <w:ind w:firstLine="48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rPr>
        <w:t>8.1竞标文件应提供技术偏离表、服务偏离表，并详细说明技术和服务内容，按系统模块分项报价。报价应包含系统软件、项目明确列明的摄像机及安装辅材、安装调试、部署实施、培训、约定服务期内的软件升级及维护、接口对接（包括本项目约定范围内第三方厂家的接口费）等履行合同所需的全部费用。本项目不包含算力设备、服务器、存储设备及大屏显示终端等硬件的采购费用，相关资源由医院提供，供应商应明确资源配置要求，并负责配合部署、配置及联调。</w:t>
      </w:r>
    </w:p>
    <w:p w14:paraId="08195D4D">
      <w:pPr>
        <w:pStyle w:val="11"/>
        <w:spacing w:after="0" w:line="278" w:lineRule="auto"/>
        <w:ind w:firstLine="48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rPr>
        <w:t>8.2</w:t>
      </w:r>
      <w:r>
        <w:rPr>
          <w:rFonts w:hint="eastAsia" w:ascii="仿宋_GB2312" w:hAnsi="仿宋_GB2312" w:eastAsia="仿宋_GB2312" w:cs="仿宋_GB2312"/>
          <w:sz w:val="28"/>
          <w:szCs w:val="28"/>
        </w:rPr>
        <w:t>竞标文件需提供维保期方案及报价。</w:t>
      </w:r>
    </w:p>
    <w:p w14:paraId="501D022D">
      <w:pPr>
        <w:pStyle w:val="11"/>
        <w:spacing w:after="0" w:line="278" w:lineRule="auto"/>
        <w:ind w:firstLine="48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rPr>
        <w:t>8.3</w:t>
      </w:r>
      <w:r>
        <w:rPr>
          <w:rFonts w:hint="eastAsia" w:ascii="仿宋_GB2312" w:hAnsi="仿宋_GB2312" w:eastAsia="仿宋_GB2312" w:cs="仿宋_GB2312"/>
          <w:sz w:val="28"/>
          <w:szCs w:val="28"/>
        </w:rPr>
        <w:t>竞标文件需提供系统详细图文介绍。系统实施验收参照本技术文档及竞标文件提供的图文介绍为依据。</w:t>
      </w:r>
    </w:p>
    <w:p w14:paraId="03E962D3">
      <w:pPr>
        <w:ind w:firstLine="56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8.4如项目功能二次开发内容涉及我院采购的第三方产品，请在标书内标明哪些功能的实现需要二次开发接口。</w:t>
      </w:r>
    </w:p>
    <w:p w14:paraId="2B80F067">
      <w:pPr>
        <w:pStyle w:val="2"/>
        <w:spacing w:before="0" w:beforeLines="0" w:after="0" w:afterLines="0"/>
        <w:ind w:firstLine="0" w:firstLineChars="0"/>
        <w:rPr>
          <w:rFonts w:hint="eastAsia" w:ascii="仿宋_GB2312" w:hAnsi="仿宋_GB2312" w:eastAsia="仿宋_GB2312" w:cs="仿宋_GB2312"/>
          <w:bCs w:val="0"/>
          <w:sz w:val="28"/>
          <w:szCs w:val="28"/>
        </w:rPr>
      </w:pPr>
      <w:r>
        <w:rPr>
          <w:rFonts w:hint="eastAsia" w:ascii="仿宋_GB2312" w:hAnsi="仿宋_GB2312" w:eastAsia="仿宋_GB2312" w:cs="仿宋_GB2312"/>
          <w:bCs w:val="0"/>
          <w:sz w:val="28"/>
          <w:szCs w:val="28"/>
        </w:rPr>
        <w:t>九、付款方式</w:t>
      </w:r>
      <w:bookmarkEnd w:id="1"/>
    </w:p>
    <w:bookmarkEnd w:id="2"/>
    <w:p w14:paraId="0C93584B">
      <w:pPr>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项目双方签订合同，项目上线稳定运行1个月后，启动系统上线验收，上线验收合格后，甲方支付合同总金额</w:t>
      </w:r>
      <w:r>
        <w:rPr>
          <w:rFonts w:hint="eastAsia" w:ascii="仿宋_GB2312" w:hAnsi="仿宋_GB2312" w:cs="仿宋_GB2312"/>
          <w:sz w:val="28"/>
          <w:szCs w:val="28"/>
          <w:lang w:val="en-US" w:eastAsia="zh-CN"/>
        </w:rPr>
        <w:t>的</w:t>
      </w:r>
      <w:r>
        <w:rPr>
          <w:rFonts w:hint="eastAsia" w:ascii="仿宋_GB2312" w:hAnsi="仿宋_GB2312" w:eastAsia="仿宋_GB2312" w:cs="仿宋_GB2312"/>
          <w:sz w:val="28"/>
          <w:szCs w:val="28"/>
        </w:rPr>
        <w:t>50% ；合同中所有功能及模块实施完毕，启动项目验收，验收合格后乙方开具</w:t>
      </w:r>
      <w:r>
        <w:rPr>
          <w:rFonts w:hint="eastAsia" w:ascii="仿宋_GB2312" w:hAnsi="仿宋_GB2312" w:cs="仿宋_GB2312"/>
          <w:sz w:val="28"/>
          <w:szCs w:val="28"/>
          <w:lang w:val="en-US" w:eastAsia="zh-CN"/>
        </w:rPr>
        <w:t>10</w:t>
      </w:r>
      <w:r>
        <w:rPr>
          <w:rFonts w:hint="eastAsia" w:ascii="仿宋_GB2312" w:hAnsi="仿宋_GB2312" w:eastAsia="仿宋_GB2312" w:cs="仿宋_GB2312"/>
          <w:sz w:val="28"/>
          <w:szCs w:val="28"/>
        </w:rPr>
        <w:t>0%金额发票，甲方支付合同总金额</w:t>
      </w:r>
      <w:r>
        <w:rPr>
          <w:rFonts w:hint="eastAsia" w:ascii="仿宋_GB2312" w:hAnsi="仿宋_GB2312" w:cs="仿宋_GB2312"/>
          <w:sz w:val="28"/>
          <w:szCs w:val="28"/>
          <w:lang w:val="en-US" w:eastAsia="zh-CN"/>
        </w:rPr>
        <w:t>的50%</w:t>
      </w:r>
      <w:bookmarkStart w:id="3" w:name="_GoBack"/>
      <w:bookmarkEnd w:id="3"/>
      <w:r>
        <w:rPr>
          <w:rFonts w:hint="eastAsia" w:ascii="仿宋_GB2312" w:hAnsi="仿宋_GB2312" w:eastAsia="仿宋_GB2312" w:cs="仿宋_GB2312"/>
          <w:sz w:val="28"/>
          <w:szCs w:val="28"/>
        </w:rPr>
        <w:t>。若甲方使用的是财政资金，合同规定的付款时间为甲方向政府采购支付部门提出办理财政支付申请手续的时间（不含政府财政支付部门审核的时间），甲方在规定时间内提出支付申请手续后即视为甲方已经按期支付。资金到账时间以财政部门资金审批进度为准，若有其它特殊情况，由双方共同协商。</w:t>
      </w:r>
    </w:p>
    <w:p w14:paraId="527C39FE">
      <w:pPr>
        <w:ind w:firstLine="0" w:firstLineChars="0"/>
        <w:rPr>
          <w:rFonts w:hint="eastAsia" w:ascii="宋体" w:hAnsi="宋体" w:eastAsia="宋体"/>
          <w:b/>
          <w:bCs/>
          <w:sz w:val="28"/>
          <w:szCs w:val="28"/>
        </w:rPr>
      </w:pPr>
    </w:p>
    <w:sectPr>
      <w:pgSz w:w="11906" w:h="16838"/>
      <w:pgMar w:top="1440" w:right="1080" w:bottom="1440" w:left="1080"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ind w:firstLine="480"/>
      </w:pPr>
      <w:r>
        <w:separator/>
      </w:r>
    </w:p>
  </w:footnote>
  <w:footnote w:type="continuationSeparator" w:id="1">
    <w:p>
      <w:pPr>
        <w:spacing w:before="0" w:after="0" w:line="278"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433B6D"/>
    <w:multiLevelType w:val="multilevel"/>
    <w:tmpl w:val="46433B6D"/>
    <w:lvl w:ilvl="0" w:tentative="0">
      <w:start w:val="1"/>
      <w:numFmt w:val="decimal"/>
      <w:pStyle w:val="4"/>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871"/>
    <w:rsid w:val="000575B9"/>
    <w:rsid w:val="000A0F00"/>
    <w:rsid w:val="00124511"/>
    <w:rsid w:val="00191C9D"/>
    <w:rsid w:val="0021377D"/>
    <w:rsid w:val="00255A82"/>
    <w:rsid w:val="0028524D"/>
    <w:rsid w:val="002F4006"/>
    <w:rsid w:val="003352BD"/>
    <w:rsid w:val="00363BEC"/>
    <w:rsid w:val="003918C1"/>
    <w:rsid w:val="003F7D7D"/>
    <w:rsid w:val="00411BC5"/>
    <w:rsid w:val="00457A72"/>
    <w:rsid w:val="00511459"/>
    <w:rsid w:val="00547765"/>
    <w:rsid w:val="00596820"/>
    <w:rsid w:val="005C4856"/>
    <w:rsid w:val="00791204"/>
    <w:rsid w:val="00822BCC"/>
    <w:rsid w:val="00841187"/>
    <w:rsid w:val="00843E9B"/>
    <w:rsid w:val="00865B20"/>
    <w:rsid w:val="00885135"/>
    <w:rsid w:val="008A2C5C"/>
    <w:rsid w:val="008D03B2"/>
    <w:rsid w:val="008D6D01"/>
    <w:rsid w:val="00913BB2"/>
    <w:rsid w:val="009147B8"/>
    <w:rsid w:val="00982F8C"/>
    <w:rsid w:val="009A00F8"/>
    <w:rsid w:val="00A9728B"/>
    <w:rsid w:val="00B82898"/>
    <w:rsid w:val="00BB57BD"/>
    <w:rsid w:val="00BE7481"/>
    <w:rsid w:val="00C04871"/>
    <w:rsid w:val="00C56678"/>
    <w:rsid w:val="00CD1C6A"/>
    <w:rsid w:val="00D11A53"/>
    <w:rsid w:val="00D66938"/>
    <w:rsid w:val="00D92EE5"/>
    <w:rsid w:val="00DD2BBD"/>
    <w:rsid w:val="00EF1B80"/>
    <w:rsid w:val="00F54C14"/>
    <w:rsid w:val="00FB0176"/>
    <w:rsid w:val="00FC0582"/>
    <w:rsid w:val="00FE1B7F"/>
    <w:rsid w:val="00FF1CFA"/>
    <w:rsid w:val="04854128"/>
    <w:rsid w:val="0778608B"/>
    <w:rsid w:val="0B974E6D"/>
    <w:rsid w:val="15D1541F"/>
    <w:rsid w:val="18934C0E"/>
    <w:rsid w:val="1B1F6C2C"/>
    <w:rsid w:val="26B172D2"/>
    <w:rsid w:val="29852351"/>
    <w:rsid w:val="2CCC5957"/>
    <w:rsid w:val="2E1B3283"/>
    <w:rsid w:val="2F48454C"/>
    <w:rsid w:val="34D16D92"/>
    <w:rsid w:val="350E5DAF"/>
    <w:rsid w:val="3D361B23"/>
    <w:rsid w:val="40F2256A"/>
    <w:rsid w:val="41AE7F1F"/>
    <w:rsid w:val="45877724"/>
    <w:rsid w:val="45FF375F"/>
    <w:rsid w:val="46753A21"/>
    <w:rsid w:val="51621046"/>
    <w:rsid w:val="526A6404"/>
    <w:rsid w:val="57B41ECF"/>
    <w:rsid w:val="5D5A7075"/>
    <w:rsid w:val="60A56859"/>
    <w:rsid w:val="61812E22"/>
    <w:rsid w:val="65186AA8"/>
    <w:rsid w:val="6A0E629C"/>
    <w:rsid w:val="6B4E646B"/>
    <w:rsid w:val="6BE40B7D"/>
    <w:rsid w:val="71D0222D"/>
    <w:rsid w:val="72501BF8"/>
    <w:rsid w:val="72A72905"/>
    <w:rsid w:val="7F1211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78" w:lineRule="auto"/>
      <w:ind w:firstLine="200" w:firstLineChars="200"/>
      <w:jc w:val="both"/>
    </w:pPr>
    <w:rPr>
      <w:rFonts w:ascii="Times New Roman" w:hAnsi="Times New Roman" w:eastAsia="仿宋_GB2312" w:cstheme="minorBidi"/>
      <w:kern w:val="2"/>
      <w:sz w:val="24"/>
      <w:szCs w:val="24"/>
      <w:lang w:val="en-US" w:eastAsia="zh-CN" w:bidi="ar-SA"/>
      <w14:ligatures w14:val="none"/>
    </w:rPr>
  </w:style>
  <w:style w:type="paragraph" w:styleId="2">
    <w:name w:val="heading 1"/>
    <w:basedOn w:val="1"/>
    <w:next w:val="1"/>
    <w:link w:val="17"/>
    <w:qFormat/>
    <w:uiPriority w:val="9"/>
    <w:pPr>
      <w:spacing w:before="50" w:beforeLines="50" w:after="50" w:afterLines="50"/>
      <w:jc w:val="left"/>
      <w:outlineLvl w:val="0"/>
    </w:pPr>
    <w:rPr>
      <w:rFonts w:ascii="宋体" w:hAnsi="宋体" w:eastAsia="方正小标宋简体" w:cs="Times New Roman"/>
      <w:b/>
      <w:bCs/>
      <w:kern w:val="44"/>
      <w:sz w:val="32"/>
      <w:szCs w:val="48"/>
    </w:rPr>
  </w:style>
  <w:style w:type="paragraph" w:styleId="3">
    <w:name w:val="heading 2"/>
    <w:basedOn w:val="1"/>
    <w:next w:val="1"/>
    <w:link w:val="18"/>
    <w:unhideWhenUsed/>
    <w:qFormat/>
    <w:uiPriority w:val="9"/>
    <w:pPr>
      <w:tabs>
        <w:tab w:val="left" w:pos="426"/>
        <w:tab w:val="left" w:pos="993"/>
      </w:tabs>
      <w:spacing w:before="50" w:beforeLines="50" w:after="50" w:afterLines="50"/>
      <w:ind w:firstLine="0" w:firstLineChars="0"/>
      <w:jc w:val="left"/>
      <w:outlineLvl w:val="1"/>
    </w:pPr>
    <w:rPr>
      <w:rFonts w:ascii="宋体" w:hAnsi="宋体"/>
      <w:b/>
      <w:bCs/>
      <w:sz w:val="28"/>
      <w:szCs w:val="36"/>
      <w14:ligatures w14:val="standardContextual"/>
    </w:rPr>
  </w:style>
  <w:style w:type="paragraph" w:styleId="4">
    <w:name w:val="heading 3"/>
    <w:basedOn w:val="1"/>
    <w:next w:val="1"/>
    <w:link w:val="20"/>
    <w:unhideWhenUsed/>
    <w:qFormat/>
    <w:uiPriority w:val="9"/>
    <w:pPr>
      <w:keepNext/>
      <w:keepLines/>
      <w:numPr>
        <w:ilvl w:val="0"/>
        <w:numId w:val="1"/>
      </w:numPr>
      <w:ind w:firstLine="0" w:firstLineChars="0"/>
      <w:outlineLvl w:val="2"/>
    </w:pPr>
    <w:rPr>
      <w:rFonts w:asciiTheme="minorHAnsi" w:hAnsiTheme="minorHAnsi"/>
      <w14:ligatures w14:val="standardContextual"/>
    </w:rPr>
  </w:style>
  <w:style w:type="paragraph" w:styleId="5">
    <w:name w:val="heading 4"/>
    <w:basedOn w:val="1"/>
    <w:next w:val="1"/>
    <w:link w:val="19"/>
    <w:semiHidden/>
    <w:unhideWhenUsed/>
    <w:qFormat/>
    <w:uiPriority w:val="9"/>
    <w:pPr>
      <w:keepNext/>
      <w:keepLines/>
      <w:spacing w:line="240" w:lineRule="exact"/>
      <w:outlineLvl w:val="3"/>
    </w:pPr>
    <w:rPr>
      <w:rFonts w:cstheme="majorBidi"/>
      <w:szCs w:val="28"/>
    </w:rPr>
  </w:style>
  <w:style w:type="paragraph" w:styleId="6">
    <w:name w:val="heading 5"/>
    <w:basedOn w:val="1"/>
    <w:next w:val="1"/>
    <w:link w:val="22"/>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rPr>
  </w:style>
  <w:style w:type="paragraph" w:styleId="7">
    <w:name w:val="heading 6"/>
    <w:basedOn w:val="1"/>
    <w:next w:val="1"/>
    <w:link w:val="23"/>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11">
    <w:name w:val="Body Text"/>
    <w:basedOn w:val="1"/>
    <w:link w:val="35"/>
    <w:qFormat/>
    <w:uiPriority w:val="0"/>
    <w:pPr>
      <w:spacing w:after="120" w:line="240" w:lineRule="auto"/>
      <w:ind w:firstLine="0" w:firstLineChars="0"/>
    </w:pPr>
    <w:rPr>
      <w:rFonts w:eastAsiaTheme="minorEastAsia"/>
      <w:kern w:val="0"/>
      <w:sz w:val="20"/>
      <w:lang w:val="zh-CN"/>
    </w:rPr>
  </w:style>
  <w:style w:type="paragraph" w:styleId="12">
    <w:name w:val="Subtitle"/>
    <w:basedOn w:val="1"/>
    <w:next w:val="1"/>
    <w:link w:val="27"/>
    <w:qFormat/>
    <w:uiPriority w:val="11"/>
    <w:pPr>
      <w:spacing w:after="160"/>
      <w:ind w:firstLine="20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3">
    <w:name w:val="Title"/>
    <w:basedOn w:val="1"/>
    <w:next w:val="1"/>
    <w:link w:val="21"/>
    <w:qFormat/>
    <w:uiPriority w:val="0"/>
    <w:pPr>
      <w:spacing w:before="240" w:after="60" w:line="279" w:lineRule="auto"/>
      <w:jc w:val="center"/>
      <w:outlineLvl w:val="0"/>
    </w:pPr>
    <w:rPr>
      <w:rFonts w:eastAsia="方正小标宋简体" w:asciiTheme="majorHAnsi" w:hAnsiTheme="majorHAnsi" w:cstheme="majorBidi"/>
      <w:b/>
      <w:bCs/>
      <w:sz w:val="32"/>
      <w:szCs w:val="32"/>
    </w:rPr>
  </w:style>
  <w:style w:type="table" w:styleId="15">
    <w:name w:val="Table Grid"/>
    <w:basedOn w:val="14"/>
    <w:qFormat/>
    <w:uiPriority w:val="39"/>
    <w:pPr>
      <w:spacing w:after="0" w:line="240" w:lineRule="auto"/>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标题 1 字符"/>
    <w:basedOn w:val="16"/>
    <w:link w:val="2"/>
    <w:uiPriority w:val="0"/>
    <w:rPr>
      <w:rFonts w:ascii="宋体" w:hAnsi="宋体" w:eastAsia="方正小标宋简体" w:cs="Times New Roman"/>
      <w:b/>
      <w:bCs/>
      <w:kern w:val="44"/>
      <w:sz w:val="32"/>
      <w:szCs w:val="48"/>
      <w14:ligatures w14:val="none"/>
    </w:rPr>
  </w:style>
  <w:style w:type="character" w:customStyle="1" w:styleId="18">
    <w:name w:val="标题 2 字符"/>
    <w:basedOn w:val="16"/>
    <w:link w:val="3"/>
    <w:uiPriority w:val="9"/>
    <w:rPr>
      <w:rFonts w:ascii="宋体" w:hAnsi="宋体" w:eastAsia="仿宋_GB2312"/>
      <w:b/>
      <w:bCs/>
      <w:sz w:val="28"/>
      <w:szCs w:val="36"/>
    </w:rPr>
  </w:style>
  <w:style w:type="character" w:customStyle="1" w:styleId="19">
    <w:name w:val="标题 4 字符"/>
    <w:basedOn w:val="16"/>
    <w:link w:val="5"/>
    <w:semiHidden/>
    <w:uiPriority w:val="9"/>
    <w:rPr>
      <w:rFonts w:ascii="Times New Roman" w:hAnsi="Times New Roman" w:eastAsia="仿宋_GB2312" w:cstheme="majorBidi"/>
      <w:sz w:val="28"/>
      <w:szCs w:val="28"/>
    </w:rPr>
  </w:style>
  <w:style w:type="character" w:customStyle="1" w:styleId="20">
    <w:name w:val="标题 3 字符"/>
    <w:basedOn w:val="16"/>
    <w:link w:val="4"/>
    <w:uiPriority w:val="9"/>
    <w:rPr>
      <w:rFonts w:eastAsia="仿宋_GB2312"/>
      <w:sz w:val="24"/>
    </w:rPr>
  </w:style>
  <w:style w:type="character" w:customStyle="1" w:styleId="21">
    <w:name w:val="标题 字符"/>
    <w:basedOn w:val="16"/>
    <w:link w:val="13"/>
    <w:uiPriority w:val="0"/>
    <w:rPr>
      <w:rFonts w:eastAsia="方正小标宋简体" w:asciiTheme="majorHAnsi" w:hAnsiTheme="majorHAnsi" w:cstheme="majorBidi"/>
      <w:b/>
      <w:bCs/>
      <w:sz w:val="32"/>
      <w:szCs w:val="32"/>
    </w:rPr>
  </w:style>
  <w:style w:type="character" w:customStyle="1" w:styleId="22">
    <w:name w:val="标题 5 字符"/>
    <w:basedOn w:val="16"/>
    <w:link w:val="6"/>
    <w:semiHidden/>
    <w:uiPriority w:val="9"/>
    <w:rPr>
      <w:rFonts w:cstheme="majorBidi"/>
      <w:color w:val="104862" w:themeColor="accent1" w:themeShade="BF"/>
      <w:sz w:val="24"/>
      <w14:ligatures w14:val="none"/>
    </w:rPr>
  </w:style>
  <w:style w:type="character" w:customStyle="1" w:styleId="23">
    <w:name w:val="标题 6 字符"/>
    <w:basedOn w:val="16"/>
    <w:link w:val="7"/>
    <w:semiHidden/>
    <w:uiPriority w:val="9"/>
    <w:rPr>
      <w:rFonts w:cstheme="majorBidi"/>
      <w:b/>
      <w:bCs/>
      <w:color w:val="104862" w:themeColor="accent1" w:themeShade="BF"/>
      <w:sz w:val="24"/>
      <w14:ligatures w14:val="none"/>
    </w:rPr>
  </w:style>
  <w:style w:type="character" w:customStyle="1" w:styleId="24">
    <w:name w:val="标题 7 字符"/>
    <w:basedOn w:val="16"/>
    <w:link w:val="8"/>
    <w:semiHidden/>
    <w:uiPriority w:val="9"/>
    <w:rPr>
      <w:rFonts w:cstheme="majorBidi"/>
      <w:b/>
      <w:bCs/>
      <w:color w:val="595959" w:themeColor="text1" w:themeTint="A6"/>
      <w:sz w:val="24"/>
      <w14:textFill>
        <w14:solidFill>
          <w14:schemeClr w14:val="tx1">
            <w14:lumMod w14:val="65000"/>
            <w14:lumOff w14:val="35000"/>
          </w14:schemeClr>
        </w14:solidFill>
      </w14:textFill>
      <w14:ligatures w14:val="none"/>
    </w:rPr>
  </w:style>
  <w:style w:type="character" w:customStyle="1" w:styleId="25">
    <w:name w:val="标题 8 字符"/>
    <w:basedOn w:val="16"/>
    <w:link w:val="9"/>
    <w:semiHidden/>
    <w:uiPriority w:val="9"/>
    <w:rPr>
      <w:rFonts w:cstheme="majorBidi"/>
      <w:color w:val="595959" w:themeColor="text1" w:themeTint="A6"/>
      <w:sz w:val="24"/>
      <w14:textFill>
        <w14:solidFill>
          <w14:schemeClr w14:val="tx1">
            <w14:lumMod w14:val="65000"/>
            <w14:lumOff w14:val="35000"/>
          </w14:schemeClr>
        </w14:solidFill>
      </w14:textFill>
      <w14:ligatures w14:val="none"/>
    </w:rPr>
  </w:style>
  <w:style w:type="character" w:customStyle="1" w:styleId="26">
    <w:name w:val="标题 9 字符"/>
    <w:basedOn w:val="16"/>
    <w:link w:val="10"/>
    <w:semiHidden/>
    <w:uiPriority w:val="9"/>
    <w:rPr>
      <w:rFonts w:eastAsiaTheme="majorEastAsia" w:cstheme="majorBidi"/>
      <w:color w:val="595959" w:themeColor="text1" w:themeTint="A6"/>
      <w:sz w:val="24"/>
      <w14:textFill>
        <w14:solidFill>
          <w14:schemeClr w14:val="tx1">
            <w14:lumMod w14:val="65000"/>
            <w14:lumOff w14:val="35000"/>
          </w14:schemeClr>
        </w14:solidFill>
      </w14:textFill>
      <w14:ligatures w14:val="none"/>
    </w:rPr>
  </w:style>
  <w:style w:type="character" w:customStyle="1" w:styleId="27">
    <w:name w:val="副标题 字符"/>
    <w:basedOn w:val="16"/>
    <w:link w:val="12"/>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none"/>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uiPriority w:val="29"/>
    <w:rPr>
      <w:rFonts w:ascii="Times New Roman" w:hAnsi="Times New Roman" w:eastAsia="仿宋_GB2312"/>
      <w:i/>
      <w:iCs/>
      <w:color w:val="404040" w:themeColor="text1" w:themeTint="BF"/>
      <w:sz w:val="24"/>
      <w14:textFill>
        <w14:solidFill>
          <w14:schemeClr w14:val="tx1">
            <w14:lumMod w14:val="75000"/>
            <w14:lumOff w14:val="25000"/>
          </w14:schemeClr>
        </w14:solidFill>
      </w14:textFill>
      <w14:ligatures w14:val="none"/>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rFonts w:ascii="Times New Roman" w:hAnsi="Times New Roman" w:eastAsia="仿宋_GB2312"/>
      <w:i/>
      <w:iCs/>
      <w:color w:val="104862" w:themeColor="accent1" w:themeShade="BF"/>
      <w:sz w:val="24"/>
      <w14:ligatures w14:val="none"/>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正文文本 字符"/>
    <w:basedOn w:val="16"/>
    <w:link w:val="11"/>
    <w:qFormat/>
    <w:uiPriority w:val="0"/>
    <w:rPr>
      <w:rFonts w:ascii="Times New Roman" w:hAnsi="Times New Roman"/>
      <w:kern w:val="0"/>
      <w:sz w:val="20"/>
      <w:lang w:val="zh-CN"/>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18</Pages>
  <Words>4274</Words>
  <Characters>4277</Characters>
  <Lines>222</Lines>
  <Paragraphs>143</Paragraphs>
  <TotalTime>80</TotalTime>
  <ScaleCrop>false</ScaleCrop>
  <LinksUpToDate>false</LinksUpToDate>
  <CharactersWithSpaces>4277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2026-09-07T07:34:00Z</dcterms:created>
  <dc:creator>. 欲见</dc:creator>
  <cp:lastModifiedBy>不为什么</cp:lastModifiedBy>
  <dcterms:modified xsi:type="dcterms:W3CDTF">2026-09-10T01:31:00Z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eyJoZGlkIjoiYmRlNGQ1ZjU3MjI2Mjc5OGQyNmEwZjVkN2FlOTUyMGQiLCJ1c2VySWQiOiI4MjU2MjIwOTUifQ==</vt:lpwstr>
  </property>
  <property fmtid="{D5CDD505-2E9C-101B-9397-08002B2CF9AE}" pid="3" name="KSOProductBuildVer">
    <vt:lpwstr>2052-12.1.0.28505</vt:lpwstr>
  </property>
  <property fmtid="{D5CDD505-2E9C-101B-9397-08002B2CF9AE}" pid="4" name="ICV">
    <vt:lpwstr>AE0AEC67469D4F778094BED8D2ABDF7E_13</vt:lpwstr>
  </property>
</Properties>
</file>