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CA566">
      <w:pPr>
        <w:keepNext w:val="0"/>
        <w:keepLines w:val="0"/>
        <w:pageBreakBefore w:val="0"/>
        <w:kinsoku/>
        <w:wordWrap/>
        <w:overflowPunct/>
        <w:topLinePunct w:val="0"/>
        <w:bidi w:val="0"/>
        <w:spacing w:line="500" w:lineRule="exact"/>
        <w:jc w:val="center"/>
        <w:outlineLvl w:val="0"/>
        <w:rPr>
          <w:rFonts w:hint="eastAsia" w:ascii="黑体" w:hAnsi="黑体" w:eastAsia="黑体" w:cs="黑体"/>
          <w:b/>
          <w:bCs/>
          <w:sz w:val="32"/>
          <w:szCs w:val="32"/>
        </w:rPr>
      </w:pPr>
      <w:r>
        <w:rPr>
          <w:rFonts w:hint="eastAsia" w:ascii="黑体" w:hAnsi="黑体" w:eastAsia="黑体" w:cs="黑体"/>
          <w:b/>
          <w:bCs/>
          <w:sz w:val="32"/>
          <w:szCs w:val="32"/>
          <w:lang w:val="en-US" w:eastAsia="zh-CN"/>
        </w:rPr>
        <w:t>柳州市工人医院人微生物多样性检测及</w:t>
      </w:r>
      <w:r>
        <w:rPr>
          <w:rFonts w:hint="eastAsia" w:ascii="黑体" w:hAnsi="黑体" w:eastAsia="黑体" w:cs="黑体"/>
          <w:b/>
          <w:bCs/>
          <w:sz w:val="32"/>
          <w:szCs w:val="32"/>
        </w:rPr>
        <w:t>肠道菌群移植（FMT）新技术项目</w:t>
      </w:r>
      <w:r>
        <w:rPr>
          <w:rFonts w:hint="eastAsia" w:ascii="黑体" w:hAnsi="黑体" w:eastAsia="黑体" w:cs="黑体"/>
          <w:b/>
          <w:bCs/>
          <w:sz w:val="32"/>
          <w:szCs w:val="32"/>
          <w:lang w:val="en-US" w:eastAsia="zh-CN"/>
        </w:rPr>
        <w:t>配套服务采购</w:t>
      </w:r>
      <w:r>
        <w:rPr>
          <w:rFonts w:hint="eastAsia" w:ascii="黑体" w:hAnsi="黑体" w:eastAsia="黑体" w:cs="黑体"/>
          <w:b/>
          <w:bCs/>
          <w:sz w:val="32"/>
          <w:szCs w:val="32"/>
        </w:rPr>
        <w:t>需求</w:t>
      </w:r>
    </w:p>
    <w:p w14:paraId="1EA0FCCD">
      <w:pPr>
        <w:keepNext w:val="0"/>
        <w:keepLines w:val="0"/>
        <w:pageBreakBefore w:val="0"/>
        <w:kinsoku/>
        <w:wordWrap/>
        <w:overflowPunct/>
        <w:topLinePunct w:val="0"/>
        <w:bidi w:val="0"/>
        <w:spacing w:line="500" w:lineRule="exact"/>
        <w:outlineLvl w:val="0"/>
        <w:rPr>
          <w:rFonts w:hint="eastAsia" w:ascii="仿宋" w:hAnsi="仿宋" w:eastAsia="仿宋" w:cs="仿宋"/>
          <w:b/>
          <w:bCs/>
          <w:sz w:val="28"/>
          <w:szCs w:val="28"/>
        </w:rPr>
      </w:pPr>
    </w:p>
    <w:p w14:paraId="42DB9D0A">
      <w:pPr>
        <w:keepNext w:val="0"/>
        <w:keepLines w:val="0"/>
        <w:pageBreakBefore w:val="0"/>
        <w:numPr>
          <w:ilvl w:val="0"/>
          <w:numId w:val="0"/>
        </w:numPr>
        <w:kinsoku/>
        <w:wordWrap/>
        <w:overflowPunct/>
        <w:topLinePunct w:val="0"/>
        <w:bidi w:val="0"/>
        <w:spacing w:line="500" w:lineRule="exact"/>
        <w:ind w:firstLine="562" w:firstLineChars="200"/>
        <w:outlineLvl w:val="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w:t>
      </w:r>
      <w:r>
        <w:rPr>
          <w:rFonts w:hint="eastAsia" w:ascii="仿宋" w:hAnsi="仿宋" w:eastAsia="仿宋" w:cs="仿宋"/>
          <w:b/>
          <w:bCs/>
          <w:sz w:val="28"/>
          <w:szCs w:val="28"/>
        </w:rPr>
        <w:t>项目</w:t>
      </w:r>
      <w:r>
        <w:rPr>
          <w:rFonts w:hint="eastAsia" w:ascii="仿宋" w:hAnsi="仿宋" w:eastAsia="仿宋" w:cs="仿宋"/>
          <w:b/>
          <w:bCs/>
          <w:sz w:val="28"/>
          <w:szCs w:val="28"/>
          <w:lang w:val="en-US" w:eastAsia="zh-CN"/>
        </w:rPr>
        <w:t>情况</w:t>
      </w:r>
    </w:p>
    <w:p w14:paraId="0A7B4F81">
      <w:pPr>
        <w:keepNext w:val="0"/>
        <w:keepLines w:val="0"/>
        <w:pageBreakBefore w:val="0"/>
        <w:numPr>
          <w:ilvl w:val="0"/>
          <w:numId w:val="0"/>
        </w:numPr>
        <w:kinsoku/>
        <w:wordWrap/>
        <w:overflowPunct/>
        <w:topLinePunct w:val="0"/>
        <w:bidi w:val="0"/>
        <w:spacing w:line="500" w:lineRule="exact"/>
        <w:ind w:firstLine="562" w:firstLineChars="200"/>
        <w:outlineLvl w:val="0"/>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（一）项目概况</w:t>
      </w:r>
    </w:p>
    <w:p w14:paraId="0CCB0A2F">
      <w:pPr>
        <w:keepNext w:val="0"/>
        <w:keepLines w:val="0"/>
        <w:pageBreakBefore w:val="0"/>
        <w:kinsoku/>
        <w:wordWrap/>
        <w:overflowPunct/>
        <w:topLinePunct w:val="0"/>
        <w:bidi w:val="0"/>
        <w:spacing w:line="50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本项目为肠道微生态诊疗项目开展所需的全套专业技术服务与产品采购，具体包括以下三部分：</w:t>
      </w:r>
    </w:p>
    <w:p w14:paraId="068EFA5F">
      <w:pPr>
        <w:keepNext w:val="0"/>
        <w:keepLines w:val="0"/>
        <w:pageBreakBefore w:val="0"/>
        <w:numPr>
          <w:ilvl w:val="0"/>
          <w:numId w:val="1"/>
        </w:numPr>
        <w:kinsoku/>
        <w:wordWrap/>
        <w:overflowPunct/>
        <w:topLinePunct w:val="0"/>
        <w:bidi w:val="0"/>
        <w:spacing w:line="500" w:lineRule="exact"/>
        <w:ind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人微生物多样性检测（病原体靶向高通量测序）（次/份）</w:t>
      </w:r>
    </w:p>
    <w:p w14:paraId="14D9BD7F">
      <w:pPr>
        <w:keepNext w:val="0"/>
        <w:keepLines w:val="0"/>
        <w:pageBreakBefore w:val="0"/>
        <w:numPr>
          <w:ilvl w:val="0"/>
          <w:numId w:val="1"/>
        </w:numPr>
        <w:kinsoku/>
        <w:wordWrap/>
        <w:overflowPunct/>
        <w:topLinePunct w:val="0"/>
        <w:bidi w:val="0"/>
        <w:spacing w:line="500" w:lineRule="exact"/>
        <w:ind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标准化粪菌制备服务（菌液：150ml/例或胶囊30粒/例）</w:t>
      </w:r>
    </w:p>
    <w:p w14:paraId="6C315785">
      <w:pPr>
        <w:keepNext w:val="0"/>
        <w:keepLines w:val="0"/>
        <w:pageBreakBefore w:val="0"/>
        <w:numPr>
          <w:ilvl w:val="0"/>
          <w:numId w:val="1"/>
        </w:numPr>
        <w:kinsoku/>
        <w:wordWrap/>
        <w:overflowPunct/>
        <w:topLinePunct w:val="0"/>
        <w:bidi w:val="0"/>
        <w:spacing w:line="500" w:lineRule="exact"/>
        <w:ind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肠道微生态调节剂产品配套服务</w:t>
      </w:r>
    </w:p>
    <w:p w14:paraId="1A8B968D">
      <w:pPr>
        <w:keepNext w:val="0"/>
        <w:keepLines w:val="0"/>
        <w:pageBreakBefore w:val="0"/>
        <w:kinsoku/>
        <w:wordWrap/>
        <w:overflowPunct/>
        <w:topLinePunct w:val="0"/>
        <w:bidi w:val="0"/>
        <w:spacing w:line="50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所有服务及产品需严格遵循《肠道菌群移植临床应用管理中国专家共识（2022版）》《中华人民共和国食品安全法》等国家相关法规与标准，确保临床应用的安全性、有效性与可追溯性。</w:t>
      </w:r>
    </w:p>
    <w:p w14:paraId="5BB5C9CF">
      <w:pPr>
        <w:keepNext w:val="0"/>
        <w:keepLines w:val="0"/>
        <w:pageBreakBefore w:val="0"/>
        <w:numPr>
          <w:ilvl w:val="0"/>
          <w:numId w:val="2"/>
        </w:numPr>
        <w:kinsoku/>
        <w:wordWrap/>
        <w:overflowPunct/>
        <w:topLinePunct w:val="0"/>
        <w:bidi w:val="0"/>
        <w:spacing w:line="50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项目内容</w:t>
      </w:r>
    </w:p>
    <w:p w14:paraId="7B09326D">
      <w:pPr>
        <w:keepNext w:val="0"/>
        <w:keepLines w:val="0"/>
        <w:pageBreakBefore w:val="0"/>
        <w:numPr>
          <w:ilvl w:val="0"/>
          <w:numId w:val="0"/>
        </w:numPr>
        <w:kinsoku/>
        <w:wordWrap/>
        <w:overflowPunct/>
        <w:topLinePunct w:val="0"/>
        <w:bidi w:val="0"/>
        <w:spacing w:line="50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本项目采购的肠道微生态调节剂，既可用于配合菌群移植治疗，提升整体疗效，也可作为独立的干预手段。具体应用方案如下：</w:t>
      </w:r>
    </w:p>
    <w:p w14:paraId="5B129E68">
      <w:pPr>
        <w:keepNext w:val="0"/>
        <w:keepLines w:val="0"/>
        <w:pageBreakBefore w:val="0"/>
        <w:numPr>
          <w:ilvl w:val="0"/>
          <w:numId w:val="0"/>
        </w:numPr>
        <w:kinsoku/>
        <w:wordWrap/>
        <w:overflowPunct/>
        <w:topLinePunct w:val="0"/>
        <w:bidi w:val="0"/>
        <w:spacing w:line="50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1.独立干预应用</w:t>
      </w:r>
    </w:p>
    <w:p w14:paraId="0B546D6B">
      <w:pPr>
        <w:keepNext w:val="0"/>
        <w:keepLines w:val="0"/>
        <w:pageBreakBefore w:val="0"/>
        <w:numPr>
          <w:ilvl w:val="0"/>
          <w:numId w:val="0"/>
        </w:numPr>
        <w:kinsoku/>
        <w:wordWrap/>
        <w:overflowPunct/>
        <w:topLinePunct w:val="0"/>
        <w:bidi w:val="0"/>
        <w:spacing w:line="50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对于未进行菌群移植的患者，营养科可根据患者的人微生物多样性检测（如菌群结构、多样性、特定菌属丰度）及其具体疾病情况（如糖尿病、肥胖、便秘、腹泻等），为其搭配、推荐适宜的肠道微生态调节剂，作为日常营养干预方案，以改善肠道微生态、促进健康。</w:t>
      </w:r>
    </w:p>
    <w:p w14:paraId="7497AE6D">
      <w:pPr>
        <w:keepNext w:val="0"/>
        <w:keepLines w:val="0"/>
        <w:pageBreakBefore w:val="0"/>
        <w:kinsoku/>
        <w:wordWrap/>
        <w:overflowPunct/>
        <w:topLinePunct w:val="0"/>
        <w:bidi w:val="0"/>
        <w:spacing w:line="50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2.配合菌群移植应用</w:t>
      </w:r>
    </w:p>
    <w:p w14:paraId="0166CE00">
      <w:pPr>
        <w:keepNext w:val="0"/>
        <w:keepLines w:val="0"/>
        <w:pageBreakBefore w:val="0"/>
        <w:numPr>
          <w:ilvl w:val="0"/>
          <w:numId w:val="0"/>
        </w:numPr>
        <w:kinsoku/>
        <w:wordWrap/>
        <w:overflowPunct/>
        <w:topLinePunct w:val="0"/>
        <w:bidi w:val="0"/>
        <w:spacing w:line="500" w:lineRule="exact"/>
        <w:ind w:leftChars="0" w:firstLine="562" w:firstLineChars="200"/>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术前调理：</w:t>
      </w:r>
      <w:r>
        <w:rPr>
          <w:rFonts w:hint="eastAsia" w:ascii="仿宋" w:hAnsi="仿宋" w:eastAsia="仿宋" w:cs="仿宋"/>
          <w:sz w:val="28"/>
          <w:szCs w:val="28"/>
          <w:lang w:val="en-US" w:eastAsia="zh-CN"/>
        </w:rPr>
        <w:t>在菌群移植前，使用益生元联合益生菌类产品预调理，旨在优化肠黏膜定植微环境，提升外源菌群定植竞争力，减轻赫氏消亡反应，降低腹胀、腹泻发生率。</w:t>
      </w:r>
    </w:p>
    <w:p w14:paraId="4457DE19">
      <w:pPr>
        <w:keepNext w:val="0"/>
        <w:keepLines w:val="0"/>
        <w:pageBreakBefore w:val="0"/>
        <w:numPr>
          <w:ilvl w:val="0"/>
          <w:numId w:val="0"/>
        </w:numPr>
        <w:kinsoku/>
        <w:wordWrap/>
        <w:overflowPunct/>
        <w:topLinePunct w:val="0"/>
        <w:bidi w:val="0"/>
        <w:spacing w:line="500" w:lineRule="exact"/>
        <w:ind w:leftChars="0" w:firstLine="562" w:firstLineChars="200"/>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术后营养干预：</w:t>
      </w:r>
      <w:r>
        <w:rPr>
          <w:rFonts w:hint="eastAsia" w:ascii="仿宋" w:hAnsi="仿宋" w:eastAsia="仿宋" w:cs="仿宋"/>
          <w:sz w:val="28"/>
          <w:szCs w:val="28"/>
          <w:lang w:val="en-US" w:eastAsia="zh-CN"/>
        </w:rPr>
        <w:t>在菌群移植后，按不同肠型及疾病特点，搭配相应的营养干预方案（如膳食纤维、特定营养素），以持续巩固菌群稳态，提升长期定植率，降低复发风险。</w:t>
      </w:r>
    </w:p>
    <w:p w14:paraId="3731EB0E">
      <w:pPr>
        <w:keepNext w:val="0"/>
        <w:keepLines w:val="0"/>
        <w:pageBreakBefore w:val="0"/>
        <w:kinsoku/>
        <w:wordWrap/>
        <w:overflowPunct/>
        <w:topLinePunct w:val="0"/>
        <w:bidi w:val="0"/>
        <w:spacing w:line="500" w:lineRule="exact"/>
        <w:ind w:firstLine="562" w:firstLineChars="200"/>
        <w:outlineLvl w:val="0"/>
        <w:rPr>
          <w:rFonts w:hint="eastAsia" w:ascii="仿宋" w:hAnsi="仿宋" w:eastAsia="仿宋" w:cs="仿宋"/>
          <w:b/>
          <w:bCs/>
          <w:sz w:val="28"/>
          <w:szCs w:val="28"/>
        </w:rPr>
      </w:pPr>
      <w:r>
        <w:rPr>
          <w:rFonts w:hint="eastAsia" w:ascii="仿宋" w:hAnsi="仿宋" w:eastAsia="仿宋" w:cs="仿宋"/>
          <w:b/>
          <w:bCs/>
          <w:sz w:val="28"/>
          <w:szCs w:val="28"/>
        </w:rPr>
        <w:t>二、合作单位资质要求</w:t>
      </w:r>
    </w:p>
    <w:p w14:paraId="5A5602E6">
      <w:pPr>
        <w:keepNext w:val="0"/>
        <w:keepLines w:val="0"/>
        <w:pageBreakBefore w:val="0"/>
        <w:numPr>
          <w:ilvl w:val="0"/>
          <w:numId w:val="0"/>
        </w:numPr>
        <w:kinsoku/>
        <w:wordWrap/>
        <w:overflowPunct/>
        <w:topLinePunct w:val="0"/>
        <w:bidi w:val="0"/>
        <w:spacing w:line="500" w:lineRule="exact"/>
        <w:ind w:left="210" w:leftChars="0" w:firstLine="281" w:firstLineChars="100"/>
        <w:outlineLvl w:val="1"/>
        <w:rPr>
          <w:rFonts w:hint="eastAsia" w:ascii="仿宋" w:hAnsi="仿宋" w:eastAsia="仿宋" w:cs="仿宋"/>
          <w:b/>
          <w:bCs/>
          <w:sz w:val="28"/>
          <w:szCs w:val="28"/>
        </w:rPr>
      </w:pPr>
      <w:r>
        <w:rPr>
          <w:rFonts w:hint="eastAsia" w:ascii="仿宋" w:hAnsi="仿宋" w:eastAsia="仿宋" w:cs="仿宋"/>
          <w:b/>
          <w:bCs/>
          <w:sz w:val="28"/>
          <w:szCs w:val="28"/>
          <w:lang w:val="en-US" w:eastAsia="zh-CN"/>
        </w:rPr>
        <w:t>1.</w:t>
      </w:r>
      <w:r>
        <w:rPr>
          <w:rFonts w:hint="eastAsia" w:ascii="仿宋" w:hAnsi="仿宋" w:eastAsia="仿宋" w:cs="仿宋"/>
          <w:b/>
          <w:bCs/>
          <w:sz w:val="28"/>
          <w:szCs w:val="28"/>
        </w:rPr>
        <w:t>供应商应具备《</w:t>
      </w:r>
      <w:r>
        <w:rPr>
          <w:rFonts w:hint="eastAsia" w:ascii="仿宋" w:hAnsi="仿宋" w:eastAsia="仿宋" w:cs="仿宋"/>
          <w:b/>
          <w:bCs/>
          <w:sz w:val="28"/>
          <w:szCs w:val="28"/>
          <w:lang w:eastAsia="zh-CN"/>
        </w:rPr>
        <w:t>中华人民共和国政府采购法</w:t>
      </w:r>
      <w:r>
        <w:rPr>
          <w:rFonts w:hint="eastAsia" w:ascii="仿宋" w:hAnsi="仿宋" w:eastAsia="仿宋" w:cs="仿宋"/>
          <w:b/>
          <w:bCs/>
          <w:sz w:val="28"/>
          <w:szCs w:val="28"/>
        </w:rPr>
        <w:t>》第二十二条规定的条件</w:t>
      </w:r>
      <w:r>
        <w:rPr>
          <w:rFonts w:hint="eastAsia" w:ascii="仿宋" w:hAnsi="仿宋" w:eastAsia="仿宋" w:cs="仿宋"/>
          <w:b/>
          <w:bCs/>
          <w:sz w:val="28"/>
          <w:szCs w:val="28"/>
          <w:lang w:eastAsia="zh-CN"/>
        </w:rPr>
        <w:t>：</w:t>
      </w:r>
    </w:p>
    <w:p w14:paraId="6BB5A753">
      <w:pPr>
        <w:keepNext w:val="0"/>
        <w:keepLines w:val="0"/>
        <w:pageBreakBefore w:val="0"/>
        <w:numPr>
          <w:ilvl w:val="0"/>
          <w:numId w:val="0"/>
        </w:numPr>
        <w:kinsoku/>
        <w:wordWrap/>
        <w:overflowPunct/>
        <w:topLinePunct w:val="0"/>
        <w:bidi w:val="0"/>
        <w:spacing w:line="500" w:lineRule="exact"/>
        <w:ind w:firstLine="560" w:firstLineChars="200"/>
        <w:outlineLvl w:val="2"/>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具有独立承担民事责任的能力：中华人民共和国境内注册的法人或其他组织，提供有效营业执照副本复印件；分支机构报名需额外提供总公司营业执照副本复印件及总公司出具的唯一授权书。</w:t>
      </w:r>
    </w:p>
    <w:p w14:paraId="2951806E">
      <w:pPr>
        <w:keepNext w:val="0"/>
        <w:keepLines w:val="0"/>
        <w:pageBreakBefore w:val="0"/>
        <w:numPr>
          <w:ilvl w:val="0"/>
          <w:numId w:val="0"/>
        </w:numPr>
        <w:kinsoku/>
        <w:wordWrap/>
        <w:overflowPunct/>
        <w:topLinePunct w:val="0"/>
        <w:bidi w:val="0"/>
        <w:spacing w:line="500" w:lineRule="exact"/>
        <w:ind w:firstLine="560" w:firstLineChars="200"/>
        <w:outlineLvl w:val="2"/>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具有良好的商业信誉和健全的财务会计制度。</w:t>
      </w:r>
    </w:p>
    <w:p w14:paraId="32E53749">
      <w:pPr>
        <w:keepNext w:val="0"/>
        <w:keepLines w:val="0"/>
        <w:pageBreakBefore w:val="0"/>
        <w:numPr>
          <w:ilvl w:val="0"/>
          <w:numId w:val="0"/>
        </w:numPr>
        <w:kinsoku/>
        <w:wordWrap/>
        <w:overflowPunct/>
        <w:topLinePunct w:val="0"/>
        <w:bidi w:val="0"/>
        <w:spacing w:line="500" w:lineRule="exact"/>
        <w:ind w:firstLine="560" w:firstLineChars="200"/>
        <w:outlineLvl w:val="2"/>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有依法缴纳税收和社会保障资金的良好记录。</w:t>
      </w:r>
    </w:p>
    <w:p w14:paraId="34027EF8">
      <w:pPr>
        <w:keepNext w:val="0"/>
        <w:keepLines w:val="0"/>
        <w:pageBreakBefore w:val="0"/>
        <w:numPr>
          <w:ilvl w:val="0"/>
          <w:numId w:val="0"/>
        </w:numPr>
        <w:kinsoku/>
        <w:wordWrap/>
        <w:overflowPunct/>
        <w:topLinePunct w:val="0"/>
        <w:bidi w:val="0"/>
        <w:spacing w:line="500" w:lineRule="exact"/>
        <w:ind w:firstLine="560" w:firstLineChars="200"/>
        <w:outlineLvl w:val="2"/>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r>
        <w:rPr>
          <w:rFonts w:hint="eastAsia" w:ascii="仿宋" w:hAnsi="仿宋" w:eastAsia="仿宋" w:cs="仿宋"/>
          <w:sz w:val="28"/>
          <w:szCs w:val="28"/>
          <w:lang w:eastAsia="zh-CN"/>
        </w:rPr>
        <w:t>）</w:t>
      </w:r>
      <w:r>
        <w:rPr>
          <w:rFonts w:hint="eastAsia" w:ascii="仿宋" w:hAnsi="仿宋" w:eastAsia="仿宋" w:cs="仿宋"/>
          <w:sz w:val="28"/>
          <w:szCs w:val="28"/>
        </w:rPr>
        <w:t>参加政府采购活动前三年内，经营活动中无重大违法记录，提供书面声明函（加盖公章）。</w:t>
      </w:r>
    </w:p>
    <w:p w14:paraId="2CC3D1E9">
      <w:pPr>
        <w:keepNext w:val="0"/>
        <w:keepLines w:val="0"/>
        <w:pageBreakBefore w:val="0"/>
        <w:numPr>
          <w:ilvl w:val="0"/>
          <w:numId w:val="0"/>
        </w:numPr>
        <w:kinsoku/>
        <w:wordWrap/>
        <w:overflowPunct/>
        <w:topLinePunct w:val="0"/>
        <w:bidi w:val="0"/>
        <w:spacing w:line="500" w:lineRule="exact"/>
        <w:ind w:firstLine="560" w:firstLineChars="200"/>
        <w:outlineLvl w:val="2"/>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w:t>
      </w:r>
      <w:r>
        <w:rPr>
          <w:rFonts w:hint="eastAsia" w:ascii="仿宋" w:hAnsi="仿宋" w:eastAsia="仿宋" w:cs="仿宋"/>
          <w:sz w:val="28"/>
          <w:szCs w:val="28"/>
        </w:rPr>
        <w:t>信用要求：通过“信用中国”网站（</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"https://www.creditchina.gov.cn/" \t "/Users/dr.li/Documents\\x/_blank" </w:instrText>
      </w:r>
      <w:r>
        <w:rPr>
          <w:rFonts w:hint="eastAsia" w:ascii="仿宋" w:hAnsi="仿宋" w:eastAsia="仿宋" w:cs="仿宋"/>
          <w:sz w:val="28"/>
          <w:szCs w:val="28"/>
        </w:rPr>
        <w:fldChar w:fldCharType="separate"/>
      </w:r>
      <w:r>
        <w:rPr>
          <w:rFonts w:hint="eastAsia" w:ascii="仿宋" w:hAnsi="仿宋" w:eastAsia="仿宋" w:cs="仿宋"/>
          <w:sz w:val="28"/>
          <w:szCs w:val="28"/>
        </w:rPr>
        <w:t>www.creditchina.gov.cn</w:t>
      </w:r>
      <w:r>
        <w:rPr>
          <w:rFonts w:hint="eastAsia" w:ascii="仿宋" w:hAnsi="仿宋" w:eastAsia="仿宋" w:cs="仿宋"/>
          <w:sz w:val="28"/>
          <w:szCs w:val="28"/>
        </w:rPr>
        <w:fldChar w:fldCharType="end"/>
      </w:r>
      <w:r>
        <w:rPr>
          <w:rFonts w:hint="eastAsia" w:ascii="仿宋" w:hAnsi="仿宋" w:eastAsia="仿宋" w:cs="仿宋"/>
          <w:sz w:val="28"/>
          <w:szCs w:val="28"/>
        </w:rPr>
        <w:t>）、“中国政府采购网”（</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"https://www.ccgp.gov.cn/" \t "/Users/dr.li/Documents\\x/_blank" </w:instrText>
      </w:r>
      <w:r>
        <w:rPr>
          <w:rFonts w:hint="eastAsia" w:ascii="仿宋" w:hAnsi="仿宋" w:eastAsia="仿宋" w:cs="仿宋"/>
          <w:sz w:val="28"/>
          <w:szCs w:val="28"/>
        </w:rPr>
        <w:fldChar w:fldCharType="separate"/>
      </w:r>
      <w:r>
        <w:rPr>
          <w:rFonts w:hint="eastAsia" w:ascii="仿宋" w:hAnsi="仿宋" w:eastAsia="仿宋" w:cs="仿宋"/>
          <w:sz w:val="28"/>
          <w:szCs w:val="28"/>
        </w:rPr>
        <w:t>www.ccgp.gov.cn</w:t>
      </w:r>
      <w:r>
        <w:rPr>
          <w:rFonts w:hint="eastAsia" w:ascii="仿宋" w:hAnsi="仿宋" w:eastAsia="仿宋" w:cs="仿宋"/>
          <w:sz w:val="28"/>
          <w:szCs w:val="28"/>
        </w:rPr>
        <w:fldChar w:fldCharType="end"/>
      </w:r>
      <w:r>
        <w:rPr>
          <w:rFonts w:hint="eastAsia" w:ascii="仿宋" w:hAnsi="仿宋" w:eastAsia="仿宋" w:cs="仿宋"/>
          <w:sz w:val="28"/>
          <w:szCs w:val="28"/>
        </w:rPr>
        <w:t>）查询，未被列入失信被执行人名单、重大税收违法案件当事人名单、政府采购严重违法失信行为记录名单（以投标截止日当天查询结果为准；失信记录已失效的需提供官方失效证明）。</w:t>
      </w:r>
    </w:p>
    <w:p w14:paraId="5FD205CB">
      <w:pPr>
        <w:keepNext w:val="0"/>
        <w:keepLines w:val="0"/>
        <w:pageBreakBefore w:val="0"/>
        <w:numPr>
          <w:ilvl w:val="0"/>
          <w:numId w:val="0"/>
        </w:numPr>
        <w:kinsoku/>
        <w:wordWrap/>
        <w:overflowPunct/>
        <w:topLinePunct w:val="0"/>
        <w:bidi w:val="0"/>
        <w:spacing w:line="500" w:lineRule="exact"/>
        <w:ind w:firstLine="560" w:firstLineChars="200"/>
        <w:outlineLvl w:val="2"/>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w:t>
      </w:r>
      <w:r>
        <w:rPr>
          <w:rFonts w:hint="eastAsia" w:ascii="仿宋" w:hAnsi="仿宋" w:eastAsia="仿宋" w:cs="仿宋"/>
          <w:sz w:val="28"/>
          <w:szCs w:val="28"/>
        </w:rPr>
        <w:t>供应商可为单一主体，或是与其控股公司组成的联合体投标，联合体应签署有效的《联合体协议》，中标后，由联合体中的指定公司与招标方完成签约和服务。联合体各方对招标人就合同项下的全部义务承担共同及连带的履约责任。</w:t>
      </w:r>
    </w:p>
    <w:p w14:paraId="4DA530AA">
      <w:pPr>
        <w:keepNext w:val="0"/>
        <w:keepLines w:val="0"/>
        <w:pageBreakBefore w:val="0"/>
        <w:numPr>
          <w:ilvl w:val="0"/>
          <w:numId w:val="0"/>
        </w:numPr>
        <w:kinsoku/>
        <w:wordWrap/>
        <w:overflowPunct/>
        <w:topLinePunct w:val="0"/>
        <w:bidi w:val="0"/>
        <w:spacing w:line="500" w:lineRule="exact"/>
        <w:ind w:left="210" w:leftChars="0" w:firstLine="562" w:firstLineChars="200"/>
        <w:rPr>
          <w:rFonts w:hint="eastAsia" w:ascii="仿宋" w:hAnsi="仿宋" w:eastAsia="仿宋" w:cs="仿宋"/>
          <w:b/>
          <w:bCs/>
          <w:sz w:val="28"/>
          <w:szCs w:val="28"/>
        </w:rPr>
      </w:pPr>
      <w:r>
        <w:rPr>
          <w:rFonts w:hint="eastAsia" w:ascii="仿宋" w:hAnsi="仿宋" w:eastAsia="仿宋" w:cs="仿宋"/>
          <w:b/>
          <w:bCs/>
          <w:sz w:val="28"/>
          <w:szCs w:val="28"/>
          <w:lang w:val="en-US" w:eastAsia="zh-CN"/>
        </w:rPr>
        <w:t>2.</w:t>
      </w:r>
      <w:r>
        <w:rPr>
          <w:rFonts w:hint="eastAsia" w:ascii="仿宋" w:hAnsi="仿宋" w:eastAsia="仿宋" w:cs="仿宋"/>
          <w:b/>
          <w:bCs/>
          <w:sz w:val="28"/>
          <w:szCs w:val="28"/>
        </w:rPr>
        <w:t>专项资质要求</w:t>
      </w:r>
    </w:p>
    <w:p w14:paraId="4F803C77">
      <w:pPr>
        <w:keepNext w:val="0"/>
        <w:keepLines w:val="0"/>
        <w:pageBreakBefore w:val="0"/>
        <w:numPr>
          <w:ilvl w:val="0"/>
          <w:numId w:val="0"/>
        </w:numPr>
        <w:kinsoku/>
        <w:wordWrap/>
        <w:overflowPunct/>
        <w:topLinePunct w:val="0"/>
        <w:bidi w:val="0"/>
        <w:spacing w:line="500" w:lineRule="exact"/>
        <w:ind w:left="0" w:leftChars="0"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实验室资质：具备二级生物安全实验室备案凭证、十万级洁净车间第三方检测报告</w:t>
      </w:r>
      <w:r>
        <w:rPr>
          <w:rFonts w:hint="eastAsia" w:ascii="仿宋" w:hAnsi="仿宋" w:eastAsia="仿宋" w:cs="仿宋"/>
          <w:sz w:val="28"/>
          <w:szCs w:val="28"/>
          <w:lang w:eastAsia="zh-CN"/>
        </w:rPr>
        <w:t>、</w:t>
      </w:r>
      <w:r>
        <w:rPr>
          <w:rFonts w:hint="eastAsia" w:ascii="仿宋" w:hAnsi="仿宋" w:eastAsia="仿宋" w:cs="仿宋"/>
          <w:sz w:val="28"/>
          <w:szCs w:val="28"/>
        </w:rPr>
        <w:t>《临床基因扩增检验实验室技术审核合格证书》（PCR合格证书），确保实验环境与检测合规。</w:t>
      </w:r>
    </w:p>
    <w:p w14:paraId="28DA4EC1">
      <w:pPr>
        <w:keepNext w:val="0"/>
        <w:keepLines w:val="0"/>
        <w:pageBreakBefore w:val="0"/>
        <w:numPr>
          <w:ilvl w:val="0"/>
          <w:numId w:val="0"/>
        </w:numPr>
        <w:kinsoku/>
        <w:wordWrap/>
        <w:overflowPunct/>
        <w:topLinePunct w:val="0"/>
        <w:bidi w:val="0"/>
        <w:spacing w:line="500" w:lineRule="exact"/>
        <w:ind w:left="0" w:leftChars="0"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体系认证：具备有效期内的质量管理体系认证（ISO9001），保障菌群制备与检测全流程质量。</w:t>
      </w:r>
    </w:p>
    <w:p w14:paraId="05A091E0">
      <w:pPr>
        <w:keepNext w:val="0"/>
        <w:keepLines w:val="0"/>
        <w:pageBreakBefore w:val="0"/>
        <w:numPr>
          <w:ilvl w:val="0"/>
          <w:numId w:val="0"/>
        </w:numPr>
        <w:kinsoku/>
        <w:wordWrap/>
        <w:overflowPunct/>
        <w:topLinePunct w:val="0"/>
        <w:bidi w:val="0"/>
        <w:spacing w:line="500" w:lineRule="exact"/>
        <w:ind w:left="0" w:leftChars="0"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微生态调节剂经营资质：供应商应具备食品经营等相关合法资质，确保所提供的微生态调节剂产品来源合法、质量可控。</w:t>
      </w:r>
    </w:p>
    <w:p w14:paraId="61C34055">
      <w:pPr>
        <w:keepNext w:val="0"/>
        <w:keepLines w:val="0"/>
        <w:pageBreakBefore w:val="0"/>
        <w:numPr>
          <w:ilvl w:val="0"/>
          <w:numId w:val="3"/>
        </w:numPr>
        <w:kinsoku/>
        <w:wordWrap/>
        <w:overflowPunct/>
        <w:topLinePunct w:val="0"/>
        <w:bidi w:val="0"/>
        <w:spacing w:line="500" w:lineRule="exact"/>
        <w:outlineLvl w:val="0"/>
        <w:rPr>
          <w:rFonts w:hint="eastAsia" w:ascii="仿宋" w:hAnsi="仿宋" w:eastAsia="仿宋" w:cs="仿宋"/>
          <w:sz w:val="28"/>
          <w:szCs w:val="28"/>
        </w:rPr>
      </w:pPr>
      <w:r>
        <w:rPr>
          <w:rFonts w:hint="eastAsia" w:ascii="仿宋" w:hAnsi="仿宋" w:eastAsia="仿宋" w:cs="仿宋"/>
          <w:b/>
          <w:bCs/>
          <w:sz w:val="28"/>
          <w:szCs w:val="28"/>
          <w:lang w:val="en-US" w:eastAsia="zh-CN"/>
        </w:rPr>
        <w:t>项目需求</w:t>
      </w:r>
    </w:p>
    <w:tbl>
      <w:tblPr>
        <w:tblStyle w:val="7"/>
        <w:tblpPr w:leftFromText="180" w:rightFromText="180" w:vertAnchor="text" w:horzAnchor="page" w:tblpX="1790" w:tblpY="483"/>
        <w:tblOverlap w:val="never"/>
        <w:tblW w:w="977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4"/>
        <w:gridCol w:w="2283"/>
        <w:gridCol w:w="2646"/>
        <w:gridCol w:w="1867"/>
        <w:gridCol w:w="1438"/>
      </w:tblGrid>
      <w:tr w14:paraId="77858E05">
        <w:tblPrEx>
          <w:tblCellMar>
            <w:top w:w="0" w:type="dxa"/>
            <w:left w:w="108" w:type="dxa"/>
            <w:bottom w:w="0" w:type="dxa"/>
            <w:right w:w="108" w:type="dxa"/>
          </w:tblCellMar>
        </w:tblPrEx>
        <w:trPr>
          <w:trHeight w:val="476" w:hRule="atLeast"/>
        </w:trPr>
        <w:tc>
          <w:tcPr>
            <w:tcW w:w="1544" w:type="dxa"/>
            <w:noWrap w:val="0"/>
            <w:vAlign w:val="center"/>
          </w:tcPr>
          <w:p w14:paraId="64D50F87">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采购项目</w:t>
            </w:r>
          </w:p>
        </w:tc>
        <w:tc>
          <w:tcPr>
            <w:tcW w:w="2283" w:type="dxa"/>
            <w:noWrap w:val="0"/>
            <w:vAlign w:val="center"/>
          </w:tcPr>
          <w:p w14:paraId="638908F9">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采购标的</w:t>
            </w:r>
          </w:p>
        </w:tc>
        <w:tc>
          <w:tcPr>
            <w:tcW w:w="2646" w:type="dxa"/>
            <w:noWrap w:val="0"/>
            <w:vAlign w:val="center"/>
          </w:tcPr>
          <w:p w14:paraId="3E250265">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剂型及规格</w:t>
            </w:r>
          </w:p>
        </w:tc>
        <w:tc>
          <w:tcPr>
            <w:tcW w:w="1867" w:type="dxa"/>
            <w:noWrap w:val="0"/>
            <w:vAlign w:val="center"/>
          </w:tcPr>
          <w:p w14:paraId="0BDCC74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预计</w:t>
            </w:r>
            <w:r>
              <w:rPr>
                <w:rFonts w:hint="eastAsia" w:ascii="仿宋" w:hAnsi="仿宋" w:eastAsia="仿宋" w:cs="仿宋"/>
                <w:sz w:val="21"/>
                <w:szCs w:val="21"/>
              </w:rPr>
              <w:t>数量（</w:t>
            </w:r>
            <w:r>
              <w:rPr>
                <w:rFonts w:hint="eastAsia" w:ascii="仿宋" w:hAnsi="仿宋" w:eastAsia="仿宋" w:cs="仿宋"/>
                <w:sz w:val="21"/>
                <w:szCs w:val="21"/>
                <w:lang w:val="en-US" w:eastAsia="zh-CN"/>
              </w:rPr>
              <w:t>例</w:t>
            </w:r>
            <w:r>
              <w:rPr>
                <w:rFonts w:hint="eastAsia" w:ascii="仿宋" w:hAnsi="仿宋" w:eastAsia="仿宋" w:cs="仿宋"/>
                <w:sz w:val="21"/>
                <w:szCs w:val="21"/>
              </w:rPr>
              <w:t>）</w:t>
            </w:r>
          </w:p>
        </w:tc>
        <w:tc>
          <w:tcPr>
            <w:tcW w:w="1438" w:type="dxa"/>
            <w:noWrap w:val="0"/>
            <w:vAlign w:val="center"/>
          </w:tcPr>
          <w:p w14:paraId="42C5E54A">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总预算（元）</w:t>
            </w:r>
          </w:p>
        </w:tc>
      </w:tr>
      <w:tr w14:paraId="0851FA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50" w:hRule="atLeast"/>
        </w:trPr>
        <w:tc>
          <w:tcPr>
            <w:tcW w:w="1544" w:type="dxa"/>
            <w:noWrap w:val="0"/>
            <w:vAlign w:val="center"/>
          </w:tcPr>
          <w:p w14:paraId="1AF7CC10">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检测服务</w:t>
            </w:r>
          </w:p>
        </w:tc>
        <w:tc>
          <w:tcPr>
            <w:tcW w:w="2283" w:type="dxa"/>
            <w:noWrap w:val="0"/>
            <w:vAlign w:val="center"/>
          </w:tcPr>
          <w:p w14:paraId="6D3F5A2B">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人微生物多样性检测（病原体靶向高通量测序）</w:t>
            </w:r>
          </w:p>
        </w:tc>
        <w:tc>
          <w:tcPr>
            <w:tcW w:w="2646" w:type="dxa"/>
            <w:noWrap w:val="0"/>
            <w:vAlign w:val="center"/>
          </w:tcPr>
          <w:p w14:paraId="372E7AF3">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b w:val="0"/>
                <w:bCs w:val="0"/>
                <w:sz w:val="21"/>
                <w:szCs w:val="21"/>
                <w:vertAlign w:val="baseline"/>
                <w:lang w:val="en-US" w:eastAsia="zh-CN"/>
              </w:rPr>
              <w:t>3ml/支</w:t>
            </w:r>
          </w:p>
        </w:tc>
        <w:tc>
          <w:tcPr>
            <w:tcW w:w="1867" w:type="dxa"/>
            <w:noWrap w:val="0"/>
            <w:vAlign w:val="center"/>
          </w:tcPr>
          <w:p w14:paraId="2AA7864D">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800例</w:t>
            </w:r>
          </w:p>
        </w:tc>
        <w:tc>
          <w:tcPr>
            <w:tcW w:w="1438" w:type="dxa"/>
            <w:vMerge w:val="restart"/>
            <w:noWrap w:val="0"/>
            <w:vAlign w:val="center"/>
          </w:tcPr>
          <w:p w14:paraId="7CA468D5">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190万/年</w:t>
            </w:r>
          </w:p>
        </w:tc>
      </w:tr>
      <w:tr w14:paraId="63B70B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43" w:hRule="atLeast"/>
        </w:trPr>
        <w:tc>
          <w:tcPr>
            <w:tcW w:w="1544" w:type="dxa"/>
            <w:noWrap w:val="0"/>
            <w:vAlign w:val="center"/>
          </w:tcPr>
          <w:p w14:paraId="7BCEFB57">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制备服务</w:t>
            </w:r>
          </w:p>
        </w:tc>
        <w:tc>
          <w:tcPr>
            <w:tcW w:w="2283" w:type="dxa"/>
            <w:noWrap w:val="0"/>
            <w:vAlign w:val="center"/>
          </w:tcPr>
          <w:p w14:paraId="1DAA60A9">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sz w:val="21"/>
                <w:szCs w:val="21"/>
              </w:rPr>
            </w:pPr>
            <w:r>
              <w:rPr>
                <w:rFonts w:hint="eastAsia" w:ascii="仿宋" w:hAnsi="仿宋" w:eastAsia="仿宋" w:cs="仿宋"/>
                <w:kern w:val="0"/>
                <w:sz w:val="21"/>
                <w:szCs w:val="21"/>
                <w:lang w:val="en-US" w:eastAsia="zh-CN" w:bidi="ar"/>
              </w:rPr>
              <w:t>标准化粪菌制备服务</w:t>
            </w:r>
          </w:p>
        </w:tc>
        <w:tc>
          <w:tcPr>
            <w:tcW w:w="2646" w:type="dxa"/>
            <w:noWrap w:val="0"/>
            <w:vAlign w:val="center"/>
          </w:tcPr>
          <w:p w14:paraId="48FA88F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肠菌胶囊：30粒/例</w:t>
            </w:r>
          </w:p>
          <w:p w14:paraId="6DAA337F">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kern w:val="0"/>
                <w:sz w:val="21"/>
                <w:szCs w:val="21"/>
                <w:lang w:val="en-US" w:eastAsia="zh-CN" w:bidi="ar"/>
              </w:rPr>
              <w:t>或菌液：150ml/例</w:t>
            </w:r>
          </w:p>
        </w:tc>
        <w:tc>
          <w:tcPr>
            <w:tcW w:w="1867" w:type="dxa"/>
            <w:noWrap w:val="0"/>
            <w:vAlign w:val="center"/>
          </w:tcPr>
          <w:p w14:paraId="20EC1B5B">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187例</w:t>
            </w:r>
          </w:p>
        </w:tc>
        <w:tc>
          <w:tcPr>
            <w:tcW w:w="1438" w:type="dxa"/>
            <w:vMerge w:val="continue"/>
            <w:noWrap w:val="0"/>
            <w:vAlign w:val="center"/>
          </w:tcPr>
          <w:p w14:paraId="4A0AF166">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p>
        </w:tc>
      </w:tr>
      <w:tr w14:paraId="52E7FA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544" w:type="dxa"/>
            <w:vMerge w:val="restart"/>
            <w:noWrap w:val="0"/>
            <w:vAlign w:val="center"/>
          </w:tcPr>
          <w:p w14:paraId="4E38A729">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肠道微生态调节剂</w:t>
            </w:r>
          </w:p>
        </w:tc>
        <w:tc>
          <w:tcPr>
            <w:tcW w:w="2283" w:type="dxa"/>
            <w:noWrap w:val="0"/>
            <w:vAlign w:val="center"/>
          </w:tcPr>
          <w:p w14:paraId="3E30DDDF">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复合益生元乳清蛋白</w:t>
            </w:r>
          </w:p>
        </w:tc>
        <w:tc>
          <w:tcPr>
            <w:tcW w:w="2646" w:type="dxa"/>
            <w:noWrap w:val="0"/>
            <w:vAlign w:val="center"/>
          </w:tcPr>
          <w:p w14:paraId="11D01A4D">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粉剂（配方需含乳清蛋白、益生元、益生菌，其中每100克添加活菌数≥50亿CFU（投料时））</w:t>
            </w:r>
          </w:p>
        </w:tc>
        <w:tc>
          <w:tcPr>
            <w:tcW w:w="1867" w:type="dxa"/>
            <w:vMerge w:val="restart"/>
            <w:noWrap w:val="0"/>
            <w:vAlign w:val="center"/>
          </w:tcPr>
          <w:p w14:paraId="3C50B9E6">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按需采购</w:t>
            </w:r>
          </w:p>
          <w:p w14:paraId="474FC8F3">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按实结算</w:t>
            </w:r>
          </w:p>
        </w:tc>
        <w:tc>
          <w:tcPr>
            <w:tcW w:w="1438" w:type="dxa"/>
            <w:vMerge w:val="continue"/>
            <w:noWrap w:val="0"/>
            <w:vAlign w:val="center"/>
          </w:tcPr>
          <w:p w14:paraId="394E97BC">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p>
        </w:tc>
      </w:tr>
      <w:tr w14:paraId="31318C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83" w:hRule="atLeast"/>
        </w:trPr>
        <w:tc>
          <w:tcPr>
            <w:tcW w:w="1544" w:type="dxa"/>
            <w:vMerge w:val="continue"/>
            <w:noWrap w:val="0"/>
            <w:vAlign w:val="center"/>
          </w:tcPr>
          <w:p w14:paraId="458CE051">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p>
        </w:tc>
        <w:tc>
          <w:tcPr>
            <w:tcW w:w="2283" w:type="dxa"/>
            <w:noWrap w:val="0"/>
            <w:vAlign w:val="center"/>
          </w:tcPr>
          <w:p w14:paraId="04D57877">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糖脂代谢型营养配方</w:t>
            </w:r>
          </w:p>
        </w:tc>
        <w:tc>
          <w:tcPr>
            <w:tcW w:w="2646" w:type="dxa"/>
            <w:noWrap w:val="0"/>
            <w:vAlign w:val="center"/>
          </w:tcPr>
          <w:p w14:paraId="2AECEB9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粉剂（配方需含多种益生元+多种肠道有益菌）</w:t>
            </w:r>
          </w:p>
        </w:tc>
        <w:tc>
          <w:tcPr>
            <w:tcW w:w="1867" w:type="dxa"/>
            <w:vMerge w:val="continue"/>
            <w:noWrap w:val="0"/>
            <w:vAlign w:val="center"/>
          </w:tcPr>
          <w:p w14:paraId="725D1C2D">
            <w:pPr>
              <w:keepNext w:val="0"/>
              <w:keepLines w:val="0"/>
              <w:pageBreakBefore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z w:val="21"/>
                <w:szCs w:val="21"/>
                <w:lang w:val="en-US" w:eastAsia="zh-CN"/>
              </w:rPr>
            </w:pPr>
          </w:p>
        </w:tc>
        <w:tc>
          <w:tcPr>
            <w:tcW w:w="1438" w:type="dxa"/>
            <w:vMerge w:val="continue"/>
            <w:noWrap w:val="0"/>
            <w:vAlign w:val="center"/>
          </w:tcPr>
          <w:p w14:paraId="60F413F9">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p>
        </w:tc>
      </w:tr>
      <w:tr w14:paraId="2B09D5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88" w:hRule="atLeast"/>
        </w:trPr>
        <w:tc>
          <w:tcPr>
            <w:tcW w:w="1544" w:type="dxa"/>
            <w:vMerge w:val="continue"/>
            <w:noWrap w:val="0"/>
            <w:vAlign w:val="center"/>
          </w:tcPr>
          <w:p w14:paraId="0D64E1C9">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p>
        </w:tc>
        <w:tc>
          <w:tcPr>
            <w:tcW w:w="2283" w:type="dxa"/>
            <w:noWrap w:val="0"/>
            <w:vAlign w:val="center"/>
          </w:tcPr>
          <w:p w14:paraId="3F7DDB85">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高纤复合膳食纤维</w:t>
            </w:r>
          </w:p>
        </w:tc>
        <w:tc>
          <w:tcPr>
            <w:tcW w:w="2646" w:type="dxa"/>
            <w:noWrap w:val="0"/>
            <w:vAlign w:val="center"/>
          </w:tcPr>
          <w:p w14:paraId="19163CD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粉剂（配方需符合国家高蛋白、高纤维食品标准）</w:t>
            </w:r>
          </w:p>
        </w:tc>
        <w:tc>
          <w:tcPr>
            <w:tcW w:w="1867" w:type="dxa"/>
            <w:vMerge w:val="continue"/>
            <w:noWrap w:val="0"/>
            <w:vAlign w:val="center"/>
          </w:tcPr>
          <w:p w14:paraId="0AE31BAA">
            <w:pPr>
              <w:keepNext w:val="0"/>
              <w:keepLines w:val="0"/>
              <w:pageBreakBefore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z w:val="21"/>
                <w:szCs w:val="21"/>
                <w:lang w:val="en-US" w:eastAsia="zh-CN"/>
              </w:rPr>
            </w:pPr>
          </w:p>
        </w:tc>
        <w:tc>
          <w:tcPr>
            <w:tcW w:w="1438" w:type="dxa"/>
            <w:vMerge w:val="continue"/>
            <w:noWrap w:val="0"/>
            <w:vAlign w:val="center"/>
          </w:tcPr>
          <w:p w14:paraId="3E4F8E2A">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p>
        </w:tc>
      </w:tr>
      <w:tr w14:paraId="3C652C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88" w:hRule="atLeast"/>
        </w:trPr>
        <w:tc>
          <w:tcPr>
            <w:tcW w:w="1544" w:type="dxa"/>
            <w:vMerge w:val="continue"/>
            <w:noWrap w:val="0"/>
            <w:vAlign w:val="center"/>
          </w:tcPr>
          <w:p w14:paraId="1766345E">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p>
        </w:tc>
        <w:tc>
          <w:tcPr>
            <w:tcW w:w="2283" w:type="dxa"/>
            <w:noWrap w:val="0"/>
            <w:vAlign w:val="center"/>
          </w:tcPr>
          <w:p w14:paraId="26C8A43B">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高碳水饮食型营养配方</w:t>
            </w:r>
          </w:p>
        </w:tc>
        <w:tc>
          <w:tcPr>
            <w:tcW w:w="2646" w:type="dxa"/>
            <w:noWrap w:val="0"/>
            <w:vAlign w:val="center"/>
          </w:tcPr>
          <w:p w14:paraId="6F70F2EC">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粉剂（配方需含可溶性+不可溶性膳食纤维）</w:t>
            </w:r>
          </w:p>
        </w:tc>
        <w:tc>
          <w:tcPr>
            <w:tcW w:w="1867" w:type="dxa"/>
            <w:vMerge w:val="continue"/>
            <w:noWrap w:val="0"/>
            <w:vAlign w:val="center"/>
          </w:tcPr>
          <w:p w14:paraId="13C126E9">
            <w:pPr>
              <w:keepNext w:val="0"/>
              <w:keepLines w:val="0"/>
              <w:pageBreakBefore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z w:val="21"/>
                <w:szCs w:val="21"/>
                <w:lang w:val="en-US" w:eastAsia="zh-CN"/>
              </w:rPr>
            </w:pPr>
          </w:p>
        </w:tc>
        <w:tc>
          <w:tcPr>
            <w:tcW w:w="1438" w:type="dxa"/>
            <w:vMerge w:val="continue"/>
            <w:noWrap w:val="0"/>
            <w:vAlign w:val="center"/>
          </w:tcPr>
          <w:p w14:paraId="0B1372B8">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p>
        </w:tc>
      </w:tr>
      <w:tr w14:paraId="66DB1F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88" w:hRule="atLeast"/>
        </w:trPr>
        <w:tc>
          <w:tcPr>
            <w:tcW w:w="1544" w:type="dxa"/>
            <w:vMerge w:val="continue"/>
            <w:noWrap w:val="0"/>
            <w:vAlign w:val="center"/>
          </w:tcPr>
          <w:p w14:paraId="6E009718">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p>
        </w:tc>
        <w:tc>
          <w:tcPr>
            <w:tcW w:w="2283" w:type="dxa"/>
            <w:noWrap w:val="0"/>
            <w:vAlign w:val="center"/>
          </w:tcPr>
          <w:p w14:paraId="66F7EF9F">
            <w:pPr>
              <w:keepNext w:val="0"/>
              <w:keepLines w:val="0"/>
              <w:pageBreakBefore w:val="0"/>
              <w:widowControl/>
              <w:suppressLineNumbers w:val="0"/>
              <w:kinsoku/>
              <w:wordWrap/>
              <w:overflowPunct/>
              <w:topLinePunct w:val="0"/>
              <w:autoSpaceDE/>
              <w:autoSpaceDN/>
              <w:bidi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复合花色苷固体饮料</w:t>
            </w:r>
          </w:p>
        </w:tc>
        <w:tc>
          <w:tcPr>
            <w:tcW w:w="2646" w:type="dxa"/>
            <w:noWrap w:val="0"/>
            <w:vAlign w:val="center"/>
          </w:tcPr>
          <w:p w14:paraId="0BC235DC">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粉剂（配方需含高含量花色苷）</w:t>
            </w:r>
          </w:p>
        </w:tc>
        <w:tc>
          <w:tcPr>
            <w:tcW w:w="1867" w:type="dxa"/>
            <w:vMerge w:val="continue"/>
            <w:noWrap w:val="0"/>
            <w:vAlign w:val="center"/>
          </w:tcPr>
          <w:p w14:paraId="28B57189">
            <w:pPr>
              <w:keepNext w:val="0"/>
              <w:keepLines w:val="0"/>
              <w:pageBreakBefore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z w:val="21"/>
                <w:szCs w:val="21"/>
                <w:lang w:val="en-US" w:eastAsia="zh-CN"/>
              </w:rPr>
            </w:pPr>
          </w:p>
        </w:tc>
        <w:tc>
          <w:tcPr>
            <w:tcW w:w="1438" w:type="dxa"/>
            <w:vMerge w:val="continue"/>
            <w:noWrap w:val="0"/>
            <w:vAlign w:val="center"/>
          </w:tcPr>
          <w:p w14:paraId="401F7982">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仿宋" w:hAnsi="仿宋" w:eastAsia="仿宋" w:cs="仿宋"/>
                <w:sz w:val="21"/>
                <w:szCs w:val="21"/>
                <w:lang w:val="en-US" w:eastAsia="zh-CN"/>
              </w:rPr>
            </w:pPr>
          </w:p>
        </w:tc>
      </w:tr>
    </w:tbl>
    <w:p w14:paraId="197730CD">
      <w:pPr>
        <w:keepNext w:val="0"/>
        <w:keepLines w:val="0"/>
        <w:pageBreakBefore w:val="0"/>
        <w:kinsoku/>
        <w:wordWrap/>
        <w:overflowPunct/>
        <w:topLinePunct w:val="0"/>
        <w:bidi w:val="0"/>
        <w:spacing w:line="500" w:lineRule="exact"/>
        <w:outlineLvl w:val="0"/>
        <w:rPr>
          <w:rFonts w:hint="eastAsia" w:ascii="仿宋" w:hAnsi="仿宋" w:eastAsia="仿宋" w:cs="仿宋"/>
          <w:b/>
          <w:bCs/>
          <w:sz w:val="28"/>
          <w:szCs w:val="28"/>
        </w:rPr>
      </w:pP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项目技术参数</w:t>
      </w:r>
    </w:p>
    <w:p w14:paraId="0548A6DC">
      <w:pPr>
        <w:keepNext w:val="0"/>
        <w:keepLines w:val="0"/>
        <w:pageBreakBefore w:val="0"/>
        <w:kinsoku/>
        <w:wordWrap/>
        <w:overflowPunct/>
        <w:topLinePunct w:val="0"/>
        <w:bidi w:val="0"/>
        <w:spacing w:line="500" w:lineRule="exact"/>
        <w:outlineLvl w:val="1"/>
        <w:rPr>
          <w:rFonts w:hint="eastAsia" w:ascii="仿宋" w:hAnsi="仿宋" w:eastAsia="仿宋" w:cs="仿宋"/>
          <w:b/>
          <w:bCs/>
          <w:sz w:val="28"/>
          <w:szCs w:val="28"/>
        </w:rPr>
      </w:pPr>
      <w:r>
        <w:rPr>
          <w:rFonts w:hint="eastAsia" w:ascii="仿宋" w:hAnsi="仿宋" w:eastAsia="仿宋" w:cs="仿宋"/>
          <w:b/>
          <w:bCs/>
          <w:sz w:val="28"/>
          <w:szCs w:val="28"/>
        </w:rPr>
        <w:t>（一）</w:t>
      </w:r>
      <w:r>
        <w:rPr>
          <w:rFonts w:hint="eastAsia" w:ascii="仿宋" w:hAnsi="仿宋" w:eastAsia="仿宋" w:cs="仿宋"/>
          <w:b/>
          <w:bCs/>
          <w:sz w:val="28"/>
          <w:szCs w:val="28"/>
          <w:lang w:val="en-US" w:eastAsia="zh-CN"/>
        </w:rPr>
        <w:t>人微生物多样性检测（病原体靶向高通量测序）</w:t>
      </w:r>
      <w:r>
        <w:rPr>
          <w:rFonts w:hint="eastAsia" w:ascii="仿宋" w:hAnsi="仿宋" w:eastAsia="仿宋" w:cs="仿宋"/>
          <w:b/>
          <w:bCs/>
          <w:sz w:val="28"/>
          <w:szCs w:val="28"/>
        </w:rPr>
        <w:t>服务要求</w:t>
      </w:r>
    </w:p>
    <w:p w14:paraId="1CBEEB9F">
      <w:pPr>
        <w:keepNext w:val="0"/>
        <w:keepLines w:val="0"/>
        <w:pageBreakBefore w:val="0"/>
        <w:numPr>
          <w:ilvl w:val="0"/>
          <w:numId w:val="0"/>
        </w:numPr>
        <w:kinsoku/>
        <w:wordWrap/>
        <w:overflowPunct/>
        <w:topLinePunct w:val="0"/>
        <w:bidi w:val="0"/>
        <w:spacing w:line="500" w:lineRule="exact"/>
        <w:ind w:left="-425" w:leftChars="0" w:firstLine="562" w:firstLineChars="200"/>
        <w:outlineLvl w:val="2"/>
        <w:rPr>
          <w:rFonts w:hint="eastAsia" w:ascii="仿宋" w:hAnsi="仿宋" w:eastAsia="仿宋" w:cs="仿宋"/>
          <w:sz w:val="28"/>
          <w:szCs w:val="28"/>
        </w:rPr>
      </w:pPr>
      <w:r>
        <w:rPr>
          <w:rFonts w:hint="eastAsia" w:ascii="仿宋" w:hAnsi="仿宋" w:eastAsia="仿宋" w:cs="仿宋"/>
          <w:b/>
          <w:bCs/>
          <w:sz w:val="28"/>
          <w:szCs w:val="28"/>
          <w:lang w:val="en-US" w:eastAsia="zh-CN"/>
        </w:rPr>
        <w:t>1.</w:t>
      </w:r>
      <w:r>
        <w:rPr>
          <w:rFonts w:hint="eastAsia" w:ascii="仿宋" w:hAnsi="仿宋" w:eastAsia="仿宋" w:cs="仿宋"/>
          <w:b/>
          <w:bCs/>
          <w:sz w:val="28"/>
          <w:szCs w:val="28"/>
        </w:rPr>
        <w:t>采集工具包：</w:t>
      </w:r>
      <w:r>
        <w:rPr>
          <w:rFonts w:hint="eastAsia" w:ascii="仿宋" w:hAnsi="仿宋" w:eastAsia="仿宋" w:cs="仿宋"/>
          <w:sz w:val="28"/>
          <w:szCs w:val="28"/>
        </w:rPr>
        <w:t>提供含无菌防漏采样管、专用保存液、样本信息登记表的套装；保存液需满足室温稳定保存≥72小时、-20℃长期保存≥6 个月。</w:t>
      </w:r>
    </w:p>
    <w:p w14:paraId="29542B71">
      <w:pPr>
        <w:keepNext w:val="0"/>
        <w:keepLines w:val="0"/>
        <w:pageBreakBefore w:val="0"/>
        <w:numPr>
          <w:ilvl w:val="0"/>
          <w:numId w:val="0"/>
        </w:numPr>
        <w:kinsoku/>
        <w:wordWrap/>
        <w:overflowPunct/>
        <w:topLinePunct w:val="0"/>
        <w:bidi w:val="0"/>
        <w:spacing w:line="500" w:lineRule="exact"/>
        <w:ind w:left="-425" w:leftChars="0" w:firstLine="562" w:firstLineChars="200"/>
        <w:outlineLvl w:val="2"/>
        <w:rPr>
          <w:rFonts w:hint="eastAsia" w:ascii="仿宋" w:hAnsi="仿宋" w:eastAsia="仿宋" w:cs="仿宋"/>
          <w:sz w:val="28"/>
          <w:szCs w:val="28"/>
        </w:rPr>
      </w:pPr>
      <w:r>
        <w:rPr>
          <w:rFonts w:hint="eastAsia" w:ascii="仿宋" w:hAnsi="仿宋" w:eastAsia="仿宋" w:cs="仿宋"/>
          <w:b/>
          <w:bCs/>
          <w:sz w:val="28"/>
          <w:szCs w:val="28"/>
          <w:lang w:val="en-US" w:eastAsia="zh-CN"/>
        </w:rPr>
        <w:t>2.</w:t>
      </w:r>
      <w:r>
        <w:rPr>
          <w:rFonts w:hint="eastAsia" w:ascii="仿宋" w:hAnsi="仿宋" w:eastAsia="仿宋" w:cs="仿宋"/>
          <w:b/>
          <w:bCs/>
          <w:sz w:val="28"/>
          <w:szCs w:val="28"/>
        </w:rPr>
        <w:t>样本管理：</w:t>
      </w:r>
      <w:r>
        <w:rPr>
          <w:rFonts w:hint="eastAsia" w:ascii="仿宋" w:hAnsi="仿宋" w:eastAsia="仿宋" w:cs="仿宋"/>
          <w:sz w:val="28"/>
          <w:szCs w:val="28"/>
        </w:rPr>
        <w:t>接收时记录样本编号、采集时间、保存条件、客户信息，检查密封性与污染痕迹，同步录入实验室信息管理系统。</w:t>
      </w:r>
    </w:p>
    <w:p w14:paraId="11F54629">
      <w:pPr>
        <w:keepNext w:val="0"/>
        <w:keepLines w:val="0"/>
        <w:pageBreakBefore w:val="0"/>
        <w:numPr>
          <w:ilvl w:val="0"/>
          <w:numId w:val="0"/>
        </w:numPr>
        <w:kinsoku/>
        <w:wordWrap/>
        <w:overflowPunct/>
        <w:topLinePunct w:val="0"/>
        <w:bidi w:val="0"/>
        <w:spacing w:line="500" w:lineRule="exact"/>
        <w:ind w:left="-425" w:leftChars="0" w:firstLine="562" w:firstLineChars="200"/>
        <w:outlineLvl w:val="2"/>
        <w:rPr>
          <w:rFonts w:hint="eastAsia" w:ascii="仿宋" w:hAnsi="仿宋" w:eastAsia="仿宋" w:cs="仿宋"/>
          <w:bCs/>
          <w:sz w:val="28"/>
          <w:szCs w:val="28"/>
          <w:lang w:val="en-US" w:eastAsia="zh-CN"/>
        </w:rPr>
      </w:pPr>
      <w:r>
        <w:rPr>
          <w:rFonts w:hint="eastAsia" w:ascii="仿宋" w:hAnsi="仿宋" w:eastAsia="仿宋" w:cs="仿宋"/>
          <w:b/>
          <w:bCs w:val="0"/>
          <w:sz w:val="28"/>
          <w:szCs w:val="28"/>
          <w:lang w:val="en-US" w:eastAsia="zh-CN"/>
        </w:rPr>
        <w:t>3.测序平台：</w:t>
      </w:r>
      <w:r>
        <w:rPr>
          <w:rFonts w:hint="eastAsia" w:ascii="仿宋" w:hAnsi="仿宋" w:eastAsia="仿宋" w:cs="仿宋"/>
          <w:bCs/>
          <w:sz w:val="28"/>
          <w:szCs w:val="28"/>
          <w:lang w:val="en-US" w:eastAsia="zh-CN"/>
        </w:rPr>
        <w:t>采用华大智造（MGI）、Illumina、PacBio、Oxford Nanopore等主流高通量平台，提供设备使用证明。</w:t>
      </w:r>
    </w:p>
    <w:p w14:paraId="58028DFB">
      <w:pPr>
        <w:keepNext w:val="0"/>
        <w:keepLines w:val="0"/>
        <w:pageBreakBefore w:val="0"/>
        <w:numPr>
          <w:ilvl w:val="0"/>
          <w:numId w:val="0"/>
        </w:numPr>
        <w:kinsoku/>
        <w:wordWrap/>
        <w:overflowPunct/>
        <w:topLinePunct w:val="0"/>
        <w:bidi w:val="0"/>
        <w:spacing w:line="500" w:lineRule="exact"/>
        <w:ind w:left="-425" w:leftChars="0" w:firstLine="562" w:firstLineChars="200"/>
        <w:outlineLvl w:val="2"/>
        <w:rPr>
          <w:rFonts w:hint="eastAsia" w:ascii="仿宋" w:hAnsi="仿宋" w:eastAsia="仿宋" w:cs="仿宋"/>
          <w:sz w:val="28"/>
          <w:szCs w:val="28"/>
        </w:rPr>
      </w:pPr>
      <w:r>
        <w:rPr>
          <w:rFonts w:hint="eastAsia" w:ascii="仿宋" w:hAnsi="仿宋" w:eastAsia="仿宋" w:cs="仿宋"/>
          <w:b/>
          <w:bCs w:val="0"/>
          <w:sz w:val="28"/>
          <w:szCs w:val="28"/>
          <w:lang w:val="en-US" w:eastAsia="zh-CN"/>
        </w:rPr>
        <w:t>4.</w:t>
      </w:r>
      <w:r>
        <w:rPr>
          <w:rFonts w:hint="eastAsia" w:ascii="仿宋" w:hAnsi="仿宋" w:eastAsia="仿宋" w:cs="仿宋"/>
          <w:b/>
          <w:bCs w:val="0"/>
          <w:sz w:val="28"/>
          <w:szCs w:val="28"/>
        </w:rPr>
        <w:t>★测序参数：针对16SrRNA基因V4可变区（或指定区域）测序，单样本平均数据量≥10万条 reads（最低≥5万条），Q30质量值≥85%，有效序列完整覆盖目标区域。</w:t>
      </w:r>
    </w:p>
    <w:p w14:paraId="03662D72">
      <w:pPr>
        <w:keepNext w:val="0"/>
        <w:keepLines w:val="0"/>
        <w:pageBreakBefore w:val="0"/>
        <w:numPr>
          <w:ilvl w:val="0"/>
          <w:numId w:val="0"/>
        </w:numPr>
        <w:kinsoku/>
        <w:wordWrap/>
        <w:overflowPunct/>
        <w:topLinePunct w:val="0"/>
        <w:bidi w:val="0"/>
        <w:spacing w:line="500" w:lineRule="exact"/>
        <w:ind w:left="-425" w:leftChars="0" w:firstLine="562" w:firstLineChars="200"/>
        <w:outlineLvl w:val="2"/>
        <w:rPr>
          <w:rFonts w:hint="eastAsia" w:ascii="仿宋" w:hAnsi="仿宋" w:eastAsia="仿宋" w:cs="仿宋"/>
          <w:sz w:val="28"/>
          <w:szCs w:val="28"/>
        </w:rPr>
      </w:pP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物种注释：</w:t>
      </w:r>
      <w:r>
        <w:rPr>
          <w:rFonts w:hint="eastAsia" w:ascii="仿宋" w:hAnsi="仿宋" w:eastAsia="仿宋" w:cs="仿宋"/>
          <w:sz w:val="28"/>
          <w:szCs w:val="28"/>
        </w:rPr>
        <w:t>基于SILVA或Greengenes数据库，确保物种鉴定准确。</w:t>
      </w:r>
    </w:p>
    <w:p w14:paraId="5CC14DF9">
      <w:pPr>
        <w:keepNext w:val="0"/>
        <w:keepLines w:val="0"/>
        <w:pageBreakBefore w:val="0"/>
        <w:numPr>
          <w:ilvl w:val="0"/>
          <w:numId w:val="0"/>
        </w:numPr>
        <w:kinsoku/>
        <w:wordWrap/>
        <w:overflowPunct/>
        <w:topLinePunct w:val="0"/>
        <w:bidi w:val="0"/>
        <w:spacing w:line="500" w:lineRule="exact"/>
        <w:ind w:left="-425" w:leftChars="0" w:firstLine="562" w:firstLineChars="200"/>
        <w:outlineLvl w:val="2"/>
        <w:rPr>
          <w:rFonts w:hint="eastAsia" w:ascii="仿宋" w:hAnsi="仿宋" w:eastAsia="仿宋" w:cs="仿宋"/>
          <w:sz w:val="28"/>
          <w:szCs w:val="28"/>
        </w:rPr>
      </w:pPr>
      <w:r>
        <w:rPr>
          <w:rFonts w:hint="eastAsia" w:ascii="仿宋" w:hAnsi="仿宋" w:eastAsia="仿宋" w:cs="仿宋"/>
          <w:b/>
          <w:bCs/>
          <w:sz w:val="28"/>
          <w:szCs w:val="28"/>
          <w:lang w:val="en-US" w:eastAsia="zh-CN"/>
        </w:rPr>
        <w:t>6.</w:t>
      </w:r>
      <w:r>
        <w:rPr>
          <w:rFonts w:hint="eastAsia" w:ascii="仿宋" w:hAnsi="仿宋" w:eastAsia="仿宋" w:cs="仿宋"/>
          <w:b/>
          <w:bCs/>
          <w:sz w:val="28"/>
          <w:szCs w:val="28"/>
        </w:rPr>
        <w:t>检测报告：</w:t>
      </w:r>
      <w:r>
        <w:rPr>
          <w:rFonts w:hint="eastAsia" w:ascii="仿宋" w:hAnsi="仿宋" w:eastAsia="仿宋" w:cs="仿宋"/>
          <w:sz w:val="28"/>
          <w:szCs w:val="28"/>
        </w:rPr>
        <w:t>10个工作日内出具电子/纸质报告，包含菌群健康得分、多样性与平衡性、肠型、疾病相关菌属、风险分析、营养指导等内容。</w:t>
      </w:r>
    </w:p>
    <w:p w14:paraId="2B7ACA7D">
      <w:pPr>
        <w:keepNext w:val="0"/>
        <w:keepLines w:val="0"/>
        <w:pageBreakBefore w:val="0"/>
        <w:kinsoku/>
        <w:wordWrap/>
        <w:overflowPunct/>
        <w:topLinePunct w:val="0"/>
        <w:bidi w:val="0"/>
        <w:spacing w:line="500" w:lineRule="exact"/>
        <w:ind w:left="0" w:leftChars="0"/>
        <w:outlineLvl w:val="1"/>
        <w:rPr>
          <w:rFonts w:hint="eastAsia" w:ascii="仿宋" w:hAnsi="仿宋" w:eastAsia="仿宋" w:cs="仿宋"/>
          <w:b/>
          <w:bCs/>
          <w:sz w:val="28"/>
          <w:szCs w:val="28"/>
        </w:rPr>
      </w:pPr>
      <w:r>
        <w:rPr>
          <w:rFonts w:hint="eastAsia" w:ascii="仿宋" w:hAnsi="仿宋" w:eastAsia="仿宋" w:cs="仿宋"/>
          <w:b/>
          <w:bCs/>
          <w:sz w:val="28"/>
          <w:szCs w:val="28"/>
        </w:rPr>
        <w:t>（二）肠菌移植用菌液/胶囊制备服务要求</w:t>
      </w:r>
    </w:p>
    <w:p w14:paraId="23BB772C">
      <w:pPr>
        <w:pStyle w:val="12"/>
        <w:keepNext w:val="0"/>
        <w:keepLines w:val="0"/>
        <w:pageBreakBefore w:val="0"/>
        <w:numPr>
          <w:ilvl w:val="0"/>
          <w:numId w:val="0"/>
        </w:numPr>
        <w:kinsoku/>
        <w:wordWrap/>
        <w:overflowPunct/>
        <w:topLinePunct w:val="0"/>
        <w:bidi w:val="0"/>
        <w:spacing w:line="500" w:lineRule="exact"/>
        <w:ind w:left="-425" w:leftChars="0" w:firstLine="562" w:firstLineChars="200"/>
        <w:outlineLvl w:val="2"/>
        <w:rPr>
          <w:rFonts w:hint="eastAsia" w:ascii="仿宋" w:hAnsi="仿宋" w:eastAsia="仿宋" w:cs="仿宋"/>
          <w:b/>
          <w:bCs w:val="0"/>
          <w:sz w:val="28"/>
          <w:szCs w:val="28"/>
        </w:rPr>
      </w:pPr>
      <w:r>
        <w:rPr>
          <w:rFonts w:hint="eastAsia" w:ascii="仿宋" w:hAnsi="仿宋" w:eastAsia="仿宋" w:cs="仿宋"/>
          <w:b/>
          <w:bCs w:val="0"/>
          <w:sz w:val="28"/>
          <w:szCs w:val="28"/>
          <w:lang w:val="en-US" w:eastAsia="zh-CN"/>
        </w:rPr>
        <w:t>1.</w:t>
      </w:r>
      <w:r>
        <w:rPr>
          <w:rFonts w:hint="eastAsia" w:ascii="仿宋" w:hAnsi="仿宋" w:eastAsia="仿宋" w:cs="仿宋"/>
          <w:b/>
          <w:bCs w:val="0"/>
          <w:sz w:val="28"/>
          <w:szCs w:val="28"/>
        </w:rPr>
        <w:t>肠菌移植用菌液/胶囊制备服务要求</w:t>
      </w:r>
    </w:p>
    <w:p w14:paraId="46A6CD14">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2"/>
        <w:rPr>
          <w:rFonts w:hint="eastAsia" w:ascii="仿宋" w:hAnsi="仿宋" w:eastAsia="仿宋" w:cs="仿宋"/>
          <w:bCs/>
          <w:sz w:val="28"/>
          <w:szCs w:val="28"/>
        </w:rPr>
      </w:pPr>
      <w:r>
        <w:rPr>
          <w:rFonts w:hint="eastAsia" w:ascii="仿宋" w:hAnsi="仿宋" w:eastAsia="仿宋" w:cs="仿宋"/>
          <w:bCs/>
          <w:sz w:val="28"/>
          <w:szCs w:val="28"/>
        </w:rPr>
        <w:t>必须严格按照《肠道菌群移植临床应用管理中国专家共识（2022版）》中菌液制作SOP流程与质控要求、胶囊制备SOP流程及质控标准执行。</w:t>
      </w:r>
    </w:p>
    <w:p w14:paraId="5A513F40">
      <w:pPr>
        <w:pStyle w:val="12"/>
        <w:keepNext w:val="0"/>
        <w:keepLines w:val="0"/>
        <w:pageBreakBefore w:val="0"/>
        <w:numPr>
          <w:ilvl w:val="0"/>
          <w:numId w:val="0"/>
        </w:numPr>
        <w:kinsoku/>
        <w:wordWrap/>
        <w:overflowPunct/>
        <w:topLinePunct w:val="0"/>
        <w:bidi w:val="0"/>
        <w:spacing w:line="500" w:lineRule="exact"/>
        <w:outlineLvl w:val="2"/>
        <w:rPr>
          <w:rFonts w:hint="eastAsia" w:ascii="仿宋" w:hAnsi="仿宋" w:eastAsia="仿宋" w:cs="仿宋"/>
          <w:b/>
          <w:bCs w:val="0"/>
          <w:sz w:val="28"/>
          <w:szCs w:val="28"/>
        </w:rPr>
      </w:pPr>
      <w:r>
        <w:rPr>
          <w:rFonts w:hint="eastAsia" w:ascii="仿宋" w:hAnsi="仿宋" w:eastAsia="仿宋" w:cs="仿宋"/>
          <w:b/>
          <w:bCs w:val="0"/>
          <w:sz w:val="28"/>
          <w:szCs w:val="28"/>
          <w:lang w:val="en-US" w:eastAsia="zh-CN"/>
        </w:rPr>
        <w:t>2.</w:t>
      </w:r>
      <w:r>
        <w:rPr>
          <w:rFonts w:hint="eastAsia" w:ascii="仿宋" w:hAnsi="仿宋" w:eastAsia="仿宋" w:cs="仿宋"/>
          <w:b/>
          <w:bCs w:val="0"/>
          <w:sz w:val="28"/>
          <w:szCs w:val="28"/>
        </w:rPr>
        <w:t>实验室要求</w:t>
      </w:r>
    </w:p>
    <w:p w14:paraId="4A1651C0">
      <w:pPr>
        <w:pStyle w:val="12"/>
        <w:keepNext w:val="0"/>
        <w:keepLines w:val="0"/>
        <w:pageBreakBefore w:val="0"/>
        <w:numPr>
          <w:ilvl w:val="0"/>
          <w:numId w:val="0"/>
        </w:numPr>
        <w:kinsoku/>
        <w:wordWrap/>
        <w:overflowPunct/>
        <w:topLinePunct w:val="0"/>
        <w:bidi w:val="0"/>
        <w:spacing w:line="500" w:lineRule="exact"/>
        <w:ind w:left="-425" w:leftChars="0" w:firstLine="280" w:firstLineChars="100"/>
        <w:outlineLvl w:val="3"/>
        <w:rPr>
          <w:rFonts w:hint="eastAsia" w:ascii="仿宋" w:hAnsi="仿宋" w:eastAsia="仿宋" w:cs="仿宋"/>
          <w:bCs/>
          <w:sz w:val="28"/>
          <w:szCs w:val="28"/>
        </w:rPr>
      </w:pPr>
      <w:r>
        <w:rPr>
          <w:rFonts w:hint="eastAsia" w:ascii="仿宋" w:hAnsi="仿宋" w:eastAsia="仿宋" w:cs="仿宋"/>
          <w:bCs/>
          <w:sz w:val="28"/>
          <w:szCs w:val="28"/>
          <w:lang w:eastAsia="zh-CN"/>
        </w:rPr>
        <w:t>（</w:t>
      </w:r>
      <w:r>
        <w:rPr>
          <w:rFonts w:hint="eastAsia" w:ascii="仿宋" w:hAnsi="仿宋" w:eastAsia="仿宋" w:cs="仿宋"/>
          <w:bCs/>
          <w:sz w:val="28"/>
          <w:szCs w:val="28"/>
          <w:lang w:val="en-US" w:eastAsia="zh-CN"/>
        </w:rPr>
        <w:t>1</w:t>
      </w:r>
      <w:r>
        <w:rPr>
          <w:rFonts w:hint="eastAsia" w:ascii="仿宋" w:hAnsi="仿宋" w:eastAsia="仿宋" w:cs="仿宋"/>
          <w:bCs/>
          <w:sz w:val="28"/>
          <w:szCs w:val="28"/>
          <w:lang w:eastAsia="zh-CN"/>
        </w:rPr>
        <w:t>）</w:t>
      </w:r>
      <w:r>
        <w:rPr>
          <w:rFonts w:hint="eastAsia" w:ascii="仿宋" w:hAnsi="仿宋" w:eastAsia="仿宋" w:cs="仿宋"/>
          <w:bCs/>
          <w:sz w:val="28"/>
          <w:szCs w:val="28"/>
        </w:rPr>
        <w:t>FMT菌液和胶囊制备实验室管理要求必须按照《肠道菌群移植临床应用管理中国专家共识（2022版）》要求。</w:t>
      </w:r>
    </w:p>
    <w:p w14:paraId="1EF5A856">
      <w:pPr>
        <w:pStyle w:val="12"/>
        <w:keepNext w:val="0"/>
        <w:keepLines w:val="0"/>
        <w:pageBreakBefore w:val="0"/>
        <w:numPr>
          <w:ilvl w:val="0"/>
          <w:numId w:val="0"/>
        </w:numPr>
        <w:kinsoku/>
        <w:wordWrap/>
        <w:overflowPunct/>
        <w:topLinePunct w:val="0"/>
        <w:bidi w:val="0"/>
        <w:spacing w:line="500" w:lineRule="exact"/>
        <w:ind w:left="-425" w:leftChars="0" w:firstLine="280" w:firstLineChars="100"/>
        <w:outlineLvl w:val="3"/>
        <w:rPr>
          <w:rFonts w:hint="eastAsia" w:ascii="仿宋" w:hAnsi="仿宋" w:eastAsia="仿宋" w:cs="仿宋"/>
          <w:bCs/>
          <w:sz w:val="28"/>
          <w:szCs w:val="28"/>
        </w:rPr>
      </w:pPr>
      <w:r>
        <w:rPr>
          <w:rFonts w:hint="eastAsia" w:ascii="仿宋" w:hAnsi="仿宋" w:eastAsia="仿宋" w:cs="仿宋"/>
          <w:bCs/>
          <w:sz w:val="28"/>
          <w:szCs w:val="28"/>
          <w:lang w:eastAsia="zh-CN"/>
        </w:rPr>
        <w:t>（</w:t>
      </w:r>
      <w:r>
        <w:rPr>
          <w:rFonts w:hint="eastAsia" w:ascii="仿宋" w:hAnsi="仿宋" w:eastAsia="仿宋" w:cs="仿宋"/>
          <w:bCs/>
          <w:sz w:val="28"/>
          <w:szCs w:val="28"/>
          <w:lang w:val="en-US" w:eastAsia="zh-CN"/>
        </w:rPr>
        <w:t>2</w:t>
      </w:r>
      <w:r>
        <w:rPr>
          <w:rFonts w:hint="eastAsia" w:ascii="仿宋" w:hAnsi="仿宋" w:eastAsia="仿宋" w:cs="仿宋"/>
          <w:bCs/>
          <w:sz w:val="28"/>
          <w:szCs w:val="28"/>
          <w:lang w:eastAsia="zh-CN"/>
        </w:rPr>
        <w:t>）</w:t>
      </w:r>
      <w:r>
        <w:rPr>
          <w:rFonts w:hint="eastAsia" w:ascii="仿宋" w:hAnsi="仿宋" w:eastAsia="仿宋" w:cs="仿宋"/>
          <w:bCs/>
          <w:sz w:val="28"/>
          <w:szCs w:val="28"/>
        </w:rPr>
        <w:t>实验室具体布局必须按照《肠道菌群移植临床应用管理中国专家共识（2022版）》要求。</w:t>
      </w:r>
    </w:p>
    <w:p w14:paraId="0CD28EE9">
      <w:pPr>
        <w:pStyle w:val="12"/>
        <w:keepNext w:val="0"/>
        <w:keepLines w:val="0"/>
        <w:pageBreakBefore w:val="0"/>
        <w:numPr>
          <w:ilvl w:val="0"/>
          <w:numId w:val="0"/>
        </w:numPr>
        <w:kinsoku/>
        <w:wordWrap/>
        <w:overflowPunct/>
        <w:topLinePunct w:val="0"/>
        <w:bidi w:val="0"/>
        <w:spacing w:line="500" w:lineRule="exact"/>
        <w:ind w:left="-425" w:leftChars="0" w:firstLine="280" w:firstLineChars="100"/>
        <w:outlineLvl w:val="3"/>
        <w:rPr>
          <w:rFonts w:hint="eastAsia" w:ascii="仿宋" w:hAnsi="仿宋" w:eastAsia="仿宋" w:cs="仿宋"/>
          <w:bCs/>
          <w:sz w:val="28"/>
          <w:szCs w:val="28"/>
        </w:rPr>
      </w:pPr>
      <w:r>
        <w:rPr>
          <w:rFonts w:hint="eastAsia" w:ascii="仿宋" w:hAnsi="仿宋" w:eastAsia="仿宋" w:cs="仿宋"/>
          <w:bCs/>
          <w:sz w:val="28"/>
          <w:szCs w:val="28"/>
          <w:lang w:val="en-US" w:eastAsia="zh-CN"/>
        </w:rPr>
        <w:t>（3）具</w:t>
      </w:r>
      <w:r>
        <w:rPr>
          <w:rFonts w:hint="eastAsia" w:ascii="仿宋" w:hAnsi="仿宋" w:eastAsia="仿宋" w:cs="仿宋"/>
          <w:bCs/>
          <w:sz w:val="28"/>
          <w:szCs w:val="28"/>
        </w:rPr>
        <w:t>体要求包括以下项目，但不限于以下项目：</w:t>
      </w:r>
    </w:p>
    <w:p w14:paraId="7538444C">
      <w:pPr>
        <w:pStyle w:val="12"/>
        <w:keepNext w:val="0"/>
        <w:keepLines w:val="0"/>
        <w:pageBreakBefore w:val="0"/>
        <w:numPr>
          <w:ilvl w:val="0"/>
          <w:numId w:val="0"/>
        </w:numPr>
        <w:kinsoku/>
        <w:wordWrap/>
        <w:overflowPunct/>
        <w:topLinePunct w:val="0"/>
        <w:bidi w:val="0"/>
        <w:spacing w:line="500" w:lineRule="exact"/>
        <w:ind w:left="-425" w:leftChars="0" w:firstLine="562" w:firstLineChars="200"/>
        <w:outlineLvl w:val="3"/>
        <w:rPr>
          <w:rFonts w:hint="eastAsia" w:ascii="仿宋" w:hAnsi="仿宋" w:eastAsia="仿宋" w:cs="仿宋"/>
          <w:b/>
          <w:bCs w:val="0"/>
          <w:sz w:val="28"/>
          <w:szCs w:val="28"/>
        </w:rPr>
      </w:pPr>
      <w:r>
        <w:rPr>
          <w:rFonts w:hint="eastAsia" w:ascii="仿宋" w:hAnsi="仿宋" w:eastAsia="仿宋" w:cs="仿宋"/>
          <w:b/>
          <w:bCs w:val="0"/>
          <w:sz w:val="28"/>
          <w:szCs w:val="28"/>
        </w:rPr>
        <w:t>①★供应商实验室需要有二级生物安全防护资质及相关实验设备，能保证菌液的制作、存储与转运，并提供证明材料复印件并加盖公章。</w:t>
      </w:r>
    </w:p>
    <w:p w14:paraId="18A6A90F">
      <w:pPr>
        <w:pStyle w:val="12"/>
        <w:keepNext w:val="0"/>
        <w:keepLines w:val="0"/>
        <w:pageBreakBefore w:val="0"/>
        <w:numPr>
          <w:ilvl w:val="0"/>
          <w:numId w:val="0"/>
        </w:numPr>
        <w:kinsoku/>
        <w:wordWrap/>
        <w:overflowPunct/>
        <w:topLinePunct w:val="0"/>
        <w:bidi w:val="0"/>
        <w:spacing w:line="500" w:lineRule="exact"/>
        <w:ind w:left="-425" w:leftChars="0" w:firstLine="562" w:firstLineChars="200"/>
        <w:outlineLvl w:val="3"/>
        <w:rPr>
          <w:rFonts w:hint="eastAsia" w:ascii="仿宋" w:hAnsi="仿宋" w:eastAsia="仿宋" w:cs="仿宋"/>
          <w:b/>
          <w:bCs w:val="0"/>
          <w:sz w:val="28"/>
          <w:szCs w:val="28"/>
        </w:rPr>
      </w:pPr>
      <w:r>
        <w:rPr>
          <w:rFonts w:hint="eastAsia" w:ascii="仿宋" w:hAnsi="仿宋" w:eastAsia="仿宋" w:cs="仿宋"/>
          <w:b/>
          <w:bCs w:val="0"/>
          <w:sz w:val="28"/>
          <w:szCs w:val="28"/>
        </w:rPr>
        <w:t>②★根据《肠道菌群移植临床应用管理中国专家共识（2022版）》要求并结合实验室实际需求，人员配置需满足以下资质条件并提供加盖公章的证明材料：</w:t>
      </w:r>
    </w:p>
    <w:p w14:paraId="07872994">
      <w:pPr>
        <w:pStyle w:val="12"/>
        <w:keepNext w:val="0"/>
        <w:keepLines w:val="0"/>
        <w:pageBreakBefore w:val="0"/>
        <w:numPr>
          <w:ilvl w:val="0"/>
          <w:numId w:val="4"/>
        </w:numPr>
        <w:kinsoku/>
        <w:wordWrap/>
        <w:overflowPunct/>
        <w:topLinePunct w:val="0"/>
        <w:bidi w:val="0"/>
        <w:spacing w:line="500" w:lineRule="exact"/>
        <w:ind w:left="-425" w:leftChars="0" w:firstLine="560" w:firstLineChars="200"/>
        <w:outlineLvl w:val="3"/>
        <w:rPr>
          <w:rFonts w:hint="eastAsia" w:ascii="仿宋" w:hAnsi="仿宋" w:eastAsia="仿宋" w:cs="仿宋"/>
          <w:bCs/>
          <w:sz w:val="28"/>
          <w:szCs w:val="28"/>
        </w:rPr>
      </w:pPr>
      <w:r>
        <w:rPr>
          <w:rFonts w:hint="eastAsia" w:ascii="仿宋" w:hAnsi="仿宋" w:eastAsia="仿宋" w:cs="仿宋"/>
          <w:bCs/>
          <w:sz w:val="28"/>
          <w:szCs w:val="28"/>
        </w:rPr>
        <w:t>专职供体管理人员至少1名，须持有有效的护士执业证书或健康管理师证书（三级及以上）</w:t>
      </w:r>
      <w:r>
        <w:rPr>
          <w:rFonts w:hint="eastAsia" w:ascii="仿宋" w:hAnsi="仿宋" w:eastAsia="仿宋" w:cs="仿宋"/>
          <w:bCs/>
          <w:sz w:val="28"/>
          <w:szCs w:val="28"/>
          <w:lang w:val="en-US" w:eastAsia="zh-CN"/>
        </w:rPr>
        <w:t>或微生态健康管理培训资质认证</w:t>
      </w:r>
      <w:r>
        <w:rPr>
          <w:rFonts w:hint="eastAsia" w:ascii="仿宋" w:hAnsi="仿宋" w:eastAsia="仿宋" w:cs="仿宋"/>
          <w:bCs/>
          <w:sz w:val="28"/>
          <w:szCs w:val="28"/>
        </w:rPr>
        <w:t>；</w:t>
      </w:r>
    </w:p>
    <w:p w14:paraId="458012A7">
      <w:pPr>
        <w:pStyle w:val="12"/>
        <w:keepNext w:val="0"/>
        <w:keepLines w:val="0"/>
        <w:pageBreakBefore w:val="0"/>
        <w:numPr>
          <w:ilvl w:val="0"/>
          <w:numId w:val="4"/>
        </w:numPr>
        <w:kinsoku/>
        <w:wordWrap/>
        <w:overflowPunct/>
        <w:topLinePunct w:val="0"/>
        <w:bidi w:val="0"/>
        <w:spacing w:line="500" w:lineRule="exact"/>
        <w:ind w:left="-425" w:leftChars="0" w:firstLine="560" w:firstLineChars="200"/>
        <w:outlineLvl w:val="3"/>
        <w:rPr>
          <w:rFonts w:hint="eastAsia" w:ascii="仿宋" w:hAnsi="仿宋" w:eastAsia="仿宋" w:cs="仿宋"/>
          <w:bCs/>
          <w:sz w:val="28"/>
          <w:szCs w:val="28"/>
        </w:rPr>
      </w:pPr>
      <w:r>
        <w:rPr>
          <w:rFonts w:hint="eastAsia" w:ascii="仿宋" w:hAnsi="仿宋" w:eastAsia="仿宋" w:cs="仿宋"/>
          <w:bCs/>
          <w:sz w:val="28"/>
          <w:szCs w:val="28"/>
        </w:rPr>
        <w:t>菌群制剂制备人员至少</w:t>
      </w:r>
      <w:r>
        <w:rPr>
          <w:rFonts w:hint="eastAsia" w:ascii="仿宋" w:hAnsi="仿宋" w:eastAsia="仿宋" w:cs="仿宋"/>
          <w:bCs/>
          <w:sz w:val="28"/>
          <w:szCs w:val="28"/>
          <w:lang w:val="en-US" w:eastAsia="zh-CN"/>
        </w:rPr>
        <w:t>1</w:t>
      </w:r>
      <w:r>
        <w:rPr>
          <w:rFonts w:hint="eastAsia" w:ascii="仿宋" w:hAnsi="仿宋" w:eastAsia="仿宋" w:cs="仿宋"/>
          <w:bCs/>
          <w:sz w:val="28"/>
          <w:szCs w:val="28"/>
        </w:rPr>
        <w:t>名，须具备政府部门指定培训单位颁发的FMT专项培训合格证书及生物安全培训合格证书；</w:t>
      </w:r>
    </w:p>
    <w:p w14:paraId="3F05123A">
      <w:pPr>
        <w:pStyle w:val="12"/>
        <w:keepNext w:val="0"/>
        <w:keepLines w:val="0"/>
        <w:pageBreakBefore w:val="0"/>
        <w:numPr>
          <w:ilvl w:val="0"/>
          <w:numId w:val="4"/>
        </w:numPr>
        <w:kinsoku/>
        <w:wordWrap/>
        <w:overflowPunct/>
        <w:topLinePunct w:val="0"/>
        <w:bidi w:val="0"/>
        <w:spacing w:line="500" w:lineRule="exact"/>
        <w:ind w:left="-425" w:leftChars="0" w:firstLine="560" w:firstLineChars="200"/>
        <w:outlineLvl w:val="3"/>
        <w:rPr>
          <w:rFonts w:hint="eastAsia" w:ascii="仿宋" w:hAnsi="仿宋" w:eastAsia="仿宋" w:cs="仿宋"/>
          <w:bCs/>
          <w:sz w:val="28"/>
          <w:szCs w:val="28"/>
        </w:rPr>
      </w:pPr>
      <w:r>
        <w:rPr>
          <w:rFonts w:hint="eastAsia" w:ascii="仿宋" w:hAnsi="仿宋" w:eastAsia="仿宋" w:cs="仿宋"/>
          <w:bCs/>
          <w:sz w:val="28"/>
          <w:szCs w:val="28"/>
        </w:rPr>
        <w:t>菌群检测人员至少2名，须持有临床医学检验技术资格证（中级及以上）、PCR上岗证及生物安全培训合格证书；</w:t>
      </w:r>
    </w:p>
    <w:p w14:paraId="23EE8CAC">
      <w:pPr>
        <w:pStyle w:val="12"/>
        <w:keepNext w:val="0"/>
        <w:keepLines w:val="0"/>
        <w:pageBreakBefore w:val="0"/>
        <w:numPr>
          <w:ilvl w:val="0"/>
          <w:numId w:val="4"/>
        </w:numPr>
        <w:kinsoku/>
        <w:wordWrap/>
        <w:overflowPunct/>
        <w:topLinePunct w:val="0"/>
        <w:bidi w:val="0"/>
        <w:spacing w:line="500" w:lineRule="exact"/>
        <w:ind w:left="-425" w:leftChars="0" w:firstLine="560" w:firstLineChars="200"/>
        <w:outlineLvl w:val="3"/>
        <w:rPr>
          <w:rFonts w:hint="eastAsia" w:ascii="仿宋" w:hAnsi="仿宋" w:eastAsia="仿宋" w:cs="仿宋"/>
          <w:bCs/>
          <w:sz w:val="28"/>
          <w:szCs w:val="28"/>
          <w:lang w:val="en-US" w:eastAsia="zh-CN"/>
        </w:rPr>
      </w:pPr>
      <w:r>
        <w:rPr>
          <w:rFonts w:hint="eastAsia" w:ascii="仿宋" w:hAnsi="仿宋" w:eastAsia="仿宋" w:cs="仿宋"/>
          <w:bCs/>
          <w:sz w:val="28"/>
          <w:szCs w:val="28"/>
        </w:rPr>
        <w:t>技术支持团队须配备</w:t>
      </w:r>
      <w:r>
        <w:rPr>
          <w:rFonts w:hint="eastAsia" w:ascii="仿宋" w:hAnsi="仿宋" w:eastAsia="仿宋" w:cs="仿宋"/>
          <w:bCs/>
          <w:sz w:val="28"/>
          <w:szCs w:val="28"/>
          <w:lang w:val="en-US" w:eastAsia="zh-CN"/>
        </w:rPr>
        <w:t>至少2名注册</w:t>
      </w:r>
      <w:r>
        <w:rPr>
          <w:rFonts w:hint="eastAsia" w:ascii="仿宋" w:hAnsi="仿宋" w:eastAsia="仿宋" w:cs="仿宋"/>
          <w:bCs/>
          <w:sz w:val="28"/>
          <w:szCs w:val="28"/>
        </w:rPr>
        <w:t>营养师（提供供/受体饮食营养指导）；</w:t>
      </w:r>
    </w:p>
    <w:p w14:paraId="12E6443D">
      <w:pPr>
        <w:pStyle w:val="12"/>
        <w:keepNext w:val="0"/>
        <w:keepLines w:val="0"/>
        <w:pageBreakBefore w:val="0"/>
        <w:numPr>
          <w:ilvl w:val="0"/>
          <w:numId w:val="4"/>
        </w:numPr>
        <w:kinsoku/>
        <w:wordWrap/>
        <w:overflowPunct/>
        <w:topLinePunct w:val="0"/>
        <w:bidi w:val="0"/>
        <w:spacing w:line="500" w:lineRule="exact"/>
        <w:ind w:left="-425" w:leftChars="0" w:firstLine="560" w:firstLineChars="200"/>
        <w:outlineLvl w:val="3"/>
        <w:rPr>
          <w:rFonts w:hint="eastAsia" w:ascii="仿宋" w:hAnsi="仿宋" w:eastAsia="仿宋" w:cs="仿宋"/>
          <w:bCs/>
          <w:color w:val="C00000"/>
          <w:sz w:val="28"/>
          <w:szCs w:val="28"/>
        </w:rPr>
      </w:pPr>
      <w:r>
        <w:rPr>
          <w:rFonts w:hint="eastAsia" w:ascii="仿宋" w:hAnsi="仿宋" w:eastAsia="仿宋" w:cs="仿宋"/>
          <w:bCs/>
          <w:sz w:val="28"/>
          <w:szCs w:val="28"/>
          <w:lang w:val="en-US" w:eastAsia="zh-CN"/>
        </w:rPr>
        <w:t>技术支持团队</w:t>
      </w:r>
      <w:r>
        <w:rPr>
          <w:rFonts w:hint="eastAsia" w:ascii="仿宋" w:hAnsi="仿宋" w:eastAsia="仿宋" w:cs="仿宋"/>
          <w:bCs/>
          <w:sz w:val="28"/>
          <w:szCs w:val="28"/>
        </w:rPr>
        <w:t>须配备</w:t>
      </w:r>
      <w:r>
        <w:rPr>
          <w:rFonts w:hint="eastAsia" w:ascii="仿宋" w:hAnsi="仿宋" w:eastAsia="仿宋" w:cs="仿宋"/>
          <w:bCs/>
          <w:sz w:val="28"/>
          <w:szCs w:val="28"/>
          <w:lang w:val="en-US" w:eastAsia="zh-CN"/>
        </w:rPr>
        <w:t>至少1名临床主任医师</w:t>
      </w:r>
      <w:r>
        <w:rPr>
          <w:rFonts w:hint="eastAsia" w:ascii="仿宋" w:hAnsi="仿宋" w:eastAsia="仿宋" w:cs="仿宋"/>
          <w:bCs/>
          <w:sz w:val="28"/>
          <w:szCs w:val="28"/>
        </w:rPr>
        <w:t>（提供</w:t>
      </w:r>
      <w:r>
        <w:rPr>
          <w:rFonts w:hint="eastAsia" w:ascii="仿宋" w:hAnsi="仿宋" w:eastAsia="仿宋" w:cs="仿宋"/>
          <w:bCs/>
          <w:sz w:val="28"/>
          <w:szCs w:val="28"/>
          <w:lang w:val="en-US" w:eastAsia="zh-CN"/>
        </w:rPr>
        <w:t>肠道菌群检测、肠菌移植</w:t>
      </w:r>
      <w:r>
        <w:rPr>
          <w:rFonts w:hint="eastAsia" w:ascii="仿宋" w:hAnsi="仿宋" w:eastAsia="仿宋" w:cs="仿宋"/>
          <w:bCs/>
          <w:sz w:val="28"/>
          <w:szCs w:val="28"/>
        </w:rPr>
        <w:t>指导）；</w:t>
      </w:r>
    </w:p>
    <w:p w14:paraId="746BFE64">
      <w:pPr>
        <w:pStyle w:val="12"/>
        <w:keepNext w:val="0"/>
        <w:keepLines w:val="0"/>
        <w:pageBreakBefore w:val="0"/>
        <w:numPr>
          <w:ilvl w:val="0"/>
          <w:numId w:val="4"/>
        </w:numPr>
        <w:kinsoku/>
        <w:wordWrap/>
        <w:overflowPunct/>
        <w:topLinePunct w:val="0"/>
        <w:bidi w:val="0"/>
        <w:spacing w:line="500" w:lineRule="exact"/>
        <w:ind w:left="-425" w:leftChars="0" w:firstLine="560" w:firstLineChars="200"/>
        <w:outlineLvl w:val="3"/>
        <w:rPr>
          <w:rFonts w:hint="eastAsia" w:ascii="仿宋" w:hAnsi="仿宋" w:eastAsia="仿宋" w:cs="仿宋"/>
          <w:bCs/>
          <w:sz w:val="28"/>
          <w:szCs w:val="28"/>
        </w:rPr>
      </w:pPr>
      <w:r>
        <w:rPr>
          <w:rFonts w:hint="eastAsia" w:ascii="仿宋" w:hAnsi="仿宋" w:eastAsia="仿宋" w:cs="仿宋"/>
          <w:bCs/>
          <w:sz w:val="28"/>
          <w:szCs w:val="28"/>
        </w:rPr>
        <w:t>证明材料包括：相应岗位证书复印件（护士执业证/健康管理师证</w:t>
      </w:r>
      <w:r>
        <w:rPr>
          <w:rFonts w:hint="eastAsia" w:ascii="仿宋" w:hAnsi="仿宋" w:eastAsia="仿宋" w:cs="仿宋"/>
          <w:bCs/>
          <w:sz w:val="28"/>
          <w:szCs w:val="28"/>
          <w:lang w:val="en-US" w:eastAsia="zh-CN"/>
        </w:rPr>
        <w:t>/微生态健康管理培训证书</w:t>
      </w:r>
      <w:r>
        <w:rPr>
          <w:rFonts w:hint="eastAsia" w:ascii="仿宋" w:hAnsi="仿宋" w:eastAsia="仿宋" w:cs="仿宋"/>
          <w:bCs/>
          <w:sz w:val="28"/>
          <w:szCs w:val="28"/>
        </w:rPr>
        <w:t>、FMT培训证书、检验资格证、PCR上岗证、生物安全证书、</w:t>
      </w:r>
      <w:r>
        <w:rPr>
          <w:rFonts w:hint="eastAsia" w:ascii="仿宋" w:hAnsi="仿宋" w:eastAsia="仿宋" w:cs="仿宋"/>
          <w:bCs/>
          <w:sz w:val="28"/>
          <w:szCs w:val="28"/>
          <w:lang w:val="en-US" w:eastAsia="zh-CN"/>
        </w:rPr>
        <w:t>注册</w:t>
      </w:r>
      <w:r>
        <w:rPr>
          <w:rFonts w:hint="eastAsia" w:ascii="仿宋" w:hAnsi="仿宋" w:eastAsia="仿宋" w:cs="仿宋"/>
          <w:bCs/>
          <w:sz w:val="28"/>
          <w:szCs w:val="28"/>
        </w:rPr>
        <w:t>营养师证</w:t>
      </w:r>
      <w:r>
        <w:rPr>
          <w:rFonts w:hint="eastAsia" w:ascii="仿宋" w:hAnsi="仿宋" w:eastAsia="仿宋" w:cs="仿宋"/>
          <w:bCs/>
          <w:sz w:val="28"/>
          <w:szCs w:val="28"/>
          <w:lang w:eastAsia="zh-CN"/>
        </w:rPr>
        <w:t>、</w:t>
      </w:r>
      <w:r>
        <w:rPr>
          <w:rFonts w:hint="eastAsia" w:ascii="仿宋" w:hAnsi="仿宋" w:eastAsia="仿宋" w:cs="仿宋"/>
          <w:bCs/>
          <w:sz w:val="28"/>
          <w:szCs w:val="28"/>
          <w:lang w:val="en-US" w:eastAsia="zh-CN"/>
        </w:rPr>
        <w:t>主任医师执业证</w:t>
      </w:r>
      <w:r>
        <w:rPr>
          <w:rFonts w:hint="eastAsia" w:ascii="仿宋" w:hAnsi="仿宋" w:eastAsia="仿宋" w:cs="仿宋"/>
          <w:bCs/>
          <w:sz w:val="28"/>
          <w:szCs w:val="28"/>
        </w:rPr>
        <w:t>），均需加盖机构公章</w:t>
      </w:r>
      <w:r>
        <w:rPr>
          <w:rFonts w:hint="eastAsia" w:ascii="仿宋" w:hAnsi="仿宋" w:eastAsia="仿宋" w:cs="仿宋"/>
          <w:bCs/>
          <w:sz w:val="28"/>
          <w:szCs w:val="28"/>
          <w:lang w:eastAsia="zh-CN"/>
        </w:rPr>
        <w:t>。</w:t>
      </w:r>
      <w:r>
        <w:rPr>
          <w:rFonts w:hint="eastAsia" w:ascii="仿宋" w:hAnsi="仿宋" w:eastAsia="仿宋" w:cs="仿宋"/>
          <w:bCs/>
          <w:sz w:val="28"/>
          <w:szCs w:val="28"/>
          <w:lang w:val="en-US" w:eastAsia="zh-CN"/>
        </w:rPr>
        <w:t xml:space="preserve">    </w:t>
      </w:r>
    </w:p>
    <w:p w14:paraId="1B07068B">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bCs/>
          <w:sz w:val="28"/>
          <w:szCs w:val="28"/>
        </w:rPr>
      </w:pPr>
      <w:r>
        <w:rPr>
          <w:rFonts w:hint="eastAsia" w:ascii="仿宋" w:hAnsi="仿宋" w:eastAsia="仿宋" w:cs="仿宋"/>
          <w:bCs/>
          <w:sz w:val="28"/>
          <w:szCs w:val="28"/>
        </w:rPr>
        <w:t>③具有粪便供体库和稳定的供体来源，具有菌液留样保存、产品质量追溯制度，在受体治疗过程中的供体个人信息、肠道菌群等信息可溯源至少1年，并提供相关证明材料复印件并加盖公章。</w:t>
      </w:r>
    </w:p>
    <w:p w14:paraId="248501D3">
      <w:pPr>
        <w:pStyle w:val="12"/>
        <w:keepNext w:val="0"/>
        <w:keepLines w:val="0"/>
        <w:pageBreakBefore w:val="0"/>
        <w:numPr>
          <w:ilvl w:val="0"/>
          <w:numId w:val="0"/>
        </w:numPr>
        <w:kinsoku/>
        <w:wordWrap/>
        <w:overflowPunct/>
        <w:topLinePunct w:val="0"/>
        <w:bidi w:val="0"/>
        <w:spacing w:line="500" w:lineRule="exact"/>
        <w:ind w:left="-425" w:leftChars="0" w:firstLine="562" w:firstLineChars="200"/>
        <w:outlineLvl w:val="3"/>
        <w:rPr>
          <w:rFonts w:hint="eastAsia" w:ascii="仿宋" w:hAnsi="仿宋" w:eastAsia="仿宋" w:cs="仿宋"/>
          <w:b/>
          <w:bCs w:val="0"/>
          <w:sz w:val="28"/>
          <w:szCs w:val="28"/>
        </w:rPr>
      </w:pPr>
      <w:r>
        <w:rPr>
          <w:rFonts w:hint="eastAsia" w:ascii="仿宋" w:hAnsi="仿宋" w:eastAsia="仿宋" w:cs="仿宋"/>
          <w:b/>
          <w:bCs w:val="0"/>
          <w:sz w:val="28"/>
          <w:szCs w:val="28"/>
          <w:lang w:val="en-US" w:eastAsia="zh-CN"/>
        </w:rPr>
        <w:t>3.</w:t>
      </w:r>
      <w:r>
        <w:rPr>
          <w:rFonts w:hint="eastAsia" w:ascii="仿宋" w:hAnsi="仿宋" w:eastAsia="仿宋" w:cs="仿宋"/>
          <w:b/>
          <w:bCs w:val="0"/>
          <w:sz w:val="28"/>
          <w:szCs w:val="28"/>
        </w:rPr>
        <w:t>供体管理要求</w:t>
      </w:r>
    </w:p>
    <w:p w14:paraId="17C81971">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1</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供体筛选</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选择18-</w:t>
      </w:r>
      <w:r>
        <w:rPr>
          <w:rFonts w:hint="eastAsia" w:ascii="仿宋" w:hAnsi="仿宋" w:eastAsia="仿宋" w:cs="仿宋"/>
          <w:sz w:val="28"/>
          <w:szCs w:val="28"/>
          <w:lang w:val="en-US" w:eastAsia="zh-CN" w:bidi="ar"/>
        </w:rPr>
        <w:t>2</w:t>
      </w:r>
      <w:r>
        <w:rPr>
          <w:rFonts w:hint="eastAsia" w:ascii="仿宋" w:hAnsi="仿宋" w:eastAsia="仿宋" w:cs="仿宋"/>
          <w:sz w:val="28"/>
          <w:szCs w:val="28"/>
          <w:lang w:bidi="ar"/>
        </w:rPr>
        <w:t>5周岁身心健康人群作为目标供体，并完成以下检测项目：</w:t>
      </w:r>
    </w:p>
    <w:p w14:paraId="1501BC13">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lang w:bidi="ar"/>
        </w:rPr>
      </w:pPr>
      <w:r>
        <w:rPr>
          <w:rFonts w:hint="eastAsia" w:ascii="仿宋" w:hAnsi="仿宋" w:eastAsia="仿宋" w:cs="仿宋"/>
          <w:sz w:val="28"/>
          <w:szCs w:val="28"/>
          <w:lang w:bidi="ar"/>
        </w:rPr>
        <w:t>①对供体进行</w:t>
      </w:r>
      <w:r>
        <w:rPr>
          <w:rFonts w:hint="eastAsia" w:ascii="仿宋" w:hAnsi="仿宋" w:eastAsia="仿宋" w:cs="仿宋"/>
          <w:sz w:val="28"/>
          <w:szCs w:val="28"/>
          <w:lang w:val="en-US" w:eastAsia="zh-CN" w:bidi="ar"/>
        </w:rPr>
        <w:t>5</w:t>
      </w:r>
      <w:r>
        <w:rPr>
          <w:rFonts w:hint="eastAsia" w:ascii="仿宋" w:hAnsi="仿宋" w:eastAsia="仿宋" w:cs="仿宋"/>
          <w:sz w:val="28"/>
          <w:szCs w:val="28"/>
          <w:lang w:bidi="ar"/>
        </w:rPr>
        <w:t>00多项问卷调查及面诊评估（包括供体基本信息、用药史、病史、家族史、智商、情商、睡眠状况、生活习惯、心理健康等）。</w:t>
      </w:r>
    </w:p>
    <w:p w14:paraId="4B006263">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lang w:bidi="ar"/>
        </w:rPr>
      </w:pPr>
      <w:r>
        <w:rPr>
          <w:rFonts w:hint="eastAsia" w:ascii="仿宋" w:hAnsi="仿宋" w:eastAsia="仿宋" w:cs="仿宋"/>
          <w:sz w:val="28"/>
          <w:szCs w:val="28"/>
          <w:lang w:bidi="ar"/>
        </w:rPr>
        <w:t>②对供体进行全血细胞计数、血生化全项、肝炎病毒标志物检测、人类免疫缺陷病毒（HIV）抗原抗体检测、EB病毒感染筛选、新型冠状病毒筛选、梅毒螺旋体抗体检测、</w:t>
      </w:r>
      <w:r>
        <w:rPr>
          <w:rFonts w:hint="eastAsia" w:ascii="仿宋" w:hAnsi="仿宋" w:eastAsia="仿宋" w:cs="仿宋"/>
          <w:sz w:val="28"/>
          <w:szCs w:val="28"/>
          <w:lang w:eastAsia="zh-CN" w:bidi="ar"/>
        </w:rPr>
        <w:t>幽门螺杆菌</w:t>
      </w:r>
      <w:r>
        <w:rPr>
          <w:rFonts w:hint="eastAsia" w:ascii="仿宋" w:hAnsi="仿宋" w:eastAsia="仿宋" w:cs="仿宋"/>
          <w:sz w:val="28"/>
          <w:szCs w:val="28"/>
          <w:lang w:bidi="ar"/>
        </w:rPr>
        <w:t>检测。</w:t>
      </w:r>
    </w:p>
    <w:p w14:paraId="17D8B3B0">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lang w:bidi="ar"/>
        </w:rPr>
      </w:pPr>
      <w:r>
        <w:rPr>
          <w:rFonts w:hint="eastAsia" w:ascii="仿宋" w:hAnsi="仿宋" w:eastAsia="仿宋" w:cs="仿宋"/>
          <w:sz w:val="28"/>
          <w:szCs w:val="28"/>
          <w:lang w:bidi="ar"/>
        </w:rPr>
        <w:t>③对供体粪便进行沙门氏菌属、志贺氏菌属、霍乱弧菌等病原微生物及诺如病毒、轮状病毒、腺病毒等病毒的筛选和多种寄生虫筛选。</w:t>
      </w:r>
    </w:p>
    <w:p w14:paraId="4A9166EC">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lang w:bidi="ar"/>
        </w:rPr>
      </w:pPr>
      <w:r>
        <w:rPr>
          <w:rFonts w:hint="eastAsia" w:ascii="仿宋" w:hAnsi="仿宋" w:eastAsia="仿宋" w:cs="仿宋"/>
          <w:sz w:val="28"/>
          <w:szCs w:val="28"/>
          <w:lang w:bidi="ar"/>
        </w:rPr>
        <w:t>④对供体的肠道菌群结构进行评估。采用16S rDNA测序及宏基因组深度测序的方法，识别其中潜在的多重耐药菌以及致病菌，以及评估供体的肠道菌群结构及多样性。</w:t>
      </w:r>
    </w:p>
    <w:p w14:paraId="781A0462">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bCs/>
          <w:kern w:val="0"/>
          <w:sz w:val="28"/>
          <w:szCs w:val="28"/>
          <w:lang w:bidi="ar"/>
        </w:rPr>
      </w:pPr>
      <w:r>
        <w:rPr>
          <w:rFonts w:hint="eastAsia" w:ascii="仿宋" w:hAnsi="仿宋" w:eastAsia="仿宋" w:cs="仿宋"/>
          <w:bCs/>
          <w:kern w:val="0"/>
          <w:sz w:val="28"/>
          <w:szCs w:val="28"/>
          <w:lang w:val="en-US" w:eastAsia="zh-CN" w:bidi="ar"/>
        </w:rPr>
        <w:t>（2）</w:t>
      </w:r>
      <w:r>
        <w:rPr>
          <w:rFonts w:hint="eastAsia" w:ascii="仿宋" w:hAnsi="仿宋" w:eastAsia="仿宋" w:cs="仿宋"/>
          <w:sz w:val="28"/>
          <w:szCs w:val="28"/>
          <w:lang w:bidi="ar"/>
        </w:rPr>
        <w:t>供体持续动态管理</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筛选合格的供体之后，仍然密切监测捐赠期间的饮食作息，供体要进行每天的健康汇报和接收不定期抽查，并每隔三个月进行全面复测。</w:t>
      </w:r>
    </w:p>
    <w:p w14:paraId="4F1F5E9C">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rPr>
      </w:pPr>
      <w:r>
        <w:rPr>
          <w:rFonts w:hint="eastAsia" w:ascii="仿宋" w:hAnsi="仿宋" w:eastAsia="仿宋" w:cs="仿宋"/>
          <w:kern w:val="2"/>
          <w:sz w:val="28"/>
          <w:szCs w:val="28"/>
          <w:lang w:val="en-US" w:eastAsia="zh-CN" w:bidi="ar-SA"/>
        </w:rPr>
        <w:t>（3）</w:t>
      </w:r>
      <w:r>
        <w:rPr>
          <w:rFonts w:hint="eastAsia" w:ascii="仿宋" w:hAnsi="仿宋" w:eastAsia="仿宋" w:cs="仿宋"/>
          <w:sz w:val="28"/>
          <w:szCs w:val="28"/>
          <w:lang w:bidi="ar"/>
        </w:rPr>
        <w:t>供体档案管理</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对合格供体的知情同意书、问卷调查报告、面诊评估报告、三甲医院健康体检报告以及其粪便16S rDNA测序报告、宏基因组测序报告、供体动态管理等材料进行建档便于溯源。</w:t>
      </w:r>
    </w:p>
    <w:p w14:paraId="0244CA24">
      <w:pPr>
        <w:pStyle w:val="12"/>
        <w:keepNext w:val="0"/>
        <w:keepLines w:val="0"/>
        <w:pageBreakBefore w:val="0"/>
        <w:numPr>
          <w:ilvl w:val="0"/>
          <w:numId w:val="0"/>
        </w:numPr>
        <w:kinsoku/>
        <w:wordWrap/>
        <w:overflowPunct/>
        <w:topLinePunct w:val="0"/>
        <w:bidi w:val="0"/>
        <w:spacing w:line="500" w:lineRule="exact"/>
        <w:ind w:left="-425" w:leftChars="0" w:firstLine="562" w:firstLineChars="200"/>
        <w:outlineLvl w:val="3"/>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4.质控要求</w:t>
      </w:r>
    </w:p>
    <w:p w14:paraId="106EB51B">
      <w:pPr>
        <w:pStyle w:val="12"/>
        <w:keepNext w:val="0"/>
        <w:keepLines w:val="0"/>
        <w:pageBreakBefore w:val="0"/>
        <w:numPr>
          <w:ilvl w:val="0"/>
          <w:numId w:val="0"/>
        </w:numPr>
        <w:kinsoku/>
        <w:wordWrap/>
        <w:overflowPunct/>
        <w:topLinePunct w:val="0"/>
        <w:bidi w:val="0"/>
        <w:spacing w:line="500" w:lineRule="exact"/>
        <w:ind w:left="-425" w:leftChars="0" w:firstLine="562" w:firstLineChars="200"/>
        <w:outlineLvl w:val="3"/>
        <w:rPr>
          <w:rFonts w:hint="eastAsia" w:ascii="仿宋" w:hAnsi="仿宋" w:eastAsia="仿宋" w:cs="仿宋"/>
          <w:b/>
          <w:bCs/>
          <w:sz w:val="28"/>
          <w:szCs w:val="28"/>
          <w:lang w:val="en-US" w:eastAsia="zh-CN" w:bidi="ar"/>
        </w:rPr>
      </w:pPr>
      <w:r>
        <w:rPr>
          <w:rFonts w:hint="eastAsia" w:ascii="仿宋" w:hAnsi="仿宋" w:eastAsia="仿宋" w:cs="仿宋"/>
          <w:b/>
          <w:bCs/>
          <w:sz w:val="28"/>
          <w:szCs w:val="28"/>
          <w:lang w:val="en-US" w:eastAsia="zh-CN" w:bidi="ar"/>
        </w:rPr>
        <w:t>（1）★为满足临床需求，供应商提供不同剂型的菌群制剂，活菌数及活性要求如下：</w:t>
      </w:r>
    </w:p>
    <w:p w14:paraId="47F0CACD">
      <w:pPr>
        <w:pStyle w:val="13"/>
        <w:keepNext w:val="0"/>
        <w:keepLines w:val="0"/>
        <w:pageBreakBefore w:val="0"/>
        <w:widowControl/>
        <w:numPr>
          <w:ilvl w:val="0"/>
          <w:numId w:val="0"/>
        </w:numPr>
        <w:kinsoku/>
        <w:wordWrap/>
        <w:overflowPunct/>
        <w:topLinePunct w:val="0"/>
        <w:bidi w:val="0"/>
        <w:spacing w:line="500" w:lineRule="exact"/>
        <w:ind w:right="0" w:rightChars="0"/>
        <w:rPr>
          <w:rFonts w:hint="eastAsia" w:ascii="仿宋" w:hAnsi="仿宋" w:eastAsia="仿宋" w:cs="仿宋"/>
          <w:b/>
          <w:bCs/>
          <w:sz w:val="28"/>
          <w:szCs w:val="28"/>
        </w:rPr>
      </w:pPr>
      <w:r>
        <w:rPr>
          <w:rFonts w:hint="eastAsia" w:ascii="仿宋" w:hAnsi="仿宋" w:eastAsia="仿宋" w:cs="仿宋"/>
          <w:b/>
          <w:bCs/>
          <w:sz w:val="28"/>
          <w:szCs w:val="28"/>
        </w:rPr>
        <w:t>菌液：每</w:t>
      </w:r>
      <w:r>
        <w:rPr>
          <w:rFonts w:hint="eastAsia" w:ascii="仿宋" w:hAnsi="仿宋" w:eastAsia="仿宋" w:cs="仿宋"/>
          <w:b/>
          <w:bCs/>
          <w:sz w:val="28"/>
          <w:szCs w:val="28"/>
          <w:lang w:val="en-US" w:eastAsia="zh-CN"/>
        </w:rPr>
        <w:t>ml</w:t>
      </w:r>
      <w:r>
        <w:rPr>
          <w:rFonts w:hint="eastAsia" w:ascii="仿宋" w:hAnsi="仿宋" w:eastAsia="仿宋" w:cs="仿宋"/>
          <w:b/>
          <w:bCs/>
          <w:sz w:val="28"/>
          <w:szCs w:val="28"/>
        </w:rPr>
        <w:t>菌液的活菌数不低于1.5×10</w:t>
      </w:r>
      <w:r>
        <w:rPr>
          <w:rFonts w:hint="eastAsia" w:ascii="仿宋" w:hAnsi="仿宋" w:eastAsia="仿宋" w:cs="仿宋"/>
          <w:b/>
          <w:bCs/>
          <w:sz w:val="28"/>
          <w:szCs w:val="28"/>
          <w:vertAlign w:val="superscript"/>
        </w:rPr>
        <w:t>9</w:t>
      </w:r>
      <w:r>
        <w:rPr>
          <w:rFonts w:hint="eastAsia" w:ascii="仿宋" w:hAnsi="仿宋" w:eastAsia="仿宋" w:cs="仿宋"/>
          <w:b/>
          <w:bCs/>
          <w:sz w:val="28"/>
          <w:szCs w:val="28"/>
        </w:rPr>
        <w:t>CFU</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细菌活性不低于85%</w:t>
      </w:r>
      <w:r>
        <w:rPr>
          <w:rFonts w:hint="eastAsia" w:ascii="仿宋" w:hAnsi="仿宋" w:eastAsia="仿宋" w:cs="仿宋"/>
          <w:b/>
          <w:bCs/>
          <w:sz w:val="28"/>
          <w:szCs w:val="28"/>
        </w:rPr>
        <w:t>。</w:t>
      </w:r>
    </w:p>
    <w:p w14:paraId="50AF8700">
      <w:pPr>
        <w:pStyle w:val="13"/>
        <w:keepNext w:val="0"/>
        <w:keepLines w:val="0"/>
        <w:pageBreakBefore w:val="0"/>
        <w:widowControl/>
        <w:numPr>
          <w:ilvl w:val="0"/>
          <w:numId w:val="0"/>
        </w:numPr>
        <w:kinsoku/>
        <w:wordWrap/>
        <w:overflowPunct/>
        <w:topLinePunct w:val="0"/>
        <w:bidi w:val="0"/>
        <w:spacing w:line="500" w:lineRule="exact"/>
        <w:ind w:right="0" w:rightChars="0"/>
        <w:jc w:val="both"/>
        <w:rPr>
          <w:rFonts w:hint="eastAsia" w:ascii="仿宋" w:hAnsi="仿宋" w:eastAsia="仿宋" w:cs="仿宋"/>
          <w:b/>
          <w:bCs/>
          <w:sz w:val="28"/>
          <w:szCs w:val="28"/>
          <w:lang w:val="en-US" w:eastAsia="zh-CN"/>
        </w:rPr>
      </w:pPr>
      <w:r>
        <w:rPr>
          <w:rFonts w:hint="eastAsia" w:ascii="仿宋" w:hAnsi="仿宋" w:eastAsia="仿宋" w:cs="仿宋"/>
          <w:b/>
          <w:bCs/>
          <w:sz w:val="28"/>
          <w:szCs w:val="28"/>
        </w:rPr>
        <w:t>胶囊：每g内容物</w:t>
      </w:r>
      <w:r>
        <w:rPr>
          <w:rFonts w:hint="eastAsia" w:ascii="仿宋" w:hAnsi="仿宋" w:eastAsia="仿宋" w:cs="仿宋"/>
          <w:b/>
          <w:bCs/>
          <w:sz w:val="28"/>
          <w:szCs w:val="28"/>
          <w:lang w:val="en-US" w:eastAsia="zh-CN"/>
        </w:rPr>
        <w:t>的</w:t>
      </w:r>
      <w:r>
        <w:rPr>
          <w:rFonts w:hint="eastAsia" w:ascii="仿宋" w:hAnsi="仿宋" w:eastAsia="仿宋" w:cs="仿宋"/>
          <w:b/>
          <w:bCs/>
          <w:sz w:val="28"/>
          <w:szCs w:val="28"/>
        </w:rPr>
        <w:t>活菌数不低于</w:t>
      </w:r>
      <w:r>
        <w:rPr>
          <w:rFonts w:hint="eastAsia" w:ascii="仿宋" w:hAnsi="仿宋" w:eastAsia="仿宋" w:cs="仿宋"/>
          <w:b/>
          <w:bCs/>
          <w:sz w:val="28"/>
          <w:szCs w:val="28"/>
          <w:lang w:val="en-US" w:eastAsia="zh-CN"/>
        </w:rPr>
        <w:t>3.0</w:t>
      </w:r>
      <w:r>
        <w:rPr>
          <w:rFonts w:hint="eastAsia" w:ascii="仿宋" w:hAnsi="仿宋" w:eastAsia="仿宋" w:cs="仿宋"/>
          <w:b/>
          <w:bCs/>
          <w:sz w:val="28"/>
          <w:szCs w:val="28"/>
        </w:rPr>
        <w:t>×10</w:t>
      </w:r>
      <w:r>
        <w:rPr>
          <w:rFonts w:hint="eastAsia" w:ascii="仿宋" w:hAnsi="仿宋" w:eastAsia="仿宋" w:cs="仿宋"/>
          <w:b/>
          <w:bCs/>
          <w:sz w:val="28"/>
          <w:szCs w:val="28"/>
          <w:vertAlign w:val="superscript"/>
          <w:lang w:val="en-US" w:eastAsia="zh-CN"/>
        </w:rPr>
        <w:t>10</w:t>
      </w:r>
      <w:r>
        <w:rPr>
          <w:rFonts w:hint="eastAsia" w:ascii="仿宋" w:hAnsi="仿宋" w:eastAsia="仿宋" w:cs="仿宋"/>
          <w:b/>
          <w:bCs/>
          <w:sz w:val="28"/>
          <w:szCs w:val="28"/>
        </w:rPr>
        <w:t>CFU</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细菌活性不低于85%。</w:t>
      </w:r>
    </w:p>
    <w:p w14:paraId="1E685FE7">
      <w:pPr>
        <w:pStyle w:val="12"/>
        <w:keepNext w:val="0"/>
        <w:keepLines w:val="0"/>
        <w:pageBreakBefore w:val="0"/>
        <w:numPr>
          <w:ilvl w:val="0"/>
          <w:numId w:val="5"/>
        </w:numPr>
        <w:kinsoku/>
        <w:wordWrap/>
        <w:overflowPunct/>
        <w:topLinePunct w:val="0"/>
        <w:bidi w:val="0"/>
        <w:spacing w:line="500" w:lineRule="exact"/>
        <w:ind w:left="-425" w:leftChars="0" w:firstLine="562" w:firstLineChars="200"/>
        <w:outlineLvl w:val="3"/>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具有符合《肠道菌群移植临床应用管理中国专家共识（2022版）》规定的菌群制备管理流程，保证菌群制备、存储与转运，建立供体-菌液/胶囊-受体登记制度，保证菌液/胶囊来源可追溯、质检信息可查询、菌群去向可追踪。</w:t>
      </w:r>
    </w:p>
    <w:p w14:paraId="758AC12A">
      <w:pPr>
        <w:pStyle w:val="12"/>
        <w:keepNext w:val="0"/>
        <w:keepLines w:val="0"/>
        <w:pageBreakBefore w:val="0"/>
        <w:numPr>
          <w:ilvl w:val="0"/>
          <w:numId w:val="5"/>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rPr>
      </w:pPr>
      <w:r>
        <w:rPr>
          <w:rFonts w:hint="eastAsia" w:ascii="仿宋" w:hAnsi="仿宋" w:eastAsia="仿宋" w:cs="仿宋"/>
          <w:sz w:val="28"/>
          <w:szCs w:val="28"/>
        </w:rPr>
        <w:t>菌群制备应注明批次号、制备信息、有效期及存储温度等。</w:t>
      </w:r>
    </w:p>
    <w:p w14:paraId="43401797">
      <w:pPr>
        <w:pStyle w:val="12"/>
        <w:keepNext w:val="0"/>
        <w:keepLines w:val="0"/>
        <w:pageBreakBefore w:val="0"/>
        <w:numPr>
          <w:ilvl w:val="0"/>
          <w:numId w:val="5"/>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rPr>
      </w:pPr>
      <w:r>
        <w:rPr>
          <w:rFonts w:hint="eastAsia" w:ascii="仿宋" w:hAnsi="仿宋" w:eastAsia="仿宋" w:cs="仿宋"/>
          <w:sz w:val="28"/>
          <w:szCs w:val="28"/>
        </w:rPr>
        <w:t>供应商承诺每次提供的菌液/胶囊均有供应商质检部门出具的检测合格证书（电子版或纸质版合格证书）、出具成品报告与参数文件。包含内容：有益菌、致病菌、菌群多样性指数、单位活菌量、耐药菌检测关键参数。</w:t>
      </w:r>
    </w:p>
    <w:p w14:paraId="5F67E157">
      <w:pPr>
        <w:pStyle w:val="12"/>
        <w:keepNext w:val="0"/>
        <w:keepLines w:val="0"/>
        <w:pageBreakBefore w:val="0"/>
        <w:numPr>
          <w:ilvl w:val="0"/>
          <w:numId w:val="0"/>
        </w:numPr>
        <w:kinsoku/>
        <w:wordWrap/>
        <w:overflowPunct/>
        <w:topLinePunct w:val="0"/>
        <w:bidi w:val="0"/>
        <w:spacing w:line="500" w:lineRule="exact"/>
        <w:outlineLvl w:val="3"/>
        <w:rPr>
          <w:rFonts w:hint="eastAsia" w:ascii="仿宋" w:hAnsi="仿宋" w:eastAsia="仿宋" w:cs="仿宋"/>
          <w:b/>
          <w:bCs w:val="0"/>
          <w:kern w:val="0"/>
          <w:sz w:val="28"/>
          <w:szCs w:val="28"/>
          <w:lang w:bidi="ar"/>
        </w:rPr>
      </w:pPr>
      <w:r>
        <w:rPr>
          <w:rFonts w:hint="eastAsia" w:ascii="仿宋" w:hAnsi="仿宋" w:eastAsia="仿宋" w:cs="仿宋"/>
          <w:b/>
          <w:bCs w:val="0"/>
          <w:kern w:val="0"/>
          <w:sz w:val="28"/>
          <w:szCs w:val="28"/>
          <w:lang w:val="en-US" w:eastAsia="zh-CN" w:bidi="ar"/>
        </w:rPr>
        <w:t>5.</w:t>
      </w:r>
      <w:r>
        <w:rPr>
          <w:rFonts w:hint="eastAsia" w:ascii="仿宋" w:hAnsi="仿宋" w:eastAsia="仿宋" w:cs="仿宋"/>
          <w:b/>
          <w:bCs w:val="0"/>
          <w:kern w:val="0"/>
          <w:sz w:val="28"/>
          <w:szCs w:val="28"/>
          <w:lang w:bidi="ar"/>
        </w:rPr>
        <w:t>供体粪便留样溯源要求</w:t>
      </w:r>
    </w:p>
    <w:p w14:paraId="054E5E5F">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供应商须对供给采购人的肠菌制备服务菌液/胶囊进行逐一足量留样，严格按照《留样管理控制程序》完成，样本保存至有效期后6个月，以备临床应用出现异常、不良反应等特殊情况下进行追溯。</w:t>
      </w:r>
    </w:p>
    <w:p w14:paraId="2AE3DF9D">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采购人对供应商提供的肠菌制备服务菌液/胶囊有疑义或者异议时，供应商有义务积极配合，对疑义或者异议做出合理解释和说明，在必要时采购人可要求供应商对供体样本进行追溯，对留存样本进行重新检验并出具检验报告。</w:t>
      </w:r>
    </w:p>
    <w:p w14:paraId="51B74862">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建立肠菌制备服务菌液/胶囊的进出库等相关管理制度，保证肠道菌群移植体系的全程可追溯性。建立相关采购、验收要求、保管制度和仓储场所的安全卫生制度等。</w:t>
      </w:r>
    </w:p>
    <w:p w14:paraId="232E8AE9">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r>
        <w:rPr>
          <w:rFonts w:hint="eastAsia" w:ascii="仿宋" w:hAnsi="仿宋" w:eastAsia="仿宋" w:cs="仿宋"/>
          <w:sz w:val="28"/>
          <w:szCs w:val="28"/>
          <w:lang w:eastAsia="zh-CN"/>
        </w:rPr>
        <w:t>）</w:t>
      </w:r>
      <w:r>
        <w:rPr>
          <w:rFonts w:hint="eastAsia" w:ascii="仿宋" w:hAnsi="仿宋" w:eastAsia="仿宋" w:cs="仿宋"/>
          <w:sz w:val="28"/>
          <w:szCs w:val="28"/>
        </w:rPr>
        <w:t>储存要求：生产制备完成须立刻装瓶封口在合理的温度下密封保存，并提供管理规程及证明。</w:t>
      </w:r>
    </w:p>
    <w:p w14:paraId="192C86A5">
      <w:pPr>
        <w:pStyle w:val="12"/>
        <w:keepNext w:val="0"/>
        <w:keepLines w:val="0"/>
        <w:pageBreakBefore w:val="0"/>
        <w:numPr>
          <w:ilvl w:val="0"/>
          <w:numId w:val="0"/>
        </w:numPr>
        <w:kinsoku/>
        <w:wordWrap/>
        <w:overflowPunct/>
        <w:topLinePunct w:val="0"/>
        <w:bidi w:val="0"/>
        <w:spacing w:line="500" w:lineRule="exact"/>
        <w:ind w:left="-425" w:leftChars="0" w:firstLine="562" w:firstLineChars="200"/>
        <w:outlineLvl w:val="3"/>
        <w:rPr>
          <w:rFonts w:hint="eastAsia" w:ascii="仿宋" w:hAnsi="仿宋" w:eastAsia="仿宋" w:cs="仿宋"/>
          <w:b/>
          <w:bCs w:val="0"/>
          <w:sz w:val="28"/>
          <w:szCs w:val="28"/>
        </w:rPr>
      </w:pPr>
      <w:r>
        <w:rPr>
          <w:rFonts w:hint="eastAsia" w:ascii="仿宋" w:hAnsi="仿宋" w:eastAsia="仿宋" w:cs="仿宋"/>
          <w:b/>
          <w:bCs w:val="0"/>
          <w:sz w:val="28"/>
          <w:szCs w:val="28"/>
          <w:lang w:val="en-US" w:eastAsia="zh-CN"/>
        </w:rPr>
        <w:t>6.</w:t>
      </w:r>
      <w:r>
        <w:rPr>
          <w:rFonts w:hint="eastAsia" w:ascii="仿宋" w:hAnsi="仿宋" w:eastAsia="仿宋" w:cs="仿宋"/>
          <w:b/>
          <w:bCs w:val="0"/>
          <w:sz w:val="28"/>
          <w:szCs w:val="28"/>
        </w:rPr>
        <w:t>★物流</w:t>
      </w:r>
      <w:r>
        <w:rPr>
          <w:rFonts w:hint="eastAsia" w:ascii="仿宋" w:hAnsi="仿宋" w:eastAsia="仿宋" w:cs="仿宋"/>
          <w:b/>
          <w:bCs w:val="0"/>
          <w:sz w:val="28"/>
          <w:szCs w:val="28"/>
          <w:lang w:val="en-US" w:eastAsia="zh-CN"/>
        </w:rPr>
        <w:t>要求：</w:t>
      </w:r>
      <w:r>
        <w:rPr>
          <w:rFonts w:hint="eastAsia" w:ascii="仿宋" w:hAnsi="仿宋" w:eastAsia="仿宋" w:cs="仿宋"/>
          <w:b/>
          <w:bCs w:val="0"/>
          <w:sz w:val="28"/>
          <w:szCs w:val="28"/>
        </w:rPr>
        <w:t>供应商或委托的第三方物流公司</w:t>
      </w:r>
      <w:r>
        <w:rPr>
          <w:rFonts w:hint="eastAsia" w:ascii="仿宋" w:hAnsi="仿宋" w:eastAsia="仿宋" w:cs="仿宋"/>
          <w:b/>
          <w:bCs w:val="0"/>
          <w:sz w:val="28"/>
          <w:szCs w:val="28"/>
          <w:lang w:eastAsia="zh-CN"/>
        </w:rPr>
        <w:t>须具备</w:t>
      </w:r>
      <w:r>
        <w:rPr>
          <w:rFonts w:hint="eastAsia" w:ascii="仿宋" w:hAnsi="仿宋" w:eastAsia="仿宋" w:cs="仿宋"/>
          <w:b/>
          <w:bCs w:val="0"/>
          <w:sz w:val="28"/>
          <w:szCs w:val="28"/>
        </w:rPr>
        <w:t>冷链物流服务能力，具有有效的《道路运输经营许可证》</w:t>
      </w:r>
      <w:r>
        <w:rPr>
          <w:rFonts w:hint="eastAsia" w:ascii="仿宋" w:hAnsi="仿宋" w:eastAsia="仿宋" w:cs="仿宋"/>
          <w:b/>
          <w:bCs w:val="0"/>
          <w:sz w:val="28"/>
          <w:szCs w:val="28"/>
          <w:lang w:eastAsia="zh-CN"/>
        </w:rPr>
        <w:t>，</w:t>
      </w:r>
      <w:r>
        <w:rPr>
          <w:rFonts w:hint="eastAsia" w:ascii="仿宋" w:hAnsi="仿宋" w:eastAsia="仿宋" w:cs="仿宋"/>
          <w:b/>
          <w:bCs w:val="0"/>
          <w:sz w:val="28"/>
          <w:szCs w:val="28"/>
        </w:rPr>
        <w:t>经营范围包含“货物专用运输（冷藏保鲜）”，提供证明材料并加盖公章。</w:t>
      </w:r>
    </w:p>
    <w:p w14:paraId="3FB61ABD">
      <w:pPr>
        <w:pStyle w:val="12"/>
        <w:keepNext w:val="0"/>
        <w:keepLines w:val="0"/>
        <w:pageBreakBefore w:val="0"/>
        <w:numPr>
          <w:ilvl w:val="0"/>
          <w:numId w:val="0"/>
        </w:numPr>
        <w:kinsoku/>
        <w:wordWrap/>
        <w:overflowPunct/>
        <w:topLinePunct w:val="0"/>
        <w:bidi w:val="0"/>
        <w:spacing w:line="500" w:lineRule="exact"/>
        <w:ind w:left="-425" w:leftChars="0" w:firstLine="562" w:firstLineChars="200"/>
        <w:outlineLvl w:val="3"/>
        <w:rPr>
          <w:rFonts w:hint="eastAsia" w:ascii="仿宋" w:hAnsi="仿宋" w:eastAsia="仿宋" w:cs="仿宋"/>
          <w:b/>
          <w:bCs/>
          <w:sz w:val="28"/>
          <w:szCs w:val="28"/>
        </w:rPr>
      </w:pPr>
      <w:r>
        <w:rPr>
          <w:rFonts w:hint="eastAsia" w:ascii="仿宋" w:hAnsi="仿宋" w:eastAsia="仿宋" w:cs="仿宋"/>
          <w:b/>
          <w:bCs/>
          <w:sz w:val="28"/>
          <w:szCs w:val="28"/>
          <w:lang w:val="en-US" w:eastAsia="zh-CN"/>
        </w:rPr>
        <w:t>7.临床使用维护及科研建设服务</w:t>
      </w:r>
    </w:p>
    <w:p w14:paraId="7FBF2A37">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菌液/胶囊质量保证及技术均由供应商承担并负责。供应商在质量保证期应执行国家有关规定（如产品质量监测、不良反应报告与处理、售后服务响应、质量记录保存等）。</w:t>
      </w:r>
    </w:p>
    <w:p w14:paraId="127D1393">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供应商可提供肠道菌群移植5-6种适应症的临床缓解和有效评估标准。供应商免费对采购人的肠道菌群移植标准化肠菌制备指导，包括肠道菌群移植治疗过程中的常见并发症的处理流程和标准并提供日常咨询。</w:t>
      </w:r>
    </w:p>
    <w:p w14:paraId="34506108">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供应商需免费定期对医务人员进行肠道菌群移植体系管理的相关</w:t>
      </w:r>
      <w:r>
        <w:rPr>
          <w:rFonts w:hint="eastAsia" w:ascii="仿宋" w:hAnsi="仿宋" w:eastAsia="仿宋" w:cs="仿宋"/>
          <w:sz w:val="28"/>
          <w:szCs w:val="28"/>
          <w:lang w:eastAsia="zh-CN"/>
        </w:rPr>
        <w:t>法律法规</w:t>
      </w:r>
      <w:r>
        <w:rPr>
          <w:rFonts w:hint="eastAsia" w:ascii="仿宋" w:hAnsi="仿宋" w:eastAsia="仿宋" w:cs="仿宋"/>
          <w:sz w:val="28"/>
          <w:szCs w:val="28"/>
        </w:rPr>
        <w:t>、制度和技术规范培训，组织对患者合理使用肠道菌群移植体系的健康宣教工作并提供客服咨询。定期监测和评估临床应用的情况，以及不良反应的事件收集记录处理，定期分析、评估、上报监测数据并发布相关信息，提高医院肠道菌群移植体系的应用安全性和规范性。</w:t>
      </w:r>
    </w:p>
    <w:p w14:paraId="33BDB7F4">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b/>
          <w:bCs/>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r>
        <w:rPr>
          <w:rFonts w:hint="eastAsia" w:ascii="仿宋" w:hAnsi="仿宋" w:eastAsia="仿宋" w:cs="仿宋"/>
          <w:sz w:val="28"/>
          <w:szCs w:val="28"/>
          <w:lang w:eastAsia="zh-CN"/>
        </w:rPr>
        <w:t>）</w:t>
      </w:r>
      <w:r>
        <w:rPr>
          <w:rFonts w:hint="eastAsia" w:ascii="仿宋" w:hAnsi="仿宋" w:eastAsia="仿宋" w:cs="仿宋"/>
          <w:sz w:val="28"/>
          <w:szCs w:val="28"/>
        </w:rPr>
        <w:t>★</w:t>
      </w:r>
      <w:r>
        <w:rPr>
          <w:rFonts w:hint="eastAsia" w:ascii="仿宋" w:hAnsi="仿宋" w:eastAsia="仿宋" w:cs="仿宋"/>
          <w:b/>
          <w:bCs/>
          <w:sz w:val="28"/>
          <w:szCs w:val="28"/>
        </w:rPr>
        <w:t>供应商具有与国际级院校联合共建肠道菌群</w:t>
      </w:r>
      <w:r>
        <w:rPr>
          <w:rFonts w:hint="eastAsia" w:ascii="仿宋" w:hAnsi="仿宋" w:eastAsia="仿宋" w:cs="仿宋"/>
          <w:b/>
          <w:bCs/>
          <w:sz w:val="28"/>
          <w:szCs w:val="28"/>
          <w:lang w:val="en-US" w:eastAsia="zh-CN"/>
        </w:rPr>
        <w:t>相关研究</w:t>
      </w:r>
      <w:r>
        <w:rPr>
          <w:rFonts w:hint="eastAsia" w:ascii="仿宋" w:hAnsi="仿宋" w:eastAsia="仿宋" w:cs="仿宋"/>
          <w:b/>
          <w:bCs/>
          <w:sz w:val="28"/>
          <w:szCs w:val="28"/>
        </w:rPr>
        <w:t>方向的实验室，可提供生物信息技术分析，可提供多层次测序平台、多组学分析平台、蛋白组学与代谢组学平台等，为临床科研提供</w:t>
      </w:r>
      <w:r>
        <w:rPr>
          <w:rFonts w:hint="eastAsia" w:ascii="仿宋" w:hAnsi="仿宋" w:eastAsia="仿宋" w:cs="仿宋"/>
          <w:b/>
          <w:bCs/>
          <w:sz w:val="28"/>
          <w:szCs w:val="28"/>
          <w:lang w:val="en-US" w:eastAsia="zh-CN"/>
        </w:rPr>
        <w:t>科研</w:t>
      </w:r>
      <w:r>
        <w:rPr>
          <w:rFonts w:hint="eastAsia" w:ascii="仿宋" w:hAnsi="仿宋" w:eastAsia="仿宋" w:cs="仿宋"/>
          <w:b/>
          <w:bCs/>
          <w:sz w:val="28"/>
          <w:szCs w:val="28"/>
        </w:rPr>
        <w:t>生信技术支持</w:t>
      </w:r>
      <w:r>
        <w:rPr>
          <w:rFonts w:hint="eastAsia" w:ascii="仿宋" w:hAnsi="仿宋" w:eastAsia="仿宋" w:cs="仿宋"/>
          <w:b/>
          <w:bCs/>
          <w:sz w:val="28"/>
          <w:szCs w:val="28"/>
          <w:lang w:eastAsia="zh-CN"/>
        </w:rPr>
        <w:t>。</w:t>
      </w:r>
    </w:p>
    <w:p w14:paraId="1162165B">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信息安全</w:t>
      </w:r>
      <w:r>
        <w:rPr>
          <w:rFonts w:hint="eastAsia" w:ascii="仿宋" w:hAnsi="仿宋" w:eastAsia="仿宋" w:cs="仿宋"/>
          <w:sz w:val="28"/>
          <w:szCs w:val="28"/>
          <w:lang w:eastAsia="zh-CN"/>
        </w:rPr>
        <w:t>：</w:t>
      </w:r>
      <w:r>
        <w:rPr>
          <w:rFonts w:hint="eastAsia" w:ascii="仿宋" w:hAnsi="仿宋" w:eastAsia="仿宋" w:cs="仿宋"/>
          <w:sz w:val="28"/>
          <w:szCs w:val="28"/>
        </w:rPr>
        <w:t>系统具备等保二级及以上证书，数据存储于境内服务器，签订《数据保密协议》，数据保存≥3年。</w:t>
      </w:r>
    </w:p>
    <w:p w14:paraId="6F20C282">
      <w:pPr>
        <w:pStyle w:val="12"/>
        <w:keepNext w:val="0"/>
        <w:keepLines w:val="0"/>
        <w:pageBreakBefore w:val="0"/>
        <w:numPr>
          <w:ilvl w:val="0"/>
          <w:numId w:val="0"/>
        </w:numPr>
        <w:kinsoku/>
        <w:wordWrap/>
        <w:overflowPunct/>
        <w:topLinePunct w:val="0"/>
        <w:bidi w:val="0"/>
        <w:spacing w:line="500" w:lineRule="exact"/>
        <w:ind w:left="-425" w:leftChars="0" w:firstLine="562" w:firstLineChars="200"/>
        <w:outlineLvl w:val="3"/>
        <w:rPr>
          <w:rFonts w:hint="eastAsia" w:ascii="仿宋" w:hAnsi="仿宋" w:eastAsia="仿宋" w:cs="仿宋"/>
          <w:b/>
          <w:bCs/>
          <w:sz w:val="28"/>
          <w:szCs w:val="28"/>
        </w:rPr>
      </w:pPr>
      <w:r>
        <w:rPr>
          <w:rFonts w:hint="eastAsia" w:ascii="仿宋" w:hAnsi="仿宋" w:eastAsia="仿宋" w:cs="仿宋"/>
          <w:b/>
          <w:bCs/>
          <w:sz w:val="28"/>
          <w:szCs w:val="28"/>
          <w:lang w:val="en-US" w:eastAsia="zh-CN"/>
        </w:rPr>
        <w:t>（三）肠道微生态调节剂产品技术</w:t>
      </w:r>
      <w:r>
        <w:rPr>
          <w:rFonts w:hint="eastAsia" w:ascii="仿宋" w:hAnsi="仿宋" w:eastAsia="仿宋" w:cs="仿宋"/>
          <w:b/>
          <w:bCs/>
          <w:sz w:val="28"/>
          <w:szCs w:val="28"/>
        </w:rPr>
        <w:t>要求</w:t>
      </w:r>
    </w:p>
    <w:p w14:paraId="562E7E4C">
      <w:pPr>
        <w:pStyle w:val="12"/>
        <w:keepNext w:val="0"/>
        <w:keepLines w:val="0"/>
        <w:pageBreakBefore w:val="0"/>
        <w:numPr>
          <w:ilvl w:val="0"/>
          <w:numId w:val="0"/>
        </w:numPr>
        <w:kinsoku/>
        <w:wordWrap/>
        <w:overflowPunct/>
        <w:topLinePunct w:val="0"/>
        <w:bidi w:val="0"/>
        <w:spacing w:line="500" w:lineRule="exact"/>
        <w:ind w:left="-425" w:leftChars="0" w:firstLine="562" w:firstLineChars="200"/>
        <w:outlineLvl w:val="3"/>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1.资质与质量要求</w:t>
      </w:r>
    </w:p>
    <w:p w14:paraId="046DCD64">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（1）生产资质：供应商应提供所投产品的生产商具备的合法有效的《食品生产许可证》或等同的食品生产资质证明文件，确保产品来源合法合规。</w:t>
      </w:r>
    </w:p>
    <w:p w14:paraId="5D5F402A">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（2）产品标准：所有产品应符合国家食品安全标准（如GB 7101《食品安全国家标准饮料》等）及相关产品执行标准（如GB/T 29602《固体饮料》等），并提供有效的第三方型式检验报告或出厂检验报告。</w:t>
      </w:r>
    </w:p>
    <w:p w14:paraId="69F2359B">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（3）质量保证：产品应包装完好，标签标识符合《食品安全国家标准 预包装食品标签通则》（GB 7718）及《食品安全国家标准 预包装食品营养标签通则》（GB 28050）要求。供应商需保证产品在有效期内，且发生质量问题（如包装破损、变质、结块、异味等）时，应无条件退换货。</w:t>
      </w:r>
    </w:p>
    <w:p w14:paraId="6DEC2DFE">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（4）溯源能力：供应商应具备完整的产品批次追溯体系，能清晰地提供各批次产品的生产日期、原料来源、检验记录等信息，确保产品可追溯。</w:t>
      </w:r>
    </w:p>
    <w:p w14:paraId="1219D938">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（5）供货稳定性：供应商应具备稳定的供货能力，确保在合同期内按采购人需求及时供货，不出现断供情况。</w:t>
      </w:r>
    </w:p>
    <w:p w14:paraId="086D2F3C">
      <w:pPr>
        <w:pStyle w:val="12"/>
        <w:keepNext w:val="0"/>
        <w:keepLines w:val="0"/>
        <w:pageBreakBefore w:val="0"/>
        <w:numPr>
          <w:ilvl w:val="0"/>
          <w:numId w:val="0"/>
        </w:numPr>
        <w:kinsoku/>
        <w:wordWrap/>
        <w:overflowPunct/>
        <w:topLinePunct w:val="0"/>
        <w:bidi w:val="0"/>
        <w:spacing w:line="500" w:lineRule="exact"/>
        <w:ind w:left="-425" w:leftChars="0" w:firstLine="562" w:firstLineChars="200"/>
        <w:outlineLvl w:val="3"/>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2.产品技术及质量要求</w:t>
      </w:r>
    </w:p>
    <w:tbl>
      <w:tblPr>
        <w:tblStyle w:val="7"/>
        <w:tblW w:w="9076" w:type="dxa"/>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155"/>
        <w:gridCol w:w="1079"/>
        <w:gridCol w:w="750"/>
        <w:gridCol w:w="3882"/>
        <w:gridCol w:w="2210"/>
      </w:tblGrid>
      <w:tr w14:paraId="70E9653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15" w:type="dxa"/>
            <w:left w:w="15" w:type="dxa"/>
            <w:bottom w:w="15" w:type="dxa"/>
            <w:right w:w="15" w:type="dxa"/>
          </w:tblCellMar>
        </w:tblPrEx>
        <w:trPr>
          <w:trHeight w:val="530" w:hRule="atLeast"/>
          <w:tblHeader/>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47D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产品类别</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23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功能定位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780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剂型</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B1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通用技术要求</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1DA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适用场景</w:t>
            </w:r>
          </w:p>
        </w:tc>
      </w:tr>
      <w:tr w14:paraId="587F056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auto"/>
          <w:tblCellMar>
            <w:top w:w="15" w:type="dxa"/>
            <w:left w:w="15" w:type="dxa"/>
            <w:bottom w:w="15" w:type="dxa"/>
            <w:right w:w="15" w:type="dxa"/>
          </w:tblCellMar>
        </w:tblPrEx>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DE1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Style w:val="10"/>
                <w:rFonts w:hint="eastAsia" w:ascii="仿宋" w:hAnsi="仿宋" w:eastAsia="仿宋" w:cs="仿宋"/>
                <w:b w:val="0"/>
                <w:bCs w:val="0"/>
                <w:kern w:val="0"/>
                <w:sz w:val="21"/>
                <w:szCs w:val="21"/>
                <w:lang w:val="en-US" w:eastAsia="zh-CN" w:bidi="ar"/>
              </w:rPr>
              <w:t>复合益生元乳清蛋白</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514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肠道菌群基础调理</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BE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粉剂</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686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1. 应含优质蛋白质（如乳清蛋白）及益生元成分。</w:t>
            </w:r>
            <w:r>
              <w:rPr>
                <w:rFonts w:hint="eastAsia" w:ascii="仿宋" w:hAnsi="仿宋" w:eastAsia="仿宋" w:cs="仿宋"/>
                <w:b w:val="0"/>
                <w:bCs w:val="0"/>
                <w:kern w:val="0"/>
                <w:sz w:val="21"/>
                <w:szCs w:val="21"/>
                <w:lang w:val="en-US" w:eastAsia="zh-CN" w:bidi="ar"/>
              </w:rPr>
              <w:br w:type="textWrapping"/>
            </w:r>
            <w:r>
              <w:rPr>
                <w:rFonts w:hint="eastAsia" w:ascii="仿宋" w:hAnsi="仿宋" w:eastAsia="仿宋" w:cs="仿宋"/>
                <w:b w:val="0"/>
                <w:bCs w:val="0"/>
                <w:kern w:val="0"/>
                <w:sz w:val="21"/>
                <w:szCs w:val="21"/>
                <w:lang w:val="en-US" w:eastAsia="zh-CN" w:bidi="ar"/>
              </w:rPr>
              <w:t>2. 活菌型产品应保证在保质期内具有足够的活菌数量，并符合产品声称及国家标准。</w:t>
            </w:r>
            <w:r>
              <w:rPr>
                <w:rFonts w:hint="eastAsia" w:ascii="仿宋" w:hAnsi="仿宋" w:eastAsia="仿宋" w:cs="仿宋"/>
                <w:b w:val="0"/>
                <w:bCs w:val="0"/>
                <w:kern w:val="0"/>
                <w:sz w:val="21"/>
                <w:szCs w:val="21"/>
                <w:lang w:val="en-US" w:eastAsia="zh-CN" w:bidi="ar"/>
              </w:rPr>
              <w:br w:type="textWrapping"/>
            </w:r>
            <w:r>
              <w:rPr>
                <w:rFonts w:hint="eastAsia" w:ascii="仿宋" w:hAnsi="仿宋" w:eastAsia="仿宋" w:cs="仿宋"/>
                <w:b w:val="0"/>
                <w:bCs w:val="0"/>
                <w:kern w:val="0"/>
                <w:sz w:val="21"/>
                <w:szCs w:val="21"/>
                <w:lang w:val="en-US" w:eastAsia="zh-CN" w:bidi="ar"/>
              </w:rPr>
              <w:t>3. 配方应有助于改善消化不良、便秘、腹泻等肠道功能紊乱。</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F93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用于菌群移植前后调理，或根据检测结果进行独立干预（如肠道功能紊乱、免疫力低下人群）</w:t>
            </w:r>
          </w:p>
        </w:tc>
      </w:tr>
      <w:tr w14:paraId="405CA7F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auto"/>
          <w:tblCellMar>
            <w:top w:w="15" w:type="dxa"/>
            <w:left w:w="15" w:type="dxa"/>
            <w:bottom w:w="15" w:type="dxa"/>
            <w:right w:w="15" w:type="dxa"/>
          </w:tblCellMar>
        </w:tblPrEx>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8EA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Style w:val="10"/>
                <w:rFonts w:hint="eastAsia" w:ascii="仿宋" w:hAnsi="仿宋" w:eastAsia="仿宋" w:cs="仿宋"/>
                <w:b w:val="0"/>
                <w:bCs w:val="0"/>
                <w:kern w:val="0"/>
                <w:sz w:val="21"/>
                <w:szCs w:val="21"/>
                <w:lang w:val="en-US" w:eastAsia="zh-CN" w:bidi="ar"/>
              </w:rPr>
              <w:t>糖脂代谢型营养配方</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A3F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糖脂代谢专项干预</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273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粉剂</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04A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1. 应含多种益生元及复合益生菌。</w:t>
            </w:r>
            <w:r>
              <w:rPr>
                <w:rFonts w:hint="eastAsia" w:ascii="仿宋" w:hAnsi="仿宋" w:eastAsia="仿宋" w:cs="仿宋"/>
                <w:b w:val="0"/>
                <w:bCs w:val="0"/>
                <w:kern w:val="0"/>
                <w:sz w:val="21"/>
                <w:szCs w:val="21"/>
                <w:lang w:val="en-US" w:eastAsia="zh-CN" w:bidi="ar"/>
              </w:rPr>
              <w:br w:type="textWrapping"/>
            </w:r>
            <w:r>
              <w:rPr>
                <w:rFonts w:hint="eastAsia" w:ascii="仿宋" w:hAnsi="仿宋" w:eastAsia="仿宋" w:cs="仿宋"/>
                <w:b w:val="0"/>
                <w:bCs w:val="0"/>
                <w:kern w:val="0"/>
                <w:sz w:val="21"/>
                <w:szCs w:val="21"/>
                <w:lang w:val="en-US" w:eastAsia="zh-CN" w:bidi="ar"/>
              </w:rPr>
              <w:t>2. 配方应有助于调节肠道菌群、改善胰岛素抵抗及糖脂代谢。</w:t>
            </w:r>
            <w:r>
              <w:rPr>
                <w:rFonts w:hint="eastAsia" w:ascii="仿宋" w:hAnsi="仿宋" w:eastAsia="仿宋" w:cs="仿宋"/>
                <w:b w:val="0"/>
                <w:bCs w:val="0"/>
                <w:kern w:val="0"/>
                <w:sz w:val="21"/>
                <w:szCs w:val="21"/>
                <w:lang w:val="en-US" w:eastAsia="zh-CN" w:bidi="ar"/>
              </w:rPr>
              <w:br w:type="textWrapping"/>
            </w:r>
            <w:r>
              <w:rPr>
                <w:rFonts w:hint="eastAsia" w:ascii="仿宋" w:hAnsi="仿宋" w:eastAsia="仿宋" w:cs="仿宋"/>
                <w:b w:val="0"/>
                <w:bCs w:val="0"/>
                <w:kern w:val="0"/>
                <w:sz w:val="21"/>
                <w:szCs w:val="21"/>
                <w:lang w:val="en-US" w:eastAsia="zh-CN" w:bidi="ar"/>
              </w:rPr>
              <w:t xml:space="preserve">3. 适用于血糖异常、超重及减肥人群。 </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0156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用于菌群移植后调理，或根据检测结果进行独立干预（如血糖异常、2型糖尿病、肥胖人群）</w:t>
            </w:r>
          </w:p>
        </w:tc>
      </w:tr>
      <w:tr w14:paraId="1834DBC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auto"/>
          <w:tblCellMar>
            <w:top w:w="15" w:type="dxa"/>
            <w:left w:w="15" w:type="dxa"/>
            <w:bottom w:w="15" w:type="dxa"/>
            <w:right w:w="15" w:type="dxa"/>
          </w:tblCellMar>
        </w:tblPrEx>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3DBF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Style w:val="10"/>
                <w:rFonts w:hint="eastAsia" w:ascii="仿宋" w:hAnsi="仿宋" w:eastAsia="仿宋" w:cs="仿宋"/>
                <w:b w:val="0"/>
                <w:bCs w:val="0"/>
                <w:kern w:val="0"/>
                <w:sz w:val="21"/>
                <w:szCs w:val="21"/>
                <w:lang w:val="en-US" w:eastAsia="zh-CN" w:bidi="ar"/>
              </w:rPr>
              <w:t>高纤复合膳食纤维</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C2A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 xml:space="preserve">高蛋白高纤维代餐/营养补充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BC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粉剂</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23D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1. 每100克产品蛋白质和膳食纤维含量应达到国家“高蛋白”和“高膳食纤维”食品标准。</w:t>
            </w:r>
            <w:r>
              <w:rPr>
                <w:rFonts w:hint="eastAsia" w:ascii="仿宋" w:hAnsi="仿宋" w:eastAsia="仿宋" w:cs="仿宋"/>
                <w:b w:val="0"/>
                <w:bCs w:val="0"/>
                <w:kern w:val="0"/>
                <w:sz w:val="21"/>
                <w:szCs w:val="21"/>
                <w:lang w:val="en-US" w:eastAsia="zh-CN" w:bidi="ar"/>
              </w:rPr>
              <w:br w:type="textWrapping"/>
            </w:r>
            <w:r>
              <w:rPr>
                <w:rFonts w:hint="eastAsia" w:ascii="仿宋" w:hAnsi="仿宋" w:eastAsia="仿宋" w:cs="仿宋"/>
                <w:b w:val="0"/>
                <w:bCs w:val="0"/>
                <w:kern w:val="0"/>
                <w:sz w:val="21"/>
                <w:szCs w:val="21"/>
                <w:lang w:val="en-US" w:eastAsia="zh-CN" w:bidi="ar"/>
              </w:rPr>
              <w:t>2. 应以多种谷物膳食纤维为主要原料，提供复合膳食纤维来源。</w:t>
            </w:r>
            <w:r>
              <w:rPr>
                <w:rFonts w:hint="eastAsia" w:ascii="仿宋" w:hAnsi="仿宋" w:eastAsia="仿宋" w:cs="仿宋"/>
                <w:b w:val="0"/>
                <w:bCs w:val="0"/>
                <w:kern w:val="0"/>
                <w:sz w:val="21"/>
                <w:szCs w:val="21"/>
                <w:lang w:val="en-US" w:eastAsia="zh-CN" w:bidi="ar"/>
              </w:rPr>
              <w:br w:type="textWrapping"/>
            </w:r>
            <w:r>
              <w:rPr>
                <w:rFonts w:hint="eastAsia" w:ascii="仿宋" w:hAnsi="仿宋" w:eastAsia="仿宋" w:cs="仿宋"/>
                <w:b w:val="0"/>
                <w:bCs w:val="0"/>
                <w:kern w:val="0"/>
                <w:sz w:val="21"/>
                <w:szCs w:val="21"/>
                <w:lang w:val="en-US" w:eastAsia="zh-CN" w:bidi="ar"/>
              </w:rPr>
              <w:t xml:space="preserve">3. 增加饱腹感，抑制糖脂吸收，适合作为肥胖和糖尿病患者的日常代餐或营养补充。 </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47F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用于菌群移植后营养干预，或根据检测结果进行独立干预（如2型糖尿病、减重、高血脂人群）</w:t>
            </w:r>
          </w:p>
        </w:tc>
      </w:tr>
      <w:tr w14:paraId="342B06E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auto"/>
          <w:tblCellMar>
            <w:top w:w="15" w:type="dxa"/>
            <w:left w:w="15" w:type="dxa"/>
            <w:bottom w:w="15" w:type="dxa"/>
            <w:right w:w="15" w:type="dxa"/>
          </w:tblCellMar>
        </w:tblPrEx>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409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Style w:val="10"/>
                <w:rFonts w:hint="eastAsia" w:ascii="仿宋" w:hAnsi="仿宋" w:eastAsia="仿宋" w:cs="仿宋"/>
                <w:b w:val="0"/>
                <w:bCs w:val="0"/>
                <w:kern w:val="0"/>
                <w:sz w:val="21"/>
                <w:szCs w:val="21"/>
                <w:lang w:val="en-US" w:eastAsia="zh-CN" w:bidi="ar"/>
              </w:rPr>
              <w:t>高碳水饮食型营养配方</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F14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碳水调控与膳食纤维补充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8C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粉剂</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A3B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1. 配方应同时含有可溶性膳食纤维和不可溶性膳食纤维，兼具增加饱腹感和促进肠道蠕动双重功能。</w:t>
            </w:r>
            <w:r>
              <w:rPr>
                <w:rFonts w:hint="eastAsia" w:ascii="仿宋" w:hAnsi="仿宋" w:eastAsia="仿宋" w:cs="仿宋"/>
                <w:b w:val="0"/>
                <w:bCs w:val="0"/>
                <w:kern w:val="0"/>
                <w:sz w:val="21"/>
                <w:szCs w:val="21"/>
                <w:lang w:val="en-US" w:eastAsia="zh-CN" w:bidi="ar"/>
              </w:rPr>
              <w:br w:type="textWrapping"/>
            </w:r>
            <w:r>
              <w:rPr>
                <w:rFonts w:hint="eastAsia" w:ascii="仿宋" w:hAnsi="仿宋" w:eastAsia="仿宋" w:cs="仿宋"/>
                <w:b w:val="0"/>
                <w:bCs w:val="0"/>
                <w:kern w:val="0"/>
                <w:sz w:val="21"/>
                <w:szCs w:val="21"/>
                <w:lang w:val="en-US" w:eastAsia="zh-CN" w:bidi="ar"/>
              </w:rPr>
              <w:t>2. 应有助于延缓碳水化合物消化吸收，改善餐后血糖。</w:t>
            </w:r>
            <w:r>
              <w:rPr>
                <w:rFonts w:hint="eastAsia" w:ascii="仿宋" w:hAnsi="仿宋" w:eastAsia="仿宋" w:cs="仿宋"/>
                <w:b w:val="0"/>
                <w:bCs w:val="0"/>
                <w:kern w:val="0"/>
                <w:sz w:val="21"/>
                <w:szCs w:val="21"/>
                <w:lang w:val="en-US" w:eastAsia="zh-CN" w:bidi="ar"/>
              </w:rPr>
              <w:br w:type="textWrapping"/>
            </w:r>
            <w:r>
              <w:rPr>
                <w:rFonts w:hint="eastAsia" w:ascii="仿宋" w:hAnsi="仿宋" w:eastAsia="仿宋" w:cs="仿宋"/>
                <w:b w:val="0"/>
                <w:bCs w:val="0"/>
                <w:kern w:val="0"/>
                <w:sz w:val="21"/>
                <w:szCs w:val="21"/>
                <w:lang w:val="en-US" w:eastAsia="zh-CN" w:bidi="ar"/>
              </w:rPr>
              <w:t>3. 适用于需要控制碳水摄入、改善餐后血糖及体重管理的人群。</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984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用于菌群移植后营养干预，或根据检测结果进行独立干预（如高碳水饮食、糖尿病、肥胖人群）</w:t>
            </w:r>
          </w:p>
        </w:tc>
      </w:tr>
      <w:tr w14:paraId="59BCBD7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auto"/>
          <w:tblCellMar>
            <w:top w:w="15" w:type="dxa"/>
            <w:left w:w="15" w:type="dxa"/>
            <w:bottom w:w="15" w:type="dxa"/>
            <w:right w:w="15" w:type="dxa"/>
          </w:tblCellMar>
        </w:tblPrEx>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B53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Style w:val="10"/>
                <w:rFonts w:hint="eastAsia" w:ascii="仿宋" w:hAnsi="仿宋" w:eastAsia="仿宋" w:cs="仿宋"/>
                <w:b w:val="0"/>
                <w:bCs w:val="0"/>
                <w:kern w:val="0"/>
                <w:sz w:val="21"/>
                <w:szCs w:val="21"/>
                <w:lang w:val="en-US" w:eastAsia="zh-CN" w:bidi="ar"/>
              </w:rPr>
              <w:t>复合花色苷固体饮料</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2DC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抗氧化与代谢调节</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5B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粉剂</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522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1. 应以富含花色苷的天然原料（如蓝莓、黑米、玫瑰茄等）为主要成分，并明确标示花色苷含量。</w:t>
            </w:r>
            <w:r>
              <w:rPr>
                <w:rFonts w:hint="eastAsia" w:ascii="仿宋" w:hAnsi="仿宋" w:eastAsia="仿宋" w:cs="仿宋"/>
                <w:b w:val="0"/>
                <w:bCs w:val="0"/>
                <w:kern w:val="0"/>
                <w:sz w:val="21"/>
                <w:szCs w:val="21"/>
                <w:lang w:val="en-US" w:eastAsia="zh-CN" w:bidi="ar"/>
              </w:rPr>
              <w:br w:type="textWrapping"/>
            </w:r>
            <w:r>
              <w:rPr>
                <w:rFonts w:hint="eastAsia" w:ascii="仿宋" w:hAnsi="仿宋" w:eastAsia="仿宋" w:cs="仿宋"/>
                <w:b w:val="0"/>
                <w:bCs w:val="0"/>
                <w:kern w:val="0"/>
                <w:sz w:val="21"/>
                <w:szCs w:val="21"/>
                <w:lang w:val="en-US" w:eastAsia="zh-CN" w:bidi="ar"/>
              </w:rPr>
              <w:t>2. 应具有抗氧化、抗炎、调节血脂等代谢调节功能。</w:t>
            </w:r>
            <w:r>
              <w:rPr>
                <w:rFonts w:hint="eastAsia" w:ascii="仿宋" w:hAnsi="仿宋" w:eastAsia="仿宋" w:cs="仿宋"/>
                <w:b w:val="0"/>
                <w:bCs w:val="0"/>
                <w:kern w:val="0"/>
                <w:sz w:val="21"/>
                <w:szCs w:val="21"/>
                <w:lang w:val="en-US" w:eastAsia="zh-CN" w:bidi="ar"/>
              </w:rPr>
              <w:br w:type="textWrapping"/>
            </w:r>
            <w:r>
              <w:rPr>
                <w:rFonts w:hint="eastAsia" w:ascii="仿宋" w:hAnsi="仿宋" w:eastAsia="仿宋" w:cs="仿宋"/>
                <w:b w:val="0"/>
                <w:bCs w:val="0"/>
                <w:kern w:val="0"/>
                <w:sz w:val="21"/>
                <w:szCs w:val="21"/>
                <w:lang w:val="en-US" w:eastAsia="zh-CN" w:bidi="ar"/>
              </w:rPr>
              <w:t xml:space="preserve">3. 适用于心血管疾病、糖尿病等代谢性疾病高危人群的营养干预。 </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C3A2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bidi="ar"/>
              </w:rPr>
              <w:t>用于菌群移植后营养干预，或根据检测结果进行独立干预（如高血脂、高血压、心血管疾病高危人群）</w:t>
            </w:r>
          </w:p>
        </w:tc>
      </w:tr>
    </w:tbl>
    <w:p w14:paraId="05B514E5">
      <w:pPr>
        <w:pStyle w:val="12"/>
        <w:keepNext w:val="0"/>
        <w:keepLines w:val="0"/>
        <w:pageBreakBefore w:val="0"/>
        <w:numPr>
          <w:ilvl w:val="0"/>
          <w:numId w:val="0"/>
        </w:numPr>
        <w:kinsoku/>
        <w:wordWrap/>
        <w:overflowPunct/>
        <w:topLinePunct w:val="0"/>
        <w:bidi w:val="0"/>
        <w:spacing w:line="500" w:lineRule="exact"/>
        <w:ind w:left="-425" w:leftChars="0" w:firstLine="562" w:firstLineChars="200"/>
        <w:outlineLvl w:val="3"/>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3.使用建议与服务要求</w:t>
      </w:r>
    </w:p>
    <w:p w14:paraId="00A5A9B4">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个性化使用方案：供应商应提供产品使用建议（如冲调水温、每日推荐摄入量、服用时间等），但具体使用方案应由内分泌营养代谢中心医生或营养师根据患者肠道菌群检测结果、疾病状况及耐受性进行个性化调整。</w:t>
      </w:r>
    </w:p>
    <w:p w14:paraId="4A4C17FC">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（2）培训与学术支持：供应商应提供针对微生态调节剂产品特性、使用逻辑及与检测结果关联的培训支持，协助临床科室更好地开展个性化营养干预工作。</w:t>
      </w:r>
    </w:p>
    <w:p w14:paraId="6BB60F19">
      <w:pPr>
        <w:keepNext w:val="0"/>
        <w:keepLines w:val="0"/>
        <w:pageBreakBefore w:val="0"/>
        <w:kinsoku/>
        <w:wordWrap/>
        <w:overflowPunct/>
        <w:topLinePunct w:val="0"/>
        <w:bidi w:val="0"/>
        <w:spacing w:line="500" w:lineRule="exact"/>
        <w:outlineLvl w:val="0"/>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五、服务期</w:t>
      </w:r>
    </w:p>
    <w:p w14:paraId="6D8A2BF0">
      <w:pPr>
        <w:pStyle w:val="12"/>
        <w:keepNext w:val="0"/>
        <w:keepLines w:val="0"/>
        <w:pageBreakBefore w:val="0"/>
        <w:numPr>
          <w:ilvl w:val="0"/>
          <w:numId w:val="0"/>
        </w:numPr>
        <w:kinsoku/>
        <w:wordWrap/>
        <w:overflowPunct/>
        <w:topLinePunct w:val="0"/>
        <w:bidi w:val="0"/>
        <w:spacing w:line="500" w:lineRule="exact"/>
        <w:ind w:left="-425" w:leftChars="0" w:firstLine="560" w:firstLineChars="200"/>
        <w:outlineLvl w:val="3"/>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自合同签订之日起3年，服务期满无异议可协商续签（续签期限不超过2年）。</w:t>
      </w:r>
    </w:p>
    <w:p w14:paraId="0F2D0E33">
      <w:pPr>
        <w:keepNext w:val="0"/>
        <w:keepLines w:val="0"/>
        <w:pageBreakBefore w:val="0"/>
        <w:kinsoku/>
        <w:wordWrap/>
        <w:overflowPunct/>
        <w:topLinePunct w:val="0"/>
        <w:bidi w:val="0"/>
        <w:spacing w:line="50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14:paraId="632C0179">
      <w:pPr>
        <w:keepNext w:val="0"/>
        <w:keepLines w:val="0"/>
        <w:pageBreakBefore w:val="0"/>
        <w:kinsoku/>
        <w:wordWrap/>
        <w:overflowPunct/>
        <w:topLinePunct w:val="0"/>
        <w:bidi w:val="0"/>
        <w:spacing w:line="500" w:lineRule="exact"/>
        <w:rPr>
          <w:rFonts w:hint="eastAsia" w:ascii="仿宋" w:hAnsi="仿宋" w:eastAsia="仿宋" w:cs="仿宋"/>
          <w:sz w:val="28"/>
          <w:szCs w:val="28"/>
          <w:lang w:val="en-US" w:eastAsia="zh-CN"/>
        </w:rPr>
      </w:pPr>
    </w:p>
    <w:p w14:paraId="3CBBAC18">
      <w:pPr>
        <w:keepNext w:val="0"/>
        <w:keepLines w:val="0"/>
        <w:pageBreakBefore w:val="0"/>
        <w:kinsoku/>
        <w:wordWrap/>
        <w:overflowPunct/>
        <w:topLinePunct w:val="0"/>
        <w:bidi w:val="0"/>
        <w:spacing w:line="500" w:lineRule="exact"/>
        <w:ind w:firstLine="5040" w:firstLineChars="18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7D63B8"/>
    <w:multiLevelType w:val="singleLevel"/>
    <w:tmpl w:val="947D63B8"/>
    <w:lvl w:ilvl="0" w:tentative="0">
      <w:start w:val="1"/>
      <w:numFmt w:val="decimal"/>
      <w:suff w:val="space"/>
      <w:lvlText w:val="%1."/>
      <w:lvlJc w:val="left"/>
    </w:lvl>
  </w:abstractNum>
  <w:abstractNum w:abstractNumId="1">
    <w:nsid w:val="C73CC189"/>
    <w:multiLevelType w:val="singleLevel"/>
    <w:tmpl w:val="C73CC189"/>
    <w:lvl w:ilvl="0" w:tentative="0">
      <w:start w:val="2"/>
      <w:numFmt w:val="decimal"/>
      <w:suff w:val="nothing"/>
      <w:lvlText w:val="（%1）"/>
      <w:lvlJc w:val="left"/>
    </w:lvl>
  </w:abstractNum>
  <w:abstractNum w:abstractNumId="2">
    <w:nsid w:val="EBDFEB12"/>
    <w:multiLevelType w:val="singleLevel"/>
    <w:tmpl w:val="EBDFEB12"/>
    <w:lvl w:ilvl="0" w:tentative="0">
      <w:start w:val="3"/>
      <w:numFmt w:val="chineseCounting"/>
      <w:suff w:val="nothing"/>
      <w:lvlText w:val="%1、"/>
      <w:lvlJc w:val="left"/>
      <w:rPr>
        <w:rFonts w:hint="eastAsia"/>
      </w:rPr>
    </w:lvl>
  </w:abstractNum>
  <w:abstractNum w:abstractNumId="3">
    <w:nsid w:val="0FF54F97"/>
    <w:multiLevelType w:val="singleLevel"/>
    <w:tmpl w:val="0FF54F97"/>
    <w:lvl w:ilvl="0" w:tentative="0">
      <w:start w:val="2"/>
      <w:numFmt w:val="chineseCounting"/>
      <w:suff w:val="nothing"/>
      <w:lvlText w:val="（%1）"/>
      <w:lvlJc w:val="left"/>
      <w:rPr>
        <w:rFonts w:hint="eastAsia"/>
      </w:rPr>
    </w:lvl>
  </w:abstractNum>
  <w:abstractNum w:abstractNumId="4">
    <w:nsid w:val="2236050A"/>
    <w:multiLevelType w:val="singleLevel"/>
    <w:tmpl w:val="2236050A"/>
    <w:lvl w:ilvl="0" w:tentative="0">
      <w:start w:val="1"/>
      <w:numFmt w:val="lowerLetter"/>
      <w:lvlText w:val="%1."/>
      <w:lvlJc w:val="left"/>
      <w:pPr>
        <w:tabs>
          <w:tab w:val="left" w:pos="312"/>
        </w:tabs>
      </w:pPr>
      <w:rPr>
        <w:rFonts w:hint="default"/>
        <w:color w:val="auto"/>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1B05BB"/>
    <w:rsid w:val="032C4E8C"/>
    <w:rsid w:val="059116AA"/>
    <w:rsid w:val="067B1A01"/>
    <w:rsid w:val="07E01DA1"/>
    <w:rsid w:val="09811362"/>
    <w:rsid w:val="0C5FCF4E"/>
    <w:rsid w:val="0FBB5246"/>
    <w:rsid w:val="14C30A80"/>
    <w:rsid w:val="14EF3F6B"/>
    <w:rsid w:val="16417A9F"/>
    <w:rsid w:val="17500E49"/>
    <w:rsid w:val="178D35C8"/>
    <w:rsid w:val="18133ACD"/>
    <w:rsid w:val="19DA07C0"/>
    <w:rsid w:val="1D292EB6"/>
    <w:rsid w:val="1F022AED"/>
    <w:rsid w:val="236723EA"/>
    <w:rsid w:val="26AD333E"/>
    <w:rsid w:val="28EC2844"/>
    <w:rsid w:val="2EA64680"/>
    <w:rsid w:val="32EC5E34"/>
    <w:rsid w:val="351A286B"/>
    <w:rsid w:val="35F95792"/>
    <w:rsid w:val="360B50B4"/>
    <w:rsid w:val="38E35FF9"/>
    <w:rsid w:val="39A13D2D"/>
    <w:rsid w:val="3BD980B9"/>
    <w:rsid w:val="3CD25455"/>
    <w:rsid w:val="3F6EA494"/>
    <w:rsid w:val="3FA078CF"/>
    <w:rsid w:val="426C2FE5"/>
    <w:rsid w:val="45462E84"/>
    <w:rsid w:val="456A7C80"/>
    <w:rsid w:val="47B277ED"/>
    <w:rsid w:val="47F657FF"/>
    <w:rsid w:val="48C91E02"/>
    <w:rsid w:val="4C553386"/>
    <w:rsid w:val="4D502AF2"/>
    <w:rsid w:val="548321FF"/>
    <w:rsid w:val="58215D6E"/>
    <w:rsid w:val="5A9D28FB"/>
    <w:rsid w:val="5CBA4FC1"/>
    <w:rsid w:val="5F7FD6BD"/>
    <w:rsid w:val="61994610"/>
    <w:rsid w:val="633A772C"/>
    <w:rsid w:val="6BFBE6A0"/>
    <w:rsid w:val="6F1B05BB"/>
    <w:rsid w:val="70076BE8"/>
    <w:rsid w:val="72AA7CFF"/>
    <w:rsid w:val="739E0321"/>
    <w:rsid w:val="74082F2F"/>
    <w:rsid w:val="74996569"/>
    <w:rsid w:val="7860333A"/>
    <w:rsid w:val="78A43B6E"/>
    <w:rsid w:val="78F7629B"/>
    <w:rsid w:val="7D742D2F"/>
    <w:rsid w:val="7FD76DB4"/>
    <w:rsid w:val="D5AEB8ED"/>
    <w:rsid w:val="F47F6207"/>
    <w:rsid w:val="FF2F12F9"/>
    <w:rsid w:val="FF7B51E2"/>
    <w:rsid w:val="FFB73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99"/>
    <w:pPr>
      <w:widowControl/>
      <w:spacing w:before="100" w:beforeAutospacing="1" w:after="100" w:afterAutospacing="1"/>
      <w:jc w:val="left"/>
    </w:pPr>
    <w:rPr>
      <w:rFonts w:ascii="宋体" w:hAnsi="宋体"/>
      <w:kern w:val="0"/>
      <w:sz w:val="24"/>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paragraph" w:styleId="12">
    <w:name w:val="List Paragraph"/>
    <w:basedOn w:val="1"/>
    <w:qFormat/>
    <w:uiPriority w:val="34"/>
    <w:pPr>
      <w:ind w:firstLine="420" w:firstLineChars="200"/>
    </w:pPr>
  </w:style>
  <w:style w:type="paragraph" w:customStyle="1" w:styleId="13">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eastAsia" w:ascii="等线" w:hAnsi="等线" w:eastAsia="等线" w:cs="Arial"/>
      <w:kern w:val="2"/>
      <w:sz w:val="21"/>
      <w:szCs w:val="22"/>
      <w:lang w:val="en-US" w:eastAsia="zh-CN" w:bidi="ar"/>
    </w:rPr>
  </w:style>
  <w:style w:type="character" w:customStyle="1" w:styleId="14">
    <w:name w:val="font31"/>
    <w:basedOn w:val="9"/>
    <w:qFormat/>
    <w:uiPriority w:val="0"/>
    <w:rPr>
      <w:rFonts w:hint="eastAsia" w:ascii="微软雅黑" w:hAnsi="微软雅黑" w:eastAsia="微软雅黑" w:cs="微软雅黑"/>
      <w:color w:val="000000"/>
      <w:sz w:val="22"/>
      <w:szCs w:val="22"/>
      <w:u w:val="none"/>
      <w:vertAlign w:val="superscript"/>
    </w:rPr>
  </w:style>
  <w:style w:type="character" w:customStyle="1" w:styleId="15">
    <w:name w:val="font11"/>
    <w:basedOn w:val="9"/>
    <w:qFormat/>
    <w:uiPriority w:val="0"/>
    <w:rPr>
      <w:rFonts w:hint="eastAsia" w:ascii="微软雅黑" w:hAnsi="微软雅黑" w:eastAsia="微软雅黑" w:cs="微软雅黑"/>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cdc8c0f9-d3b1-43ff-850f-6073d1de6864</errorID>
      <errorWord>包括以下三</errorWord>
      <group>L1_Word</group>
      <groupName>字词问题</groupName>
      <ability>L2_Typo</ability>
      <abilityName>字词错误</abilityName>
      <candidateList>
        <item>包括以下三个</item>
      </candidateList>
      <explain/>
      <paraID> CCB0A2F</paraID>
      <start>34</start>
      <end>39</end>
      <status>unmodified</status>
      <modifiedWord/>
      <trackRevisions>false</trackRevisions>
    </reviewItem>
    <reviewItem>
      <errorID>bf61e72b-d895-40de-b494-2644094986c0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1A8B968D</paraID>
      <start>38</start>
      <end>40</end>
      <status>modified</status>
      <modifiedWord>》《</modifiedWord>
      <trackRevisions>false</trackRevisions>
    </reviewItem>
    <reviewItem>
      <errorID>d6f681c3-01eb-40bf-97a2-218c735c895b</errorID>
      <errorWord>的人</errorWord>
      <group>L1_Word</group>
      <groupName>字词问题</groupName>
      <ability>L2_Typo</ability>
      <abilityName>字词错误</abilityName>
      <candidateList>
        <item>的</item>
      </candidateList>
      <explain/>
      <paraID> B546D6B</paraID>
      <start>21</start>
      <end>23</end>
      <status>ignored</status>
      <modifiedWord/>
      <trackRevisions>false</trackRevisions>
    </reviewItem>
    <reviewItem>
      <errorID>c01486ad-6db2-477b-8ebe-23c05b22cab6</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5A5602E6</paraID>
      <start>9</start>
      <end>21</end>
      <status>modified</status>
      <modifiedWord>中华人民共和国政府采购法</modifiedWord>
      <trackRevisions>false</trackRevisions>
    </reviewItem>
    <reviewItem>
      <errorID>79fc3f83-065d-4f9b-9251-450102e1115f</errorID>
      <errorWord>：</errorWord>
      <group>L1_Word</group>
      <groupName>字词问题</groupName>
      <ability>L2_Typo</ability>
      <abilityName>字词错误</abilityName>
      <candidateList>
        <item>：在</item>
      </candidateList>
      <explain/>
      <paraID>6BB5A753</paraID>
      <start>16</start>
      <end>17</end>
      <status>ignored</status>
      <modifiedWord/>
      <trackRevisions>false</trackRevisions>
    </reviewItem>
    <reviewItem>
      <errorID>571c4bb5-51c4-4a33-91f3-16507870fed4</errorID>
      <errorWord>，</errorWord>
      <group>L1_Word</group>
      <groupName>字词问题</groupName>
      <ability>L2_Typo</ability>
      <abilityName>字词错误</abilityName>
      <candidateList>
        <item>，在</item>
      </candidateList>
      <explain/>
      <paraID>34027EF8</paraID>
      <start>15</start>
      <end>16</end>
      <status>ignored</status>
      <modifiedWord/>
      <trackRevisions>false</trackRevisions>
    </reviewItem>
    <reviewItem>
      <errorID>9e251251-8238-4342-a399-b72d911b9b43</errorID>
      <errorWord>（</errorWord>
      <group>L1_Punc</group>
      <groupName>标点问题</groupName>
      <ability>L2_Punc_CN</ability>
      <abilityName>标点符号问题</abilityName>
      <candidateList/>
      <explain>同一形式括号套用。</explain>
      <paraID>11D01A4D</paraID>
      <start>39</start>
      <end>40</end>
      <status>ignored</status>
      <modifiedWord/>
      <trackRevisions>false</trackRevisions>
    </reviewItem>
    <reviewItem>
      <errorID>a459e7ca-1afc-4994-b465-188ec4f4ad92</errorID>
      <errorWord>）</errorWord>
      <group>L1_Punc</group>
      <groupName>标点问题</groupName>
      <ability>L2_Punc_CN</ability>
      <abilityName>标点符号问题</abilityName>
      <candidateList/>
      <explain>同一形式括号套用。</explain>
      <paraID>11D01A4D</paraID>
      <start>43</start>
      <end>44</end>
      <status>ignored</status>
      <modifiedWord/>
      <trackRevisions>false</trackRevisions>
    </reviewItem>
    <reviewItem>
      <errorID>a1e4a866-f562-4fbf-8585-e5d08019b886</errorID>
      <errorWord>幽门螺旋杆菌</errorWord>
      <group>L1_Knowledge</group>
      <groupName>知识性问题</groupName>
      <ability>L2_Term</ability>
      <abilityName>专业术语</abilityName>
      <candidateList>
        <item>幽门螺杆菌</item>
      </candidateList>
      <explain>医学名词[幽门螺旋杆菌]为不规范表述或旧称，其规范书面表述为[幽门螺杆菌]。</explain>
      <paraID>4B006263</paraID>
      <start>77</start>
      <end>82</end>
      <status>modified</status>
      <modifiedWord>幽门螺杆菌</modifiedWord>
      <trackRevisions>false</trackRevisions>
    </reviewItem>
    <reviewItem>
      <errorID>ef441b73-b2b5-4f89-a936-9042565db4e6</errorID>
      <errorWord>需具备</errorWord>
      <group>L1_Word</group>
      <groupName>字词问题</groupName>
      <ability>L2_Typo</ability>
      <abilityName>字词错误</abilityName>
      <candidateList>
        <item>须具备</item>
      </candidateList>
      <explain/>
      <paraID>192C86A5</paraID>
      <start>22</start>
      <end>25</end>
      <status>modified</status>
      <modifiedWord>须具备</modifiedWord>
      <trackRevisions>false</trackRevisions>
    </reviewItem>
    <reviewItem>
      <errorID>236f838d-9db3-4fc4-a233-27ccb0392e57</errorID>
      <errorWord>（</errorWord>
      <group>L1_Punc</group>
      <groupName>标点问题</groupName>
      <ability>L2_Punc_CN</ability>
      <abilityName>标点符号问题</abilityName>
      <candidateList/>
      <explain>同一形式括号套用。</explain>
      <paraID>192C86A5</paraID>
      <start>64</start>
      <end>65</end>
      <status>ignored</status>
      <modifiedWord/>
      <trackRevisions>false</trackRevisions>
    </reviewItem>
    <reviewItem>
      <errorID>95f56245-6357-4989-9e71-23bb6e1c31fa</errorID>
      <errorWord>）</errorWord>
      <group>L1_Punc</group>
      <groupName>标点问题</groupName>
      <ability>L2_Punc_CN</ability>
      <abilityName>标点符号问题</abilityName>
      <candidateList/>
      <explain>同一形式括号套用。</explain>
      <paraID>192C86A5</paraID>
      <start>69</start>
      <end>70</end>
      <status>ignored</status>
      <modifiedWord/>
      <trackRevisions>false</trackRevisions>
    </reviewItem>
    <reviewItem>
      <errorID>10c21801-5503-4cbf-891f-66a40c00ea75</errorID>
      <errorWord>法律、法规</errorWord>
      <group>L1_Word</group>
      <groupName>字词问题</groupName>
      <ability>L2_Typo</ability>
      <abilityName>字词错误</abilityName>
      <candidateList>
        <item>法律法规</item>
      </candidateList>
      <explain/>
      <paraID>34506108</paraID>
      <start>31</start>
      <end>35</end>
      <status>modified</status>
      <modifiedWord>法律法规</modifiedWord>
      <trackRevisions>false</trackRevisions>
    </reviewItem>
    <reviewItem>
      <errorID>966caca8-28d0-4782-96c4-a740143302f2</errorID>
      <errorWord>晰</errorWord>
      <group>L1_Word</group>
      <groupName>字词问题</groupName>
      <ability>L2_Typo</ability>
      <abilityName>字词错误</abilityName>
      <candidateList>
        <item>晰地</item>
      </candidateList>
      <explain/>
      <paraID>6DEC2DFE</paraID>
      <start>28</start>
      <end>30</end>
      <status>modified</status>
      <modifiedWord>晰地</modifiedWord>
      <trackRevisions>false</trackRevisions>
    </reviewItem>
    <reviewItem>
      <errorID>e4683b32-6732-47c0-a01d-5a5ac12c9eef</errorID>
      <errorWord>(</errorWord>
      <group>L1_Format</group>
      <groupName>格式问题</groupName>
      <ability>L2_HalfPunc_CN</ability>
      <abilityName>全半角问题</abilityName>
      <candidateList>
        <item>（</item>
      </candidateList>
      <explain>文本全半角错误。</explain>
      <paraID>2B865C8B</paraID>
      <start>13</start>
      <end>14</end>
      <status>modified</status>
      <modifiedWord>（</modifiedWord>
      <trackRevisions>false</trackRevisions>
    </reviewItem>
    <reviewItem>
      <errorID>a68dd1b1-7277-4a41-b11f-91f62efc705a</errorID>
      <errorWord>)</errorWord>
      <group>L1_Format</group>
      <groupName>格式问题</groupName>
      <ability>L2_HalfPunc_CN</ability>
      <abilityName>全半角问题</abilityName>
      <candidateList>
        <item>）</item>
      </candidateList>
      <explain>文本全半角错误。</explain>
      <paraID>2B865C8B</paraID>
      <start>23</start>
      <end>24</end>
      <status>modified</status>
      <modifiedWord>）</modifiedWord>
      <trackRevisions>false</trackRevisions>
    </reviewItem>
    <reviewItem>
      <errorID>ee43d103-df85-4147-828a-faa6f612e4cd</errorID>
      <errorWord>(</errorWord>
      <group>L1_Format</group>
      <groupName>格式问题</groupName>
      <ability>L2_HalfPunc_CN</ability>
      <abilityName>全半角问题</abilityName>
      <candidateList>
        <item>（</item>
      </candidateList>
      <explain>文本全半角错误。</explain>
      <paraID>2B865C8B</paraID>
      <start>52</start>
      <end>53</end>
      <status>modified</status>
      <modifiedWord>（</modifiedWord>
      <trackRevisions>false</trackRevisions>
    </reviewItem>
    <reviewItem>
      <errorID>f30fd7eb-1bb0-4f43-abdd-b0922dcb3de2</errorID>
      <errorWord>)</errorWord>
      <group>L1_Format</group>
      <groupName>格式问题</groupName>
      <ability>L2_HalfPunc_CN</ability>
      <abilityName>全半角问题</abilityName>
      <candidateList>
        <item>）</item>
      </candidateList>
      <explain>文本全半角错误。</explain>
      <paraID>2B865C8B</paraID>
      <start>80</start>
      <end>81</end>
      <status>modified</status>
      <modifiedWord>）</modifiedWord>
      <trackRevisions>false</trackRevisions>
    </reviewItem>
    <reviewItem>
      <errorID>72795514-d205-4dd0-9ea2-336df1be50c6</errorID>
      <errorWord>分</errorWord>
      <group>L1_Word</group>
      <groupName>字词问题</groupName>
      <ability>L2_Typo</ability>
      <abilityName>字词错误</abilityName>
      <candidateList>
        <item>份</item>
      </candidateList>
      <explain/>
      <paraID>3FE4F44E</paraID>
      <start>82</start>
      <end>83</end>
      <status>ignored</status>
      <modifiedWord/>
      <trackRevisions>false</trackRevisions>
    </reviewItem>
    <reviewItem>
      <errorID>40abfa58-5e97-41c5-b610-82d741ef50f4</errorID>
      <errorWord>%得</errorWord>
      <group>L1_Word</group>
      <groupName>字词问题</groupName>
      <ability>L2_Typo</ability>
      <abilityName>字词错误</abilityName>
      <candidateList>
        <item>%</item>
      </candidateList>
      <explain/>
      <paraID>23A977AB</paraID>
      <start>81</start>
      <end>82</end>
      <status>modified</status>
      <modifiedWord>%</modifiedWord>
      <trackRevisions>false</trackRevisions>
    </reviewItem>
    <reviewItem>
      <errorID>f03fae91-2f63-47a5-97fb-86d827a0cb6a</errorID>
      <errorWord>报各</errorWord>
      <group>L1_Word</group>
      <groupName>字词问题</groupName>
      <ability>L2_Typo</ability>
      <abilityName>字词错误</abilityName>
      <candidateList>
        <item>报告</item>
      </candidateList>
      <explain/>
      <paraID>78208C91</paraID>
      <start>227</start>
      <end>229</end>
      <status>modified</status>
      <modifiedWord>报告</modifiedWord>
      <trackRevisions>false</trackRevisions>
    </reviewItem>
    <reviewItem>
      <errorID>3effa11e-d695-42cd-a414-9396e77065e2</errorID>
      <errorWord>需</errorWord>
      <group>L1_Word</group>
      <groupName>字词问题</groupName>
      <ability>L2_Typo</ability>
      <abilityName>字词错误</abilityName>
      <candidateList>
        <item>须</item>
      </candidateList>
      <explain>存在发音相同字词的误用。</explain>
      <paraID>11F7765B</paraID>
      <start>3</start>
      <end>4</end>
      <status>modified</status>
      <modifiedWord>须</modifiedWord>
      <trackRevisions>false</trackRevisions>
    </reviewItem>
    <reviewItem>
      <errorID>c2166796-4aba-41c5-8d16-4f5b199a698c</errorID>
      <errorWord>(</errorWord>
      <group>L1_Format</group>
      <groupName>格式问题</groupName>
      <ability>L2_HalfPunc_CN</ability>
      <abilityName>全半角问题</abilityName>
      <candidateList>
        <item>（</item>
      </candidateList>
      <explain>文本全半角错误。</explain>
      <paraID>26747D09</paraID>
      <start>66</start>
      <end>67</end>
      <status>modified</status>
      <modifiedWord>（</modifiedWord>
      <trackRevisions>false</trackRevisions>
    </reviewItem>
    <reviewItem>
      <errorID>b07755c9-2221-4301-b020-5b9ff10a4e9f</errorID>
      <errorWord>二位</errorWord>
      <group>L1_Word</group>
      <groupName>字词问题</groupName>
      <ability>L2_Typo</ability>
      <abilityName>字词错误</abilityName>
      <candidateList>
        <item>两位</item>
      </candidateList>
      <explain/>
      <paraID>26747D09</paraID>
      <start>73</start>
      <end>75</end>
      <status>modified</status>
      <modifiedWord>两位</modifiedWord>
      <trackRevisions>false</trackRevisions>
    </reviewItem>
    <reviewItem>
      <errorID>14ea190a-a521-434b-a2b4-8835f836dbaf</errorID>
      <errorWord>)</errorWord>
      <group>L1_Format</group>
      <groupName>格式问题</groupName>
      <ability>L2_HalfPunc_CN</ability>
      <abilityName>全半角问题</abilityName>
      <candidateList>
        <item>）</item>
      </candidateList>
      <explain>文本全半角错误。</explain>
      <paraID>26747D09</paraID>
      <start>83</start>
      <end>84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ffec9adf-c129-43c6-83c1-0db989f373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5693</Words>
  <Characters>5958</Characters>
  <Lines>0</Lines>
  <Paragraphs>0</Paragraphs>
  <TotalTime>25</TotalTime>
  <ScaleCrop>false</ScaleCrop>
  <LinksUpToDate>false</LinksUpToDate>
  <CharactersWithSpaces>6019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2025-10-13T15:38:00Z</dcterms:created>
  <dc:creator>LQ</dc:creator>
  <cp:lastModifiedBy>加深</cp:lastModifiedBy>
  <cp:lastPrinted>2026-09-14T08:55:00Z</cp:lastPrinted>
  <dcterms:modified xsi:type="dcterms:W3CDTF">2026-09-18T04:02:43Z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7DC6529BFD53D7052F67606A56F24019_43</vt:lpwstr>
  </property>
  <property fmtid="{D5CDD505-2E9C-101B-9397-08002B2CF9AE}" pid="4" name="KSOTemplateDocerSaveRecord">
    <vt:lpwstr>eyJoZGlkIjoiNmFkNzM0MjEyYTJlMGViYTU0N2EyNjMzYjM3OTNmZjIiLCJ1c2VySWQiOiIzNTY0MzY5ODAifQ==</vt:lpwstr>
  </property>
</Properties>
</file>