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53FC5">
      <w:pPr>
        <w:keepNext w:val="0"/>
        <w:keepLines w:val="0"/>
        <w:pageBreakBefore w:val="0"/>
        <w:tabs>
          <w:tab w:val="left" w:pos="7275"/>
        </w:tabs>
        <w:kinsoku/>
        <w:wordWrap/>
        <w:overflowPunct/>
        <w:topLinePunct w:val="0"/>
        <w:autoSpaceDE/>
        <w:autoSpaceDN/>
        <w:bidi w:val="0"/>
        <w:adjustRightInd/>
        <w:snapToGrid/>
        <w:spacing w:line="440" w:lineRule="exact"/>
        <w:jc w:val="center"/>
        <w:rPr>
          <w:rFonts w:hint="eastAsia" w:ascii="方正公文小标宋" w:hAnsi="方正公文小标宋" w:eastAsia="方正公文小标宋" w:cs="方正公文小标宋"/>
          <w:b w:val="0"/>
          <w:bCs/>
          <w:color w:val="auto"/>
          <w:sz w:val="36"/>
          <w:szCs w:val="36"/>
          <w:highlight w:val="none"/>
        </w:rPr>
      </w:pPr>
      <w:r>
        <w:rPr>
          <w:rFonts w:hint="eastAsia" w:ascii="方正公文小标宋" w:hAnsi="方正公文小标宋" w:eastAsia="方正公文小标宋" w:cs="方正公文小标宋"/>
          <w:b w:val="0"/>
          <w:bCs/>
          <w:color w:val="auto"/>
          <w:sz w:val="36"/>
          <w:szCs w:val="36"/>
          <w:highlight w:val="none"/>
          <w:lang w:val="en-US"/>
        </w:rPr>
        <w:t>柳州市工人医院202</w:t>
      </w:r>
      <w:r>
        <w:rPr>
          <w:rFonts w:hint="eastAsia" w:ascii="方正公文小标宋" w:hAnsi="方正公文小标宋" w:eastAsia="方正公文小标宋" w:cs="方正公文小标宋"/>
          <w:b w:val="0"/>
          <w:bCs/>
          <w:color w:val="auto"/>
          <w:sz w:val="36"/>
          <w:szCs w:val="36"/>
          <w:highlight w:val="none"/>
          <w:lang w:val="en-US" w:eastAsia="zh-CN"/>
        </w:rPr>
        <w:t>6-2027</w:t>
      </w:r>
      <w:r>
        <w:rPr>
          <w:rFonts w:hint="eastAsia" w:ascii="方正公文小标宋" w:hAnsi="方正公文小标宋" w:eastAsia="方正公文小标宋" w:cs="方正公文小标宋"/>
          <w:b w:val="0"/>
          <w:bCs/>
          <w:color w:val="auto"/>
          <w:sz w:val="36"/>
          <w:szCs w:val="36"/>
          <w:highlight w:val="none"/>
          <w:lang w:val="en-US"/>
        </w:rPr>
        <w:t>年度UPS不间断电源零配件及维保项目采购</w:t>
      </w:r>
      <w:r>
        <w:rPr>
          <w:rFonts w:hint="eastAsia" w:ascii="方正公文小标宋" w:hAnsi="方正公文小标宋" w:eastAsia="方正公文小标宋" w:cs="方正公文小标宋"/>
          <w:b w:val="0"/>
          <w:bCs/>
          <w:color w:val="auto"/>
          <w:sz w:val="36"/>
          <w:szCs w:val="36"/>
          <w:highlight w:val="none"/>
        </w:rPr>
        <w:t>需求</w:t>
      </w:r>
    </w:p>
    <w:p w14:paraId="79C8F9D8">
      <w:pPr>
        <w:keepNext w:val="0"/>
        <w:keepLines w:val="0"/>
        <w:pageBreakBefore w:val="0"/>
        <w:kinsoku/>
        <w:wordWrap/>
        <w:overflowPunct/>
        <w:topLinePunct w:val="0"/>
        <w:autoSpaceDE/>
        <w:autoSpaceDN/>
        <w:bidi w:val="0"/>
        <w:adjustRightInd/>
        <w:snapToGrid/>
        <w:spacing w:line="440" w:lineRule="exact"/>
        <w:rPr>
          <w:rFonts w:hint="eastAsia" w:ascii="仿宋" w:hAnsi="仿宋" w:eastAsia="仿宋" w:cs="仿宋"/>
          <w:color w:val="auto"/>
          <w:sz w:val="28"/>
          <w:szCs w:val="28"/>
          <w:highlight w:val="none"/>
        </w:rPr>
      </w:pPr>
    </w:p>
    <w:p w14:paraId="1408EFA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bCs/>
          <w:color w:val="auto"/>
          <w:sz w:val="28"/>
          <w:szCs w:val="28"/>
          <w:highlight w:val="none"/>
          <w:lang w:eastAsia="zh-CN"/>
        </w:rPr>
      </w:pPr>
      <w:r>
        <w:rPr>
          <w:rFonts w:hint="eastAsia" w:ascii="仿宋_GB2312" w:hAnsi="仿宋_GB2312" w:eastAsia="仿宋_GB2312" w:cs="仿宋_GB2312"/>
          <w:b/>
          <w:bCs/>
          <w:color w:val="auto"/>
          <w:sz w:val="28"/>
          <w:szCs w:val="28"/>
          <w:highlight w:val="none"/>
          <w:lang w:eastAsia="zh-CN"/>
        </w:rPr>
        <w:t>一、</w:t>
      </w:r>
      <w:r>
        <w:rPr>
          <w:rFonts w:hint="eastAsia" w:ascii="仿宋_GB2312" w:hAnsi="仿宋_GB2312" w:eastAsia="仿宋_GB2312" w:cs="仿宋_GB2312"/>
          <w:b/>
          <w:bCs/>
          <w:color w:val="auto"/>
          <w:sz w:val="28"/>
          <w:szCs w:val="28"/>
          <w:highlight w:val="none"/>
        </w:rPr>
        <w:t>项目</w:t>
      </w:r>
      <w:r>
        <w:rPr>
          <w:rFonts w:hint="eastAsia" w:ascii="仿宋_GB2312" w:hAnsi="仿宋_GB2312" w:eastAsia="仿宋_GB2312" w:cs="仿宋_GB2312"/>
          <w:b/>
          <w:bCs/>
          <w:color w:val="auto"/>
          <w:sz w:val="28"/>
          <w:szCs w:val="28"/>
          <w:highlight w:val="none"/>
          <w:lang w:eastAsia="zh-CN"/>
        </w:rPr>
        <w:t>名称</w:t>
      </w:r>
    </w:p>
    <w:p w14:paraId="5B3E8B5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val="0"/>
          <w:bCs w:val="0"/>
          <w:color w:val="auto"/>
          <w:sz w:val="28"/>
          <w:szCs w:val="28"/>
          <w:highlight w:val="none"/>
          <w:lang w:val="en-US" w:eastAsia="zh-CN"/>
        </w:rPr>
        <w:t xml:space="preserve">    柳州市工人医院2026-2027年度UPS不间断电源零配件及维保项目采购</w:t>
      </w:r>
      <w:r>
        <w:rPr>
          <w:rFonts w:hint="eastAsia" w:ascii="仿宋_GB2312" w:hAnsi="仿宋_GB2312" w:eastAsia="仿宋_GB2312" w:cs="仿宋_GB2312"/>
          <w:color w:val="auto"/>
          <w:sz w:val="28"/>
          <w:szCs w:val="28"/>
          <w:highlight w:val="none"/>
        </w:rPr>
        <w:t>。</w:t>
      </w:r>
    </w:p>
    <w:p w14:paraId="61EAD7D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bCs/>
          <w:color w:val="auto"/>
          <w:sz w:val="28"/>
          <w:szCs w:val="28"/>
          <w:highlight w:val="none"/>
          <w:lang w:eastAsia="zh-CN"/>
        </w:rPr>
      </w:pPr>
      <w:r>
        <w:rPr>
          <w:rFonts w:hint="eastAsia" w:ascii="仿宋_GB2312" w:hAnsi="仿宋_GB2312" w:eastAsia="仿宋_GB2312" w:cs="仿宋_GB2312"/>
          <w:b/>
          <w:bCs/>
          <w:color w:val="auto"/>
          <w:sz w:val="28"/>
          <w:szCs w:val="28"/>
          <w:highlight w:val="none"/>
          <w:lang w:eastAsia="zh-CN"/>
        </w:rPr>
        <w:t>二、项目概况</w:t>
      </w:r>
    </w:p>
    <w:p w14:paraId="190FA0D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lang w:val="en-US" w:eastAsia="zh-CN"/>
        </w:rPr>
        <w:t xml:space="preserve"> 我院三个院区在用UPS电源因使用年限久、电池电量不足等问题，需要对这些故障主机、电池及零配件进行更换，并由专业资质厂家进行维保服务，包括24小时维修，接电话半小时到场，每月、每季度进行巡查维护，每半年进行一次电池放电试验等</w:t>
      </w:r>
      <w:r>
        <w:rPr>
          <w:rFonts w:hint="eastAsia" w:ascii="仿宋_GB2312" w:hAnsi="仿宋_GB2312" w:eastAsia="仿宋_GB2312" w:cs="仿宋_GB2312"/>
          <w:color w:val="auto"/>
          <w:sz w:val="28"/>
          <w:szCs w:val="28"/>
          <w:highlight w:val="none"/>
        </w:rPr>
        <w:t>。</w:t>
      </w:r>
    </w:p>
    <w:p w14:paraId="139485A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eastAsia="zh-CN"/>
        </w:rPr>
        <w:t>三、投标人</w:t>
      </w:r>
      <w:r>
        <w:rPr>
          <w:rFonts w:hint="eastAsia" w:ascii="仿宋_GB2312" w:hAnsi="仿宋_GB2312" w:eastAsia="仿宋_GB2312" w:cs="仿宋_GB2312"/>
          <w:b/>
          <w:bCs/>
          <w:color w:val="auto"/>
          <w:sz w:val="28"/>
          <w:szCs w:val="28"/>
          <w:highlight w:val="none"/>
          <w:lang w:val="en-US" w:eastAsia="zh-CN"/>
        </w:rPr>
        <w:t>/供应商资格条件</w:t>
      </w:r>
    </w:p>
    <w:p w14:paraId="36D4F3BA">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1、投标人需为国内注册（指按国家有关规定要求注册的）生产或经营本次招标采购货物及服务</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具备法人资格的供应商。</w:t>
      </w:r>
    </w:p>
    <w:p w14:paraId="633C5D0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2、投标人三年内在经营活动中没有重大违法记录和不良信用记录。</w:t>
      </w:r>
    </w:p>
    <w:p w14:paraId="5073EEC8">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3、投标人有效的“营业执照”副本复印件。</w:t>
      </w:r>
    </w:p>
    <w:p w14:paraId="560BF5A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4、投标人有效的“税务登记证”副本复印件。</w:t>
      </w:r>
    </w:p>
    <w:p w14:paraId="46571868">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rPr>
        <w:t>竞标时出具承诺函，承诺成交后能确保本项目配置人员常驻项目本地全年不少于10个月的承诺函（采购人有权在合同期间随时抽查上述人员到位情况，若发现与承诺函不符，则按虚假应标处理）；同时须提供≥</w:t>
      </w: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名常驻人员身份证复印件及最近</w:t>
      </w: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个月的社保缴纳证明</w:t>
      </w:r>
      <w:r>
        <w:rPr>
          <w:rFonts w:hint="eastAsia" w:ascii="仿宋_GB2312" w:hAnsi="仿宋_GB2312" w:eastAsia="仿宋_GB2312" w:cs="仿宋_GB2312"/>
          <w:color w:val="auto"/>
          <w:sz w:val="28"/>
          <w:szCs w:val="28"/>
          <w:highlight w:val="none"/>
          <w:lang w:eastAsia="zh-CN"/>
        </w:rPr>
        <w:t>。</w:t>
      </w:r>
    </w:p>
    <w:p w14:paraId="6EE7D690">
      <w:pPr>
        <w:pStyle w:val="1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w:t>
      </w:r>
      <w:r>
        <w:rPr>
          <w:rFonts w:hint="eastAsia" w:ascii="仿宋_GB2312" w:hAnsi="仿宋_GB2312" w:eastAsia="仿宋_GB2312" w:cs="仿宋_GB2312"/>
          <w:color w:val="auto"/>
          <w:sz w:val="28"/>
          <w:szCs w:val="28"/>
          <w:highlight w:val="none"/>
        </w:rPr>
        <w:t>投标人</w:t>
      </w:r>
      <w:r>
        <w:rPr>
          <w:rFonts w:hint="eastAsia" w:ascii="仿宋_GB2312" w:hAnsi="仿宋_GB2312" w:eastAsia="仿宋_GB2312" w:cs="仿宋_GB2312"/>
          <w:color w:val="auto"/>
          <w:sz w:val="28"/>
          <w:szCs w:val="28"/>
          <w:highlight w:val="none"/>
          <w:lang w:eastAsia="zh-CN"/>
        </w:rPr>
        <w:t>需提供</w:t>
      </w:r>
      <w:r>
        <w:rPr>
          <w:rFonts w:hint="eastAsia" w:ascii="仿宋_GB2312" w:hAnsi="仿宋_GB2312" w:eastAsia="仿宋_GB2312" w:cs="仿宋_GB2312"/>
          <w:color w:val="auto"/>
          <w:sz w:val="28"/>
          <w:szCs w:val="28"/>
          <w:highlight w:val="none"/>
          <w:lang w:val="en-US" w:eastAsia="zh-CN"/>
        </w:rPr>
        <w:t>UPS系统维保人员持有</w:t>
      </w:r>
      <w:r>
        <w:rPr>
          <w:rFonts w:hint="eastAsia" w:ascii="仿宋_GB2312" w:hAnsi="仿宋_GB2312" w:eastAsia="仿宋_GB2312" w:cs="仿宋_GB2312"/>
          <w:color w:val="auto"/>
          <w:sz w:val="28"/>
          <w:szCs w:val="28"/>
          <w:highlight w:val="none"/>
        </w:rPr>
        <w:t>有效</w:t>
      </w:r>
      <w:r>
        <w:rPr>
          <w:rFonts w:hint="eastAsia" w:ascii="仿宋_GB2312" w:hAnsi="仿宋_GB2312" w:eastAsia="仿宋_GB2312" w:cs="仿宋_GB2312"/>
          <w:color w:val="auto"/>
          <w:sz w:val="28"/>
          <w:szCs w:val="28"/>
          <w:highlight w:val="none"/>
          <w:lang w:eastAsia="zh-CN"/>
        </w:rPr>
        <w:t>的低压电工作业证证件（原件</w:t>
      </w:r>
      <w:r>
        <w:rPr>
          <w:rFonts w:hint="eastAsia" w:ascii="仿宋_GB2312" w:hAnsi="仿宋_GB2312" w:eastAsia="仿宋_GB2312" w:cs="仿宋_GB2312"/>
          <w:color w:val="auto"/>
          <w:sz w:val="28"/>
          <w:szCs w:val="28"/>
          <w:highlight w:val="none"/>
          <w:lang w:val="en-US" w:eastAsia="zh-CN"/>
        </w:rPr>
        <w:t>或</w:t>
      </w:r>
      <w:r>
        <w:rPr>
          <w:rFonts w:hint="eastAsia" w:ascii="仿宋_GB2312" w:hAnsi="仿宋_GB2312" w:eastAsia="仿宋_GB2312" w:cs="仿宋_GB2312"/>
          <w:color w:val="auto"/>
          <w:sz w:val="28"/>
          <w:szCs w:val="28"/>
          <w:highlight w:val="none"/>
          <w:lang w:eastAsia="zh-CN"/>
        </w:rPr>
        <w:t>复印件）。</w:t>
      </w:r>
    </w:p>
    <w:p w14:paraId="52BFDEF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四、项目内容</w:t>
      </w:r>
    </w:p>
    <w:p w14:paraId="79632F4C">
      <w:pPr>
        <w:pStyle w:val="4"/>
        <w:keepNext w:val="0"/>
        <w:keepLines w:val="0"/>
        <w:pageBreakBefore w:val="0"/>
        <w:widowControl w:val="0"/>
        <w:kinsoku/>
        <w:wordWrap/>
        <w:overflowPunct/>
        <w:topLinePunct w:val="0"/>
        <w:autoSpaceDE/>
        <w:autoSpaceDN/>
        <w:bidi w:val="0"/>
        <w:adjustRightInd/>
        <w:snapToGrid/>
        <w:spacing w:line="440" w:lineRule="exact"/>
        <w:ind w:firstLine="56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1、采购内容：UPS不间断电源及零配件，清单详见附件1：柳州市工人医院2026-2027年度UPS不间断电源零配件需求清单；</w:t>
      </w:r>
    </w:p>
    <w:p w14:paraId="5BDA0F9B">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kern w:val="2"/>
          <w:sz w:val="28"/>
          <w:szCs w:val="28"/>
          <w:highlight w:val="none"/>
          <w:lang w:val="en-US" w:eastAsia="zh-CN" w:bidi="ar-SA"/>
        </w:rPr>
        <w:t>2、服务要求：对全院UPS</w:t>
      </w:r>
      <w:r>
        <w:rPr>
          <w:rFonts w:hint="eastAsia" w:ascii="仿宋_GB2312" w:hAnsi="仿宋_GB2312" w:eastAsia="仿宋_GB2312" w:cs="仿宋_GB2312"/>
          <w:color w:val="auto"/>
          <w:sz w:val="28"/>
          <w:szCs w:val="28"/>
          <w:highlight w:val="none"/>
          <w:lang w:val="en-US" w:eastAsia="zh-CN"/>
        </w:rPr>
        <w:t>进行维保服务，包括24小时维修，接电话半小时到场，每月、每季度进行巡查维护，每半年进行一次电池放电试验等，服务期1年。</w:t>
      </w:r>
    </w:p>
    <w:p w14:paraId="2A70A2D6">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 UPS及蓄电池基本维护要求：</w:t>
      </w:r>
    </w:p>
    <w:p w14:paraId="3BAD401C">
      <w:pPr>
        <w:pStyle w:val="1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2.1日维护内容</w:t>
      </w:r>
    </w:p>
    <w:p w14:paraId="0F1E350A">
      <w:pPr>
        <w:pStyle w:val="1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2.1.1检查各UPS的指示状态是否正常，是否有告警提示（显示或蜂鸣器）；</w:t>
      </w:r>
    </w:p>
    <w:p w14:paraId="2BDE000D">
      <w:pPr>
        <w:pStyle w:val="1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2.1.2检查UPS的输入输出电压、频率、负载容量等显示参数是否正常；</w:t>
      </w:r>
    </w:p>
    <w:p w14:paraId="6151061E">
      <w:pPr>
        <w:pStyle w:val="1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2.1.3检查UPS是否有异常响声；</w:t>
      </w:r>
    </w:p>
    <w:p w14:paraId="6C545277">
      <w:pPr>
        <w:pStyle w:val="1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2.1.4检查机房环境温度、湿度；</w:t>
      </w:r>
    </w:p>
    <w:p w14:paraId="0BBA9D67">
      <w:pPr>
        <w:pStyle w:val="1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2.2月维护内容</w:t>
      </w:r>
    </w:p>
    <w:p w14:paraId="6CC162F4">
      <w:pPr>
        <w:pStyle w:val="1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2.2.1测量主输入电压、电流、频率。</w:t>
      </w:r>
    </w:p>
    <w:p w14:paraId="6BEC1394">
      <w:pPr>
        <w:pStyle w:val="1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2.2.2测量旁路电压（部分机器可能与主输入共用）。</w:t>
      </w:r>
    </w:p>
    <w:p w14:paraId="39E76CF6">
      <w:pPr>
        <w:pStyle w:val="1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2.2.3测量输出电压、电流、频率。</w:t>
      </w:r>
    </w:p>
    <w:p w14:paraId="36FF35CD">
      <w:pPr>
        <w:pStyle w:val="1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2.2.4测量充电电压、充电电流。</w:t>
      </w:r>
    </w:p>
    <w:p w14:paraId="270A8912">
      <w:pPr>
        <w:pStyle w:val="1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2.2.5检查UPS风机是否正常运转。</w:t>
      </w:r>
    </w:p>
    <w:p w14:paraId="3090AA12">
      <w:pPr>
        <w:pStyle w:val="1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en-US" w:eastAsia="zh-CN"/>
        </w:rPr>
        <w:t>2.3</w:t>
      </w:r>
      <w:r>
        <w:rPr>
          <w:rFonts w:hint="eastAsia" w:ascii="仿宋_GB2312" w:hAnsi="仿宋_GB2312" w:eastAsia="仿宋_GB2312" w:cs="仿宋_GB2312"/>
          <w:color w:val="auto"/>
          <w:sz w:val="28"/>
          <w:szCs w:val="28"/>
          <w:highlight w:val="none"/>
          <w:lang w:val="zh-CN" w:eastAsia="zh-CN"/>
        </w:rPr>
        <w:t>季维护内容</w:t>
      </w:r>
    </w:p>
    <w:p w14:paraId="34024E43">
      <w:pPr>
        <w:pStyle w:val="1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en-US" w:eastAsia="zh-CN"/>
        </w:rPr>
        <w:t>2.3.1</w:t>
      </w:r>
      <w:r>
        <w:rPr>
          <w:rFonts w:hint="eastAsia" w:ascii="仿宋_GB2312" w:hAnsi="仿宋_GB2312" w:eastAsia="仿宋_GB2312" w:cs="仿宋_GB2312"/>
          <w:color w:val="auto"/>
          <w:sz w:val="28"/>
          <w:szCs w:val="28"/>
          <w:highlight w:val="none"/>
          <w:lang w:val="zh-CN" w:eastAsia="zh-CN"/>
        </w:rPr>
        <w:t>检查各开关及电缆接线接触良好，无发热现象。</w:t>
      </w:r>
    </w:p>
    <w:p w14:paraId="0325D605">
      <w:pPr>
        <w:pStyle w:val="1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en-US" w:eastAsia="zh-CN"/>
        </w:rPr>
        <w:t>2.3.2</w:t>
      </w:r>
      <w:r>
        <w:rPr>
          <w:rFonts w:hint="eastAsia" w:ascii="仿宋_GB2312" w:hAnsi="仿宋_GB2312" w:eastAsia="仿宋_GB2312" w:cs="仿宋_GB2312"/>
          <w:color w:val="auto"/>
          <w:sz w:val="28"/>
          <w:szCs w:val="28"/>
          <w:highlight w:val="none"/>
          <w:lang w:val="zh-CN" w:eastAsia="zh-CN"/>
        </w:rPr>
        <w:t>如积尘严重，应清洁UPS。</w:t>
      </w:r>
    </w:p>
    <w:p w14:paraId="703A2269">
      <w:pPr>
        <w:pStyle w:val="1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2.4</w:t>
      </w:r>
      <w:r>
        <w:rPr>
          <w:rFonts w:hint="eastAsia" w:ascii="仿宋_GB2312" w:hAnsi="仿宋_GB2312" w:eastAsia="仿宋_GB2312" w:cs="仿宋_GB2312"/>
          <w:color w:val="auto"/>
          <w:sz w:val="28"/>
          <w:szCs w:val="28"/>
          <w:highlight w:val="none"/>
          <w:lang w:val="zh-CN" w:eastAsia="zh-CN"/>
        </w:rPr>
        <w:t>对电池做维护性放电，</w:t>
      </w:r>
      <w:r>
        <w:rPr>
          <w:rFonts w:hint="eastAsia" w:ascii="仿宋_GB2312" w:hAnsi="仿宋_GB2312" w:eastAsia="仿宋_GB2312" w:cs="仿宋_GB2312"/>
          <w:color w:val="auto"/>
          <w:sz w:val="28"/>
          <w:szCs w:val="28"/>
          <w:highlight w:val="none"/>
          <w:lang w:val="en-US" w:eastAsia="zh-CN"/>
        </w:rPr>
        <w:t>每半年一次</w:t>
      </w:r>
      <w:r>
        <w:rPr>
          <w:rFonts w:hint="eastAsia" w:ascii="仿宋_GB2312" w:hAnsi="仿宋_GB2312" w:eastAsia="仿宋_GB2312" w:cs="仿宋_GB2312"/>
          <w:color w:val="auto"/>
          <w:sz w:val="28"/>
          <w:szCs w:val="28"/>
          <w:highlight w:val="none"/>
          <w:lang w:val="zh-CN" w:eastAsia="zh-CN"/>
        </w:rPr>
        <w:t>。可利用现有负载，放电20%容量。对具备安全模式放电的设备，可以通过调用面板菜单执行放电。</w:t>
      </w:r>
    </w:p>
    <w:p w14:paraId="3535232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五、报价要求</w:t>
      </w:r>
    </w:p>
    <w:p w14:paraId="66FC7B78">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kern w:val="2"/>
          <w:sz w:val="28"/>
          <w:szCs w:val="28"/>
          <w:highlight w:val="none"/>
          <w:lang w:val="en-US" w:eastAsia="zh-CN" w:bidi="ar-SA"/>
        </w:rPr>
        <w:t>报价含人工费、材料费、装卸车费、运输费、管理费、保险、利润、税金、质保等为完成本项目所需的所有费用，在实施期间不因市场因素而变动。</w:t>
      </w:r>
    </w:p>
    <w:p w14:paraId="1AFFCA4C">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kern w:val="2"/>
          <w:sz w:val="28"/>
          <w:szCs w:val="28"/>
          <w:highlight w:val="none"/>
          <w:lang w:val="en-US" w:eastAsia="zh-CN" w:bidi="ar-SA"/>
        </w:rPr>
        <w:t>3、报价人需按UPS不间断电源零配件清单要求填写应标产品、品牌型号、报价、质保期（主机及机柜质保期不少于3年，电池类质保不少于5年，维修配件质保不少于1年）等内容。</w:t>
      </w:r>
    </w:p>
    <w:p w14:paraId="1ACE26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六、其他要求</w:t>
      </w:r>
    </w:p>
    <w:p w14:paraId="6B6F0D7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1、投标人所提供的产品型号、技术规格、技术参数等质量、服务必须与招投标文件和承诺相一致。提供产品质量合格证。</w:t>
      </w:r>
    </w:p>
    <w:p w14:paraId="1745717A">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2、乙方提供不符合招投标文件和本合同规定的产品，甲方有权拒绝接受。</w:t>
      </w:r>
    </w:p>
    <w:p w14:paraId="1FF1AF7A">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3、供应商确保所供应产品符合国家相关技术部门规定技术要求。</w:t>
      </w:r>
    </w:p>
    <w:p w14:paraId="6774ADA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七、现场查勘</w:t>
      </w:r>
    </w:p>
    <w:p w14:paraId="038E40AB">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kern w:val="2"/>
          <w:sz w:val="28"/>
          <w:szCs w:val="28"/>
          <w:highlight w:val="none"/>
          <w:lang w:val="en-US" w:eastAsia="zh-CN" w:bidi="ar-SA"/>
        </w:rPr>
        <w:t>各投标人可按采购单位统一组织安排，到柳州市工人医院总院、西院、鱼峰院区进行实地勘察（逾期不到不再单独组织踏勘）对现场进行了解。因投标人勘察有误造成无法按采购单位要求实施的将被拒绝验收，引起的一切后果，均由投标人承担全部赔付责任。勘察联系人廖工：13307727932。</w:t>
      </w:r>
    </w:p>
    <w:p w14:paraId="1AC789E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八、合同期及结算方式</w:t>
      </w:r>
    </w:p>
    <w:p w14:paraId="2B392E77">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1、遴选1家UPS不间断电源零配件及维保服务供应商，合同期一年；</w:t>
      </w:r>
    </w:p>
    <w:p w14:paraId="2FABC059">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2、结算方式：按季度以实际采购量进行结算。 </w:t>
      </w:r>
    </w:p>
    <w:p w14:paraId="61F0914C">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_GB2312" w:hAnsi="仿宋_GB2312" w:eastAsia="仿宋_GB2312" w:cs="仿宋_GB2312"/>
          <w:color w:val="auto"/>
          <w:sz w:val="28"/>
          <w:szCs w:val="28"/>
          <w:highlight w:val="none"/>
          <w:lang w:val="en-US" w:eastAsia="zh-CN"/>
        </w:rPr>
      </w:pPr>
    </w:p>
    <w:p w14:paraId="3CEBC4D8">
      <w:pPr>
        <w:pStyle w:val="12"/>
        <w:keepNext w:val="0"/>
        <w:keepLines w:val="0"/>
        <w:pageBreakBefore w:val="0"/>
        <w:kinsoku/>
        <w:wordWrap/>
        <w:overflowPunct/>
        <w:topLinePunct w:val="0"/>
        <w:autoSpaceDE/>
        <w:autoSpaceDN/>
        <w:bidi w:val="0"/>
        <w:adjustRightInd/>
        <w:snapToGrid/>
        <w:spacing w:line="440" w:lineRule="exact"/>
        <w:rPr>
          <w:rFonts w:hint="eastAsia" w:ascii="仿宋_GB2312" w:hAnsi="仿宋_GB2312" w:eastAsia="仿宋_GB2312" w:cs="仿宋_GB2312"/>
          <w:color w:val="auto"/>
          <w:sz w:val="28"/>
          <w:szCs w:val="28"/>
          <w:highlight w:val="none"/>
          <w:lang w:val="en-US" w:eastAsia="zh-CN"/>
        </w:rPr>
      </w:pPr>
    </w:p>
    <w:p w14:paraId="63E7542C">
      <w:pPr>
        <w:pStyle w:val="12"/>
        <w:keepNext w:val="0"/>
        <w:keepLines w:val="0"/>
        <w:pageBreakBefore w:val="0"/>
        <w:kinsoku/>
        <w:wordWrap/>
        <w:overflowPunct/>
        <w:topLinePunct w:val="0"/>
        <w:autoSpaceDE/>
        <w:autoSpaceDN/>
        <w:bidi w:val="0"/>
        <w:adjustRightInd/>
        <w:snapToGrid/>
        <w:spacing w:line="440" w:lineRule="exact"/>
        <w:rPr>
          <w:rFonts w:hint="eastAsia" w:ascii="仿宋_GB2312" w:hAnsi="仿宋_GB2312" w:eastAsia="仿宋_GB2312" w:cs="仿宋_GB2312"/>
          <w:color w:val="auto"/>
          <w:sz w:val="28"/>
          <w:szCs w:val="28"/>
          <w:highlight w:val="none"/>
          <w:lang w:val="en-US" w:eastAsia="zh-CN"/>
        </w:rPr>
      </w:pPr>
    </w:p>
    <w:p w14:paraId="3E0BBD25">
      <w:pPr>
        <w:pStyle w:val="12"/>
        <w:keepNext w:val="0"/>
        <w:keepLines w:val="0"/>
        <w:pageBreakBefore w:val="0"/>
        <w:kinsoku/>
        <w:wordWrap/>
        <w:overflowPunct/>
        <w:topLinePunct w:val="0"/>
        <w:autoSpaceDE/>
        <w:autoSpaceDN/>
        <w:bidi w:val="0"/>
        <w:adjustRightInd/>
        <w:snapToGrid/>
        <w:spacing w:line="440" w:lineRule="exact"/>
        <w:rPr>
          <w:rFonts w:hint="eastAsia" w:ascii="仿宋_GB2312" w:hAnsi="仿宋_GB2312" w:eastAsia="仿宋_GB2312" w:cs="仿宋_GB2312"/>
          <w:color w:val="auto"/>
          <w:sz w:val="28"/>
          <w:szCs w:val="28"/>
          <w:highlight w:val="none"/>
          <w:lang w:val="en-US" w:eastAsia="zh-CN"/>
        </w:rPr>
      </w:pPr>
    </w:p>
    <w:p w14:paraId="7070CE24">
      <w:pPr>
        <w:pStyle w:val="12"/>
        <w:keepNext w:val="0"/>
        <w:keepLines w:val="0"/>
        <w:pageBreakBefore w:val="0"/>
        <w:kinsoku/>
        <w:wordWrap/>
        <w:overflowPunct/>
        <w:topLinePunct w:val="0"/>
        <w:autoSpaceDE/>
        <w:autoSpaceDN/>
        <w:bidi w:val="0"/>
        <w:adjustRightInd/>
        <w:snapToGrid/>
        <w:spacing w:line="440" w:lineRule="exact"/>
        <w:rPr>
          <w:rFonts w:hint="eastAsia" w:ascii="仿宋_GB2312" w:hAnsi="仿宋_GB2312" w:eastAsia="仿宋_GB2312" w:cs="仿宋_GB2312"/>
          <w:color w:val="auto"/>
          <w:sz w:val="28"/>
          <w:szCs w:val="28"/>
          <w:highlight w:val="none"/>
          <w:lang w:val="en-US" w:eastAsia="zh-CN"/>
        </w:rPr>
      </w:pPr>
    </w:p>
    <w:p w14:paraId="343376F8">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_GB2312" w:hAnsi="仿宋_GB2312" w:eastAsia="仿宋_GB2312" w:cs="仿宋_GB2312"/>
          <w:color w:val="auto"/>
          <w:sz w:val="28"/>
          <w:szCs w:val="28"/>
          <w:highlight w:val="none"/>
          <w:lang w:val="en-US" w:eastAsia="zh-CN"/>
        </w:rPr>
      </w:pPr>
    </w:p>
    <w:p w14:paraId="2F743FB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highlight w:val="none"/>
          <w:lang w:val="en-US" w:eastAsia="zh-CN"/>
        </w:rPr>
      </w:pPr>
      <w:bookmarkStart w:id="0" w:name="_GoBack"/>
      <w:bookmarkEnd w:id="0"/>
      <w:r>
        <w:rPr>
          <w:rFonts w:hint="eastAsia" w:ascii="仿宋_GB2312" w:hAnsi="仿宋_GB2312" w:eastAsia="仿宋_GB2312" w:cs="仿宋_GB2312"/>
          <w:color w:val="auto"/>
          <w:sz w:val="28"/>
          <w:szCs w:val="28"/>
          <w:highlight w:val="none"/>
          <w:lang w:val="en-US" w:eastAsia="zh-CN"/>
        </w:rPr>
        <w:br w:type="page"/>
      </w:r>
    </w:p>
    <w:p w14:paraId="4D80A37C">
      <w:pPr>
        <w:pStyle w:val="12"/>
        <w:keepNext w:val="0"/>
        <w:keepLines w:val="0"/>
        <w:pageBreakBefore w:val="0"/>
        <w:kinsoku/>
        <w:wordWrap/>
        <w:overflowPunct/>
        <w:topLinePunct w:val="0"/>
        <w:autoSpaceDE/>
        <w:autoSpaceDN/>
        <w:bidi w:val="0"/>
        <w:adjustRightInd/>
        <w:snapToGrid/>
        <w:spacing w:line="440" w:lineRule="exact"/>
        <w:ind w:left="0" w:leftChars="0" w:firstLine="0" w:firstLineChars="0"/>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附件1：</w:t>
      </w:r>
      <w:r>
        <w:rPr>
          <w:rFonts w:hint="eastAsia" w:ascii="仿宋_GB2312" w:hAnsi="仿宋_GB2312" w:eastAsia="仿宋_GB2312" w:cs="仿宋_GB2312"/>
          <w:color w:val="auto"/>
          <w:sz w:val="28"/>
          <w:szCs w:val="28"/>
          <w:highlight w:val="none"/>
          <w:lang w:val="en-US" w:eastAsia="zh-CN"/>
        </w:rPr>
        <w:t>柳州市工人医院2026-2027年度UPS不间断电源零配件需求清单</w:t>
      </w:r>
    </w:p>
    <w:tbl>
      <w:tblPr>
        <w:tblStyle w:val="9"/>
        <w:tblW w:w="563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4"/>
        <w:gridCol w:w="1320"/>
        <w:gridCol w:w="648"/>
        <w:gridCol w:w="7144"/>
        <w:gridCol w:w="408"/>
        <w:gridCol w:w="470"/>
      </w:tblGrid>
      <w:tr w14:paraId="1C204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059F47B4">
            <w:pPr>
              <w:keepNext w:val="0"/>
              <w:keepLines w:val="0"/>
              <w:widowControl/>
              <w:suppressLineNumbers w:val="0"/>
              <w:jc w:val="center"/>
              <w:textAlignment w:val="center"/>
              <w:rPr>
                <w:rFonts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序号</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5DD285E4">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货物名称</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1CBADDAF">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类别</w:t>
            </w: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04147488">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参数配置</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2B11C6A0">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数量</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16F59699">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单位</w:t>
            </w:r>
          </w:p>
        </w:tc>
      </w:tr>
      <w:tr w14:paraId="009AB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79463E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045128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（单进单出）</w:t>
            </w:r>
          </w:p>
        </w:tc>
        <w:tc>
          <w:tcPr>
            <w:tcW w:w="309" w:type="pct"/>
            <w:vMerge w:val="restart"/>
            <w:tcBorders>
              <w:top w:val="single" w:color="000000" w:sz="4" w:space="0"/>
              <w:left w:val="single" w:color="000000" w:sz="4" w:space="0"/>
              <w:bottom w:val="nil"/>
              <w:right w:val="single" w:color="000000" w:sz="4" w:space="0"/>
            </w:tcBorders>
            <w:noWrap w:val="0"/>
            <w:vAlign w:val="center"/>
          </w:tcPr>
          <w:p w14:paraId="5899C1B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外接电池主机</w:t>
            </w: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5DCCAF8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1、UPS设备须为高频塔式设计，采用DSP全数字化的控制技术，双转换在线式，容量1KVA。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2、采用LCD大屏液晶+LED指示灯双显示操作面板，能够同时提供图形显示和数字显示，适合使用者查看状态、数据和进行操作控制。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3、UPS具有来电自启功能:电池耗尽自动关机，并且在市电恢复后，UPS能够自动开机（即自启动）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4、输入电压范围：120VAC～275 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5、输入频率范围：40Hz-70Hz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6、输出电压：220VAC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7、输出电压稳压精度±1％；输出谐波失真&lt;4%（非线性负载）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8、输入功率因素：≧0.99</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9、UPS具备超强的过载能力：10min @ 105%-125% 负载，30s @ 125%-150% 负载，0.5s @ &gt;150%负载。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10、UPS整机效率：100%负载效率≥94%；ECO模式≥98%。</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11、UPS标配输入开关，输入开关需采用国际一线品牌，如施耐德，ABB，伊顿。</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UPS应标配RS232通讯接口，且具备优异的智能扩展功能，通过选配监控卡：NMC网卡（远程监控及管理）、485接口卡、USB卡、干结点卡，搭配智能卡槽，实现本地或网络监控管理，也可以兼容并接入第三方环控系统。</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13、提供投标产品生产制造商针对本项目的授权书原件和质保服务承诺书原件。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14、★投标产品生产制造商应通过ISO9001质量管理体系认证、ISO14001环境管理体系认证、ISO45001职业健康安全管理体系认证，ISO50001能源管理体系认证，并提供有效期内的认证证书。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15、★投标产品生产制造商须具有5星级售后服务认证证书，提供证明文件。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16、★投标产品生产制造商应具备较强的研发能力，制造商所属研发部门/中心应具备由中国质量认证监督管理中心出具的鉴定认证资质证书，并提供相关证明文件。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17、  尺寸（宽×深×高mm）≥144x229x345mm。</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690B59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4706CC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1C00E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10D2E6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4FB91B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（单进单出）</w:t>
            </w:r>
          </w:p>
        </w:tc>
        <w:tc>
          <w:tcPr>
            <w:tcW w:w="309" w:type="pct"/>
            <w:vMerge w:val="continue"/>
            <w:tcBorders>
              <w:top w:val="single" w:color="000000" w:sz="4" w:space="0"/>
              <w:left w:val="single" w:color="000000" w:sz="4" w:space="0"/>
              <w:bottom w:val="nil"/>
              <w:right w:val="single" w:color="000000" w:sz="4" w:space="0"/>
            </w:tcBorders>
            <w:noWrap w:val="0"/>
            <w:vAlign w:val="center"/>
          </w:tcPr>
          <w:p w14:paraId="3780A581">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3C919AF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1、UPS设备须为高频塔式设计，采用DSP全数字化的控制技术，双转换在线式，容量2KVA。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2、采用LCD大屏液晶+LED指示灯双显示操作面板，能够同时提供图形显示和数字显示，适合使用者查看状态、数据和进行操作控制。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3、UPS具有来电自启功能:电池耗尽自动关机，并且在市电恢复后，UPS能够自动开机（即自启动）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4、输入电压范围：120VAC～275 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5、输入频率范围：40Hz-70Hz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6、输出电压：220VAC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7、输出电压稳压精度±1％；输出谐波失真&lt;4%（非线性负载）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8、输入功率因素：≧0.99</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9、UPS具备超强的过载能力：10min @ 105%-125% 负载，30s @ 125%-150% 负载，0.5s @ &gt;150%负载。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10、UPS整机效率：100%负载效率≥94%；ECO模式≥98%。</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11、UPS标配输入开关，输入开关需采用国际一线品牌，如施耐德，ABB，伊顿。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UPS应标配RS232通讯接口，且具备优异的智能扩展功能，通过选配监控卡：NMC网卡（远程监控及管理）、485接口卡、USB卡、干结点卡，搭配智能卡槽，实现本地或网络监控管理，也可以兼容并接入第三方环控系统。</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13、★提供投标产品生产制造商针对本项目的授权书原件和质保服务承诺书原件。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14、★投标产品生产制造商应通过ISO9001质量管理体系认证、ISO14001环境管理体系认证、ISO45001职业健康安全管理体系认证，ISO50001能源管理体系认证，并提供有效期内的认证证书。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15、★投标产品生产制造商须具有5星级售后服务认证证书，提供证明文件。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16、★投标产品生产制造商应具备较强的研发能力，制造商所属研发部门/中心应具备由中国质量认证监督管理中心出具的鉴定认证资质证书，并提供相关证明文件。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17、尺寸（宽×深×高mm）≥190x328x393mm。</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70F949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496A63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58C24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0349FD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104F3D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（单进单出）</w:t>
            </w:r>
          </w:p>
        </w:tc>
        <w:tc>
          <w:tcPr>
            <w:tcW w:w="309" w:type="pct"/>
            <w:vMerge w:val="continue"/>
            <w:tcBorders>
              <w:top w:val="single" w:color="000000" w:sz="4" w:space="0"/>
              <w:left w:val="single" w:color="000000" w:sz="4" w:space="0"/>
              <w:bottom w:val="nil"/>
              <w:right w:val="single" w:color="000000" w:sz="4" w:space="0"/>
            </w:tcBorders>
            <w:noWrap w:val="0"/>
            <w:vAlign w:val="center"/>
          </w:tcPr>
          <w:p w14:paraId="6BA986E0">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6C1AE12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1、UPS设备须为高频塔式设计，采用DSP全数字化的控制技术，双转换在线式，容量3KVA。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2、采用LCD大屏液晶+LED指示灯双显示操作面板，能够同时提供图形显示和数字显示，适合使用者查看状态、数据和进行操作控制。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3、UPS具有来电自启功能:电池耗尽自动关机，并且在市电恢复后，UPS能够自动开机（即自启动）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4、输入电压范围：120VAC～275 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5、输入频率范围：40Hz-70Hz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6、输出电压：220VAC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7、输出电压稳压精度±1％；输出谐波失真&lt;4%（非线性负载）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8、输入功率因素：≧0.99</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9、UPS具备超强的过载能力：10min @ 105%-125% 负载，30s @ 125%-150% 负载，0.5s @ &gt;150%负载。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10、UPS整机效率：100%负载效率≥94%；ECO模式≥98%。</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11、UPS标配输入开关，输入开关需采用国际一线品牌，如施耐德，ABB，伊顿。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UPS应标配RS232通讯接口，且具备优异的智能扩展功能，通过选配监控卡：NMC网卡（远程监控及管理）、485接口卡、USB卡、干结点卡，搭配智能卡槽，实现本地或网络监控管理，也可以兼容并接入第三方环控系统。</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13、★提供投标产品生产制造商针对本项目的授权书原件和质保服务承诺书原件。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14、★投标产品生产制造商应通过ISO9001质量管理体系认证、ISO14001环境管理体系认证、ISO45001职业健康安全管理体系认证，ISO50001能源管理体系认证，并提供有效期内的认证证书。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15、★投标产品生产制造商须具有5星级售后服务认证证书，提供证明文件。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16、★投标产品生产制造商应具备较强的研发能力，制造商所属研发部门/中心应具备由中国质量认证监督管理中心出具的鉴定认证资质证书，并提供相关证明文件。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17、尺寸（宽×深×高mm）≥190x328x393mm。</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37AAFF4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5AE575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309AD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auto" w:sz="4" w:space="0"/>
              <w:right w:val="single" w:color="000000" w:sz="4" w:space="0"/>
            </w:tcBorders>
            <w:noWrap w:val="0"/>
            <w:vAlign w:val="center"/>
          </w:tcPr>
          <w:p w14:paraId="09E5F6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630" w:type="pct"/>
            <w:tcBorders>
              <w:top w:val="single" w:color="000000" w:sz="4" w:space="0"/>
              <w:left w:val="single" w:color="000000" w:sz="4" w:space="0"/>
              <w:bottom w:val="single" w:color="auto" w:sz="4" w:space="0"/>
              <w:right w:val="single" w:color="000000" w:sz="4" w:space="0"/>
            </w:tcBorders>
            <w:noWrap w:val="0"/>
            <w:vAlign w:val="center"/>
          </w:tcPr>
          <w:p w14:paraId="6691FE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（单进单出）</w:t>
            </w:r>
          </w:p>
        </w:tc>
        <w:tc>
          <w:tcPr>
            <w:tcW w:w="309" w:type="pct"/>
            <w:vMerge w:val="continue"/>
            <w:tcBorders>
              <w:top w:val="single" w:color="000000" w:sz="4" w:space="0"/>
              <w:left w:val="single" w:color="000000" w:sz="4" w:space="0"/>
              <w:bottom w:val="single" w:color="auto" w:sz="4" w:space="0"/>
              <w:right w:val="single" w:color="000000" w:sz="4" w:space="0"/>
            </w:tcBorders>
            <w:noWrap w:val="0"/>
            <w:vAlign w:val="center"/>
          </w:tcPr>
          <w:p w14:paraId="2C525A13">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auto" w:sz="4" w:space="0"/>
              <w:right w:val="single" w:color="000000" w:sz="4" w:space="0"/>
            </w:tcBorders>
            <w:noWrap w:val="0"/>
            <w:vAlign w:val="center"/>
          </w:tcPr>
          <w:p w14:paraId="69ADF25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1、UPS设备须为高频塔式设计，采用DSP全数字化的控制技术，双转换在线式，容量6KVA。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2、采用LCD大屏液晶+LED指示灯双显示操作面板，能够同时提供图形显示和数字显示，适合使用者查看状态、数据和进行操作控制。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3、UPS具有来电自启功能:电池耗尽自动关机，并且在市电恢复后，UPS能够自动开机（即自启动）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4、输入电压范围：120VAC～275 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5、输入频率范围：40Hz-70Hz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6、输出电压：220VAC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7、输出电压稳压精度±1％；输出谐波失真&lt;4%（非线性负载）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8、输入功率因素：≧0.99</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9、UPS具备超强的过载能力：10min @ 105%-125% 负载，30s @ 125%-150% 负载，0.5s @ &gt;150%负载。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10、UPS整机效率：100%负载效率≥94%；ECO模式≥98%。</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11、UPS标配输入开关，输入开关需采用国际一线品牌，如施耐德，ABB，伊顿。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UPS应标配RS232通讯接口，且具备优异的智能扩展功能，通过选配监控卡：NMC网卡（远程监控及管理）、485接口卡、USB卡、干结点卡，搭配智能卡槽，实现本地或网络监控管理，也可以兼容并接入第三方环控系统。</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13、★提供投标产品生产制造商针对本项目的授权书原件和质保服务承诺书原件。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14、★投标产品生产制造商应通过ISO9001质量管理体系认证、ISO14001环境管理体系认证、ISO45001职业健康安全管理体系认证，ISO50001能源管理体系认证，并提供有效期内的认证证书。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15、★投标产品生产制造商须具有5星级售后服务认证证书，提供证明文件。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16、★投标产品生产制造商应具备较强的研发能力，制造商所属研发部门/中心应具备由中国质量认证监督管理中心出具的鉴定认证资质证书，并提供相关证明文件。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17、  尺寸（宽×深×高mm）≥212x500x420mm。</w:t>
            </w:r>
          </w:p>
        </w:tc>
        <w:tc>
          <w:tcPr>
            <w:tcW w:w="194" w:type="pct"/>
            <w:tcBorders>
              <w:top w:val="single" w:color="000000" w:sz="4" w:space="0"/>
              <w:left w:val="single" w:color="000000" w:sz="4" w:space="0"/>
              <w:bottom w:val="single" w:color="auto" w:sz="4" w:space="0"/>
              <w:right w:val="single" w:color="000000" w:sz="4" w:space="0"/>
            </w:tcBorders>
            <w:noWrap w:val="0"/>
            <w:vAlign w:val="center"/>
          </w:tcPr>
          <w:p w14:paraId="7B4558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auto" w:sz="4" w:space="0"/>
              <w:right w:val="single" w:color="000000" w:sz="4" w:space="0"/>
            </w:tcBorders>
            <w:noWrap w:val="0"/>
            <w:vAlign w:val="center"/>
          </w:tcPr>
          <w:p w14:paraId="08973A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4168C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auto" w:sz="4" w:space="0"/>
              <w:left w:val="single" w:color="auto" w:sz="4" w:space="0"/>
              <w:bottom w:val="single" w:color="auto" w:sz="4" w:space="0"/>
              <w:right w:val="single" w:color="auto" w:sz="4" w:space="0"/>
            </w:tcBorders>
            <w:noWrap w:val="0"/>
            <w:vAlign w:val="center"/>
          </w:tcPr>
          <w:p w14:paraId="4E3EB4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630" w:type="pct"/>
            <w:tcBorders>
              <w:top w:val="single" w:color="auto" w:sz="4" w:space="0"/>
              <w:left w:val="single" w:color="auto" w:sz="4" w:space="0"/>
              <w:bottom w:val="single" w:color="auto" w:sz="4" w:space="0"/>
              <w:right w:val="single" w:color="auto" w:sz="4" w:space="0"/>
            </w:tcBorders>
            <w:noWrap w:val="0"/>
            <w:vAlign w:val="center"/>
          </w:tcPr>
          <w:p w14:paraId="3AA8EC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（单进单出）</w:t>
            </w:r>
          </w:p>
        </w:tc>
        <w:tc>
          <w:tcPr>
            <w:tcW w:w="309" w:type="pct"/>
            <w:vMerge w:val="continue"/>
            <w:tcBorders>
              <w:top w:val="single" w:color="auto" w:sz="4" w:space="0"/>
              <w:left w:val="single" w:color="auto" w:sz="4" w:space="0"/>
              <w:bottom w:val="single" w:color="auto" w:sz="4" w:space="0"/>
              <w:right w:val="single" w:color="auto" w:sz="4" w:space="0"/>
            </w:tcBorders>
            <w:noWrap w:val="0"/>
            <w:vAlign w:val="center"/>
          </w:tcPr>
          <w:p w14:paraId="2509D54D">
            <w:pPr>
              <w:jc w:val="center"/>
              <w:rPr>
                <w:rFonts w:hint="eastAsia" w:ascii="仿宋" w:hAnsi="仿宋" w:eastAsia="仿宋" w:cs="仿宋"/>
                <w:i w:val="0"/>
                <w:iCs w:val="0"/>
                <w:color w:val="000000"/>
                <w:sz w:val="20"/>
                <w:szCs w:val="20"/>
                <w:u w:val="none"/>
              </w:rPr>
            </w:pPr>
          </w:p>
        </w:tc>
        <w:tc>
          <w:tcPr>
            <w:tcW w:w="3413" w:type="pct"/>
            <w:tcBorders>
              <w:top w:val="single" w:color="auto" w:sz="4" w:space="0"/>
              <w:left w:val="single" w:color="auto" w:sz="4" w:space="0"/>
              <w:bottom w:val="single" w:color="auto" w:sz="4" w:space="0"/>
              <w:right w:val="single" w:color="auto" w:sz="4" w:space="0"/>
            </w:tcBorders>
            <w:noWrap w:val="0"/>
            <w:vAlign w:val="center"/>
          </w:tcPr>
          <w:p w14:paraId="1AB5060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1、UPS设备须为高频塔式设计，采用DSP全数字化的控制技术，双转换在线式，容量10KVA。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2、采用LCD大屏液晶+LED指示灯双显示操作面板，能够同时提供图形显示和数字显示，适合使用者查看状态、数据和进行操作控制。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3、UPS具有来电自启功能:电池耗尽自动关机，并且在市电恢复后，UPS能够自动开机（即自启动）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4、输入电压范围：120VAC～275 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5、输入频率范围：40Hz-70Hz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6、输出电压：220VAC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7、输出电压稳压精度±1％；输出谐波失真&lt;4%（非线性负载）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8、输入功率因素：≧0.99</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9、UPS具备超强的过载能力：10min @ 105%-125% 负载，30s @ 125%-150% 负载，0.5s @ &gt;150%负载。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10、UPS整机效率：100%负载效率≥94%；ECO模式≥98%。</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11、UPS标配输入开关，输入开关需采用国际一线品牌，如施耐德，ABB，伊顿。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UPS应标配RS232通讯接口，且具备优异的智能扩展功能，通过选配监控卡：NMC网卡（远程监控及管理）、485接口卡、USB卡、干结点卡，搭配智能卡槽，实现本地或网络监控管理，也可以兼容并接入第三方环控系统。</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13、★提供投标产品生产制造商针对本项目的授权书原件和质保服务承诺书原件。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14、★投标产品生产制造商应通过ISO9001质量管理体系认证、ISO14001环境管理体系认证、ISO45001职业健康安全管理体系认证，ISO50001能源管理体系认证，并提供有效期内的认证证书。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15、★投标产品生产制造商须具有5星级售后服务认证证书，提供证明文件。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16、★投标产品生产制造商应具备较强的研发能力，制造商所属研发部门/中心应具备由中国质量认证监督管理中心出具的鉴定认证资质证书，并提供相关证明文件。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17、  尺寸（宽×深×高mm）≥212x500x420mm。</w:t>
            </w:r>
          </w:p>
        </w:tc>
        <w:tc>
          <w:tcPr>
            <w:tcW w:w="194" w:type="pct"/>
            <w:tcBorders>
              <w:top w:val="single" w:color="auto" w:sz="4" w:space="0"/>
              <w:left w:val="single" w:color="auto" w:sz="4" w:space="0"/>
              <w:bottom w:val="single" w:color="auto" w:sz="4" w:space="0"/>
              <w:right w:val="single" w:color="auto" w:sz="4" w:space="0"/>
            </w:tcBorders>
            <w:noWrap w:val="0"/>
            <w:vAlign w:val="center"/>
          </w:tcPr>
          <w:p w14:paraId="1F59CB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auto" w:sz="4" w:space="0"/>
              <w:left w:val="single" w:color="auto" w:sz="4" w:space="0"/>
              <w:bottom w:val="single" w:color="auto" w:sz="4" w:space="0"/>
              <w:right w:val="single" w:color="auto" w:sz="4" w:space="0"/>
            </w:tcBorders>
            <w:noWrap w:val="0"/>
            <w:vAlign w:val="center"/>
          </w:tcPr>
          <w:p w14:paraId="66F40E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3C543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auto" w:sz="4" w:space="0"/>
              <w:left w:val="single" w:color="000000" w:sz="4" w:space="0"/>
              <w:bottom w:val="single" w:color="000000" w:sz="4" w:space="0"/>
              <w:right w:val="single" w:color="000000" w:sz="4" w:space="0"/>
            </w:tcBorders>
            <w:noWrap w:val="0"/>
            <w:vAlign w:val="center"/>
          </w:tcPr>
          <w:p w14:paraId="042F46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630" w:type="pct"/>
            <w:tcBorders>
              <w:top w:val="single" w:color="auto" w:sz="4" w:space="0"/>
              <w:left w:val="single" w:color="000000" w:sz="4" w:space="0"/>
              <w:bottom w:val="single" w:color="000000" w:sz="4" w:space="0"/>
              <w:right w:val="single" w:color="000000" w:sz="4" w:space="0"/>
            </w:tcBorders>
            <w:noWrap w:val="0"/>
            <w:vAlign w:val="center"/>
          </w:tcPr>
          <w:p w14:paraId="6AF3FC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（三进单出）</w:t>
            </w:r>
          </w:p>
        </w:tc>
        <w:tc>
          <w:tcPr>
            <w:tcW w:w="309" w:type="pct"/>
            <w:vMerge w:val="restart"/>
            <w:tcBorders>
              <w:top w:val="single" w:color="auto" w:sz="4" w:space="0"/>
              <w:left w:val="single" w:color="000000" w:sz="4" w:space="0"/>
              <w:bottom w:val="single" w:color="000000" w:sz="4" w:space="0"/>
              <w:right w:val="single" w:color="000000" w:sz="4" w:space="0"/>
            </w:tcBorders>
            <w:noWrap w:val="0"/>
            <w:vAlign w:val="center"/>
          </w:tcPr>
          <w:p w14:paraId="292E70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外接电池主机</w:t>
            </w:r>
          </w:p>
        </w:tc>
        <w:tc>
          <w:tcPr>
            <w:tcW w:w="3413" w:type="pct"/>
            <w:tcBorders>
              <w:top w:val="single" w:color="auto" w:sz="4" w:space="0"/>
              <w:left w:val="single" w:color="000000" w:sz="4" w:space="0"/>
              <w:bottom w:val="single" w:color="000000" w:sz="4" w:space="0"/>
              <w:right w:val="single" w:color="000000" w:sz="4" w:space="0"/>
            </w:tcBorders>
            <w:noWrap w:val="0"/>
            <w:vAlign w:val="center"/>
          </w:tcPr>
          <w:p w14:paraId="3EF9850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1.UPS设备须为高频塔式设计，采用DSP全数字化控制技术，三进单出兼容单进单出双转换在线式，容量10KVA。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2.★采用LCD大屏液晶+LED指示灯双显示操作面板，能够同时提供图形显示和数字显示，适合使用者查看状态、数据和进行操作控制。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3.具有来电自启功能:电池耗尽自动关机，并且在市电恢复后，UPS能够自动开机（即自启动）。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 具备自动旁路功能：即当UPS设备本身发生故障或异常时，能够自动切换至旁路电源输出，以确保在有市电的情况下，可以通过旁路输出继续给负载设备供电。</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5.UPS标配输入开关，输入开关需采用国际一线品牌，如施耐德，ABB，伊顿。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6.主机机柜内有可配置手动维修旁路开关、EPO的接口，以便维修和紧急关断UPS。</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7.输入电压范围：120VAC～275VAC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8.输入功率因数≥0.95</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9.输出电压/输出失真度：220V/230V/240V ±1%, THDU&lt;2%(线性负载）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10.过载能力：105%-125% : 10min, 125%-150% : 30s, &gt;150% : 500ms</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11.UPS具备N+X并联冗余功能，可实现不低于3台并联。成熟稳定的并联控制技术保证了均流度：1%；电池节数16/18/20节可调。</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12.整机效率：100%负载效率≥94%；ECO模式≥98%。</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13.★提供投标产品生产制造商针对本项目的授权书原件和三年质保服务承诺书原件，同时需提供产品泰尔认证及节能认证证明。</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14.★投标产品生产制造商应通过ISO9001质量管理体系认证、ISO14001环境管理体系认证、ISO45001职业健康安全管理体系认证，ISO50001能源管理体系认证，并提供有效期内的认证证书。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15.★投标产品生产制造商须具有5星级售后服务认证证书，提供证明文件。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16.★投标产品生产制造商应具备较强的研发能力，制造商所属研发部门/中心应具备由中国质量认证监督管理中心出具的鉴定认证资质证书，并提供相关证明文件。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17.  尺寸（宽×深×高mm）≥212 x 500 x 420mm。</w:t>
            </w:r>
          </w:p>
        </w:tc>
        <w:tc>
          <w:tcPr>
            <w:tcW w:w="194" w:type="pct"/>
            <w:tcBorders>
              <w:top w:val="single" w:color="auto" w:sz="4" w:space="0"/>
              <w:left w:val="single" w:color="000000" w:sz="4" w:space="0"/>
              <w:bottom w:val="single" w:color="000000" w:sz="4" w:space="0"/>
              <w:right w:val="single" w:color="000000" w:sz="4" w:space="0"/>
            </w:tcBorders>
            <w:noWrap w:val="0"/>
            <w:vAlign w:val="center"/>
          </w:tcPr>
          <w:p w14:paraId="515B31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auto" w:sz="4" w:space="0"/>
              <w:left w:val="single" w:color="000000" w:sz="4" w:space="0"/>
              <w:bottom w:val="single" w:color="000000" w:sz="4" w:space="0"/>
              <w:right w:val="single" w:color="000000" w:sz="4" w:space="0"/>
            </w:tcBorders>
            <w:noWrap w:val="0"/>
            <w:vAlign w:val="center"/>
          </w:tcPr>
          <w:p w14:paraId="2B6CF8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0808C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4FC51D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36AA9C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（三进单出）</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41AEA8">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64AB795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1.UPS设备须为高频塔式设计，采用DSP全数字化控制技术，三进单出兼容单进单出双转换在线式，容量15KVA。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2.采用LCD大屏液晶+LED指示灯双显示操作面板，能够同时提供图形显示和数字显示，适合使用者查看状态、数据和进行操作控制。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3.具有来电自启功能:电池耗尽自动关机，并且在市电恢复后，UPS能够自动开机（即自启动）。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 具备自动旁路功能：即当UPS设备本身发生故障或异常时，能够自动切换至旁路电源输出，以确保在有市电的情况下，可以通过旁路输出继续给负载设备供电。</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5.UPS标配输入开关，输入开关需采用国际一线品牌，如施耐德，ABB，伊顿。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6.主机机柜内有可配置手动维修旁路开关、EPO的接口，以便维修和紧急关断UPS。</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7.输入电压范围：120VAC～275VAC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8.输入功率因数≥0.95</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9.输出电压/输出失真度：220V/230V/240V ±1%, THDU&lt;2%(线性负载）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10.过载能力：105%-125% : 10min, 125%-150% : 30s, &gt;150% : 500ms</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11.UPS具备N+X并联冗余功能，可实现不低于3台并联。成熟稳定的并联控制技术保证了均流度：1%；电池节数16/18/20节可调。</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12.整机效率：100%负载效率≥94%；ECO模式≥98%。</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13.★提供投标产品生产制造商针对本项目的授权书原件和三年质保服务承诺书原件，同时需提供产品泰尔认证及节能认证证明。</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14.★投标产品生产制造商应通过ISO9001质量管理体系认证、ISO14001环境管理体系认证、ISO45001职业健康安全管理体系认证，ISO50001能源管理体系认证，并提供有效期内的认证证书。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15.★投标产品生产制造商须具有5星级售后服务认证证书，提供证明文件。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16.★投标产品生产制造商应具备较强的研发能力，制造商所属研发部门/中心应具备由中国质量认证监督管理中心出具的鉴定认证资质证书，并提供相关证明文件。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17.  尺寸（宽×深×高mm）≥248 x 500x 616mm。</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1A3124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6091A0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724B8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457BC3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020941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（三进单出）</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9F181E">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0133DB4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1.UPS设备须为高频塔式设计，采用DSP全数字化控制技术，三进单出兼容单进单出双转换在线式，容量20KVA。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2.采用LCD大屏液晶+LED指示灯双显示操作面板，能够同时提供图形显示和数字显示，适合使用者查看状态、数据和进行操作控制。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3.具有来电自启功能:电池耗尽自动关机，并且在市电恢复后，UPS能够自动开机（即自启动）。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 具备自动旁路功能：即当UPS设备本身发生故障或异常时，能够自动切换至旁路电源输出，以确保在有市电的情况下，可以通过旁路输出继续给负载设备供电。</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5.UPS标配输入开关，输入开关需采用国际一线品牌，如施耐德，ABB，伊顿。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6.主机机柜内有可配置手动维修旁路开关、EPO的接口，以便维修和紧急关断UPS。</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7.输入电压范围：120VAC～275VAC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8.输入功率因数≥0.95</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9.输出电压/输出失真度：220V/230V/240V ±1%, THDU&lt;2%(线性负载）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10.过载能力：105%-125% : 10min, 125%-150% : 30s, &gt;150% : 500ms</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11.UPS具备N+X并联冗余功能，可实现不低于3台并联。成熟稳定的并联控制技术保证了均流度：1%；电池节数16/18/20节可调。</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12.整机效率：100%负载效率≥94%；ECO模式≥98%。</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13.★提供投标产品生产制造商针对本项目的授权书原件和三年质保服务承诺书原件，同时需提供产品泰尔认证及节能认证证明。</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14.★投标产品生产制造商应通过ISO9001质量管理体系认证、ISO14001环境管理体系认证、ISO45001职业健康安全管理体系认证，ISO50001能源管理体系认证，并提供有效期内的认证证书。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15.★投标产品生产制造商须具有5星级售后服务认证证书，提供证明文件。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16.★投标产品生产制造商应具备较强的研发能力，制造商所属研发部门/中心应具备由中国质量认证监督管理中心出具的鉴定认证资质证书，并提供相关证明文件。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17.  尺寸（宽×深×高mm）≥248 x 500x 616mm。</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630B26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3E9DB6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57566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7A2B60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5ACE2A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（三进三出）</w:t>
            </w:r>
          </w:p>
        </w:tc>
        <w:tc>
          <w:tcPr>
            <w:tcW w:w="309" w:type="pct"/>
            <w:vMerge w:val="restart"/>
            <w:tcBorders>
              <w:top w:val="single" w:color="000000" w:sz="4" w:space="0"/>
              <w:left w:val="single" w:color="000000" w:sz="4" w:space="0"/>
              <w:bottom w:val="single" w:color="000000" w:sz="4" w:space="0"/>
              <w:right w:val="single" w:color="000000" w:sz="4" w:space="0"/>
            </w:tcBorders>
            <w:noWrap w:val="0"/>
            <w:vAlign w:val="center"/>
          </w:tcPr>
          <w:p w14:paraId="44FE76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外接电池主机</w:t>
            </w: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7ADEB069">
            <w:pPr>
              <w:keepNext w:val="0"/>
              <w:keepLines w:val="0"/>
              <w:widowControl/>
              <w:numPr>
                <w:ilvl w:val="0"/>
                <w:numId w:val="1"/>
              </w:numPr>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UPS设备须为在线双变换高频塔式机，采用IGBT整流及三电平技术，类模块化设计结构功率为20KVA ，三进三出，主机尺寸≥330*668*521（宽深高mm）。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2.输入市电电压范围：201～478Vac线电压； 116～ 276Vac相电压</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3.★UPS的输出功率因数为1.0，</w:t>
            </w:r>
          </w:p>
          <w:p w14:paraId="7FBB08C9">
            <w:pPr>
              <w:keepNext w:val="0"/>
              <w:keepLines w:val="0"/>
              <w:widowControl/>
              <w:numPr>
                <w:ilvl w:val="0"/>
                <w:numId w:val="2"/>
              </w:numPr>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UPS输出稳压精度﹤0.3%，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5.UPS输入电流谐波成分：100%非线性负载&lt; 3%，50%非线性负载&lt; 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6.UPS标配输入开关、输出开关、旁路输入开关和维护旁路开关方便操作。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7.★UPS标配防火级防尘网，且具备拆卸和清洗功能设计，防尘网符合防火标准UL94及滤尘网标准UL 900。</w:t>
            </w:r>
          </w:p>
          <w:p w14:paraId="221B54EE">
            <w:pPr>
              <w:keepNext w:val="0"/>
              <w:keepLines w:val="0"/>
              <w:widowControl/>
              <w:numPr>
                <w:ilvl w:val="0"/>
                <w:numId w:val="3"/>
              </w:numPr>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★全电路板三防喷涂（控制板、接口板、电源板、功率板），要有PCBA喷涂三防漆工艺，提升UPS设备的防潮、防尘、防漏电、防腐蚀、防锈、防盐雾、防震、防老化、绝缘、耐电晕等性能。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9.★UPS应具有定期对蓄电池组进行自动浮充、均充和休眠三段式循环充电相互转换。具备充电休息模式的智能充电功能，以实现延长电池寿命的特性。不允许蓄电池组长期处于浮充状态。</w:t>
            </w:r>
          </w:p>
          <w:p w14:paraId="134068E9">
            <w:pPr>
              <w:keepNext w:val="0"/>
              <w:keepLines w:val="0"/>
              <w:widowControl/>
              <w:numPr>
                <w:ilvl w:val="0"/>
                <w:numId w:val="0"/>
              </w:numPr>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10.UPS必须兼容常见蓄电池类型，包括但不仅限于：VRLA铅酸蓄电池、AGM、胶体电池、锂电池、镍镉电池。</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11.★UPS必须具备内部电容健康监测及预警功能。实时监测所有输入、输出滤波电容的温度，并在电容等关键部件失效之前提供预警信息。</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12.电池电池±16~±22节可调，电池品牌必须与UPS为同一品牌以保障最好的兼容性。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13.UPS的关键部件（IGBT功率半导体、CPU处理器、二极管、风扇、熔断器等）必须为主流品牌优质产品。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14.UPS运行环境要求：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1)环境温度：0～40℃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2)环境湿度：5 ～95 % ，无凝露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3)海拔高度：0~1000米无降额</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4)防护等级：IP20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15.UPS过载能力：102~110%负载60分钟，111~125%负载10分钟，126~ 150%负载1分钟，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16.UPS操作显示屏具备主机运行状态红、黄、绿三色指示灯、UPS装置工作状态图、电池状态检测、负载状态检测功能；不低于1000条日志信息记录，方便对UPS和电池组进行维护。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17.UPS采用全彩色5英寸LCD触摸屏+LED指示灯双显示操作面板，中文操作界面，同时提供图形显示和数字显示，适合使用者查看状态、数据和进行操作控制。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18.★★UPS产品应具备泰尔认证、节能认证，并提供有效期内的认证证书。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19.★★UPS产品应满足8、9烈度下抗震性能，提供同系列产品的抗震报告及抗震合格证。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20.★投标产品生产制造商应通过ISO9001质量管理体系认证、ISO14001环境管理体系认证、ISO45001职业健康安全管理体系认证、ISO50001能效管理体系认证，并提供有效期内的认证证书。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21.★投标产品生产厂商应具备提供五星级售后服务的能力，并提供由权威第三方认证机构出具的售后服务认证证书。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22.★投标时需提供制造商的授权书、售后服务承诺、供货证明加盖厂家章。</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23.★投标产品生产制造商应具备较强的研发能力，制造商所属研发部门/中心应具备由中国质量认证监督管理中心出具的鉴定认证资质证书，≥并提供相关证明文件。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4CE41E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551F8A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54B02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0D9788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6E28F6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（三进三出）</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682485">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1B9A611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1.UPS设备须为在线双变换高频塔式机，采用IGBT整流及三电平技术，类模块化设计结构功率为30KVA ，三进三出，主机尺寸≥330*668*521（宽深高mm）。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2.输入市电电压范围：201～478Vac线电压； 116～ 276Vac相电压</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3.UPS的输出功率因数为1.0，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4.UPS输出稳压精度﹤0.3%，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5.UPS输入电流谐波成分：100%非线性负载&lt; 3%，50%非线性负载&lt; 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6.UPS标配输入开关、输出开关、旁路输入开关和维护旁路开关方便操作。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7.UPS标配防火级防尘网，且具备拆卸和清洗功能设计，防尘网符合防火标准UL94及滤尘网标准UL 900。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8.全电路板三防喷涂（控制板、接口板、电源板、功率板），要有PCBA喷涂三防漆工艺，提升UPS设备的防潮、防尘、防漏电、防腐蚀、防锈、防盐雾、防震、防老化、绝缘、耐电晕等性能。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9.UPS应具有定期对蓄电池组进行自动浮充、均充和休眠三段式循环充电相互转换。具备充电休息模式的智能充电功能，以实现延长电池寿命的特性。不允许蓄电池组长期处于浮充状态。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10.UPS必须兼容常见蓄电池类型，包括但不仅限于：VRLA铅酸蓄电池、AGM、胶体电池、锂电池、镍镉电池。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11.UPS必须具备内部电容健康监测及预警功能。实时监测所有输入、输出滤波电容的温度，并在电容等关键部件失效之前提供预警信息。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12.电池电池±16~±22节可调，电池品牌必须与UPS为同一品牌以保障最好的兼容性。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13.UPS的关键部件（IGBT功率半导体、CPU处理器、二极管、风扇、熔断器等）必须为主流品牌优质产品。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14.UPS运行环境要求：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1)环境温度：0～40℃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2)环境湿度：5 ～95 % ，无凝露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3)海拔高度：0~1000米无降额</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4)防护等级：IP20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15.UPS过载能力：102~110%负载60分钟，111~125%负载10分钟，126~ 150%负载1分钟，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16.★UPS操作显示屏具备主机运行状态红、黄、绿三色指示灯、UPS装置工作状态图、电池状态检测、负载状态检测功能；不低于1000条日志信息记录，方便对UPS和电池组进行维护。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17.UPS采用全彩色5英寸LCD触摸屏+LED指示灯双显示操作面板，中文操作界面，同时提供图形显示和数字显示，适合使用者查看状态、数据和进行操作控制。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18.★UPS产品应具备泰尔认证、节能认证，并提供有效期内的认证证书。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19.★UPS产品应满足8、9烈度下抗震性能，提供同系列产品的抗震报告及抗震合格证。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20.投标产品生产制造商应通过ISO9001质量管理体系认证、ISO14001环境管理体系认证、ISO45001职业健康安全管理体系认证、ISO50001能效管理体系认证，并提供有效期内的认证证书。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21.★投标产品生产厂商应具备提供五星级售后服务的能力，并提供由权威第三方认证机构出具的售后服务认证证书。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22.★投标时需提供制造商的授权书、售后服务承诺、供货证明加盖厂家章。</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23.★投标产品生产制造商应具备较强的研发能力，制造商所属研发部门/中心应具备由中国质量认证监督管理中心出具的鉴定认证资质证书，并提供相关证明文件。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6B0136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55F50F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52B86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5CD7A3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2F0206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（三进三出）</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CDB40C">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30C868F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1.UPS设备须为在线双变换高频塔式机，采用IGBT整流及三电平技术，类模块化设计结构功率为40KVA ，三进三出，主机 尺寸≥330*668*521（宽深高mm）。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2.输入市电电压范围：201～478Vac线电压； 116～ 276Vac相电压</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3.UPS的输出功率因数为1.0，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4.UPS输出稳压精度﹤0.3%，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5.UPS输入电流谐波成分：100%非线性负载&lt; 3%，50%非线性负载&lt; 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6.UPS标配输入开关、输出开关、旁路输入开关和维护旁路开关方便操作。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7.★UPS标配防火级防尘网，且具备拆卸和清洗功能设计，防尘网符合防火标准UL94及滤尘网标准UL 900。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8.★全电路板三防喷涂（控制板、接口板、电源板、功率板），要有PCBA喷涂三防漆工艺，提升UPS设备的防潮、防尘、防漏电、防腐蚀、防锈、防盐雾、防震、防老化、绝缘、耐电晕等性能。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9.★UPS应具有定期对蓄电池组进行自动浮充、均充和休眠三段式循环充电相互转换。具备充电休息模式的智能充电功能，以实现延长电池寿命的特性。不允许蓄电池组长期处于浮充状态。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10.★UPS必须兼容常见蓄电池类型，包括但不仅限于：VRLA铅酸蓄电池、AGM、胶体电池、锂电池、镍镉电池。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11.★UPS必须具备内部电容健康监测及预警功能。实时监测所有输入、输出滤波电容的温度，并在电容等关键部件失效之前提供预警信息。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12.电池电池±16~±22节可调，电池品牌必须与UPS为同一品牌以保障最好的兼容性。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13.★UPS的关键部件（IGBT功率半导体、CPU处理器、二极管、风扇、熔断器等）必须为主流品牌优质产品。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14.UPS运行环境要求：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1)环境温度：0～40℃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2)环境湿度：5 ～95 % ，无凝露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3)海拔高度：0~1000米无降额</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4)防护等级：IP20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15.UPS过载能力：102~110%负载60分钟，111~125%负载10分钟，126~ 150%负载1分钟，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16.★UPS操作显示屏具备主机运行状态红、黄、绿三色指示灯、UPS装置工作状态图、电池状态检测、负载状态检测功能；不低于1000条日志信息记录，方便对UPS和电池组进行维护。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17.UPS采用全彩色5英寸LCD触摸屏+LED指示灯双显示操作面板，中文操作界面，同时提供图形显示和数字显示，适合使用者查看状态、数据和进行操作控制。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18.★UPS产品应具备泰尔认证、节能认证，并提供有效期内的认证证书。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19.★UPS产品应满足8、9烈度下抗震性能，提供同系列产品的抗震报告及抗震合格证。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20.投标产品生产制造商应通过ISO9001质量管理体系认证、ISO14001环境管理体系认证、ISO45001职业健康安全管理体系认证、ISO50001能效管理体系认证，并提供有效期内的认证证书。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21.★投标产品生产厂商应具备提供五星级售后服务的能力，并提供由权威第三方认证机构出具的售后服务认证证书。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22.★投标时需提供制造商的授权书、售后服务承诺、供货证明加盖厂家章。</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23.★投标产品生产制造商应具备较强的研发能力，制造商所属研发部门/中心应具备由中国质量认证监督管理中心出具的鉴定认证资质证书，并提供相关证明文件。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07F2E8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5BB504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72D39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7"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6FBD99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048928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（三进三出）</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EED5F0">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67D9D88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1.UPS设备须为在线双变换高频塔式机，采用IGBT整流及三电平技术，类模块化设计结构功率为60KVA ，三进三出，主机 尺寸≥330*690*975（宽深高mm）。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2.输入市电电压范围：201～478Vac线电压； 116～ 276Vac相电压</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3.UPS的输出功率因数为1.0，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4.UPS输出稳压精度﹤0.3%，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5.UPS输入电流谐波成分：100%非线性负载&lt; 3%，50%非线性负载&lt; 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6.UPS标配输入开关、输出开关、旁路输入开关和维护旁路开关方便操作。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7.UPS标配防火级防尘网，且具备拆卸和清洗功能设计，防尘网符合防火标准UL94及滤尘网标准UL 900。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8.全电路板三防喷涂（控制板、接口板、电源板、功率板），要有PCBA喷涂三防漆工艺，提升UPS设备的防潮、防尘、防漏电、防腐蚀、防锈、防盐雾、防震、防老化、绝缘、耐电晕等性能。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9.UPS应具有定期对蓄电池组进行自动浮充、均充和休眠三段式循环充电相互转换。具备充电休息模式的智能充电功能，以实现延长电池寿命的特性。不允许蓄电池组长期处于浮充状态。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10.UPS必须兼容常见蓄电池类型，包括但不仅限于：VRLA铅酸蓄电池、AGM、胶体电池、锂电池、镍镉电池。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11.★UPS必须具备内部电容健康监测及预警功能。实时监测所有输入、输出滤波电容的温度，并在电容等关键部件失效之前提供预警信息。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12.电池电池±16~±22节可调，电池品牌必须与UPS为同一品牌以保障最好的兼容性。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13.UPS的关键部件（IGBT功率半导体、CPU处理器、二极管、风扇、熔断器等）必须为主流品牌优质产品。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14.UPS运行环境要求：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1)环境温度：0～40℃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2)环境湿度：5 ～95 % ，无凝露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3)海拔高度：0~1000米无降额</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4)防护等级：IP20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15.UPS过载能力：102~110%负载60分钟，111~125%负载10分钟，126~ 150%负载1分钟，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16.★UPS操作显示屏具备主机运行状态红、黄、绿三色指示灯、UPS装置工作状态图、电池状态检测、负载状态检测功能；不低于1000条日志信息记录，方便对UPS和电池组进行维护。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17.UPS采用全彩色5英寸LCD触摸屏+LED指示灯双显示操作面板，中文操作界面，同时提供图形显示和数字显示，适合使用者查看状态、数据和进行操作控制。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18.★UPS产品应具备泰尔认证、节能认证，并提供有效期内的认证证书。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19.★UPS产品应满足8、9烈度下抗震性能，提供同系列产品的抗震报告及抗震合格证。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20.★投标产品生产制造商应通过ISO9001质量管理体系认证、ISO14001环境管理体系认证、ISO45001职业健康安全管理体系认证、ISO50001能效管理体系认证，并提供有效期内的认证证书。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21.★投标产品生产厂商应具备提供五星级售后服务的能力，并提供由权威第三方认证机构出具的售后服务认证证书。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22.★投标时需提供制造商的授权书、售后服务承诺、供货证明加盖厂家章。</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23.★投标产品生产制造商应具备较强的研发能力，制造商所属研发部门/中心应具备由中国质量认证监督管理中心出具的鉴定认证资质证书，并提供相关证明文件。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34DDD4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17D07E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37D1A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3FE5F0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3FBFF7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（三进三出）</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14BEF1">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4010453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1.UPS设备须为在线双变换高频塔式机，采用IGBT整流及三电平技术，类模块化设计结构功率为80KVA ，三进三出，主机 尺寸≥330*690*975（宽深高mm）。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2.输入市电电压范围：201～478Vac线电压； 116～ 276Vac相电压</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3.UPS的输出功率因数为1.0，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4.UPS输出稳压精度﹤0.3%，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5.UPS输入电流谐波成分：100%非线性负载&lt; 3%，50%非线性负载&lt; 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6.UPS标配输入开关、输出开关、旁路输入开关和维护旁路开关方便操作。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7.UPS标配防火级防尘网，且具备拆卸和清洗功能设计，防尘网符合防火标准UL94及滤尘网标准UL 900。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8.全电路板三防喷涂（控制板、接口板、电源板、功率板），要有PCBA喷涂三防漆工艺，提升UPS设备的防潮、防尘、防漏电、防腐蚀、防锈、防盐雾、防震、防老化、绝缘、耐电晕等性能。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9.UPS应具有定期对蓄电池组进行自动浮充、均充和休眠三段式循环充电相互转换。具备充电休息模式的智能充电功能，以实现延长电池寿命的特性。不允许蓄电池组长期处于浮充状态。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10.UPS必须兼容常见蓄电池类型，包括但不仅限于：VRLA铅酸蓄电池、AGM、胶体电池、锂电池、镍镉电池。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11.UPS必须具备内部电容健康监测及预警功能。实时监测所有输入、输出滤波电容的温度，并在电容等关键部件失效之前提供预警信息。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12.电池电池±16~±22节可调，电池品牌必须与UPS为同一品牌以保障最好的兼容性。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13.UPS的关键部件（IGBT功率半导体、CPU处理器、二极管、风扇、熔断器等）必须为主流品牌优质产品。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14.UPS运行环境要求：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1)环境温度：0～40℃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2)环境湿度：5 ～95 % ，无凝露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3)海拔高度：0~1000米无降额</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4)防护等级：IP20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15.UPS过载能力：102~110%负载60分钟，111~125%负载10分钟，126~ 150%负载1分钟，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16.★UPS操作显示屏具备主机运行状态红、黄、绿三色指示灯、UPS装置工作状态图、电池状态检测、负载状态检测功能；不低于1000条日志信息记录，方便对UPS和电池组进行维护。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17.UPS采用全彩色5英寸LCD触摸屏+LED指示灯双显示操作面板，中文操作界面，同时提供图形显示和数字显示，适合使用者查看状态、数据和进行操作控制。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18.★UPS产品应具备泰尔认证、节能认证，并提供有效期内的认证证书。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19.★UPS产品应满足8、9烈度下抗震性能，提供同系列产品的抗震报告及抗震合格证。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20.投标产品生产制造商应通过ISO9001质量管理体系认证、ISO14001环境管理体系认证、ISO45001职业健康安全管理体系认证、ISO50001能效管理体系认证，并提供有效期内的认证证书。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21.★投标产品生产厂商应具备提供五星级售后服务的能力，并提供由权威第三方认证机构出具的售后服务认证证书。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22.★投标时需提供制造商的授权书、售后服务承诺、供货证明加盖厂家章。</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23.★投标产品生产制造商应具备较强的研发能力，制造商所属研发部门/中心应具备由中国质量认证监督管理中心出具的鉴定认证资质证书，并提供相关证明文件。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76DCC3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01DD6B6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4710C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2"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0CD434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04DFCE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（三进三出）</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F00951">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74A7465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1.UPS设备须为在线双变换高频塔式机，采用IGBT整流及三电平技术，类模块化设计结构功率为100KVA ，三进三出，主机 尺寸≥500*850*1230（宽深高mm）。UPS主机兼容上下进线。</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2.输入市电电压范围：201～478Vac线电压； 116～ 276Vac相电压</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3.UPS的输出功率因数为1.0，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4.UPS输出稳压精度﹤0.3%，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5.UPS输入电流谐波成分：100%非线性负载&lt; 3%，50%非线性负载&lt; 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6.UPS标配输入开关、输出开关、旁路输入开关和维护旁路开关方便操作。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7.UPS标配防火级防尘网，且具备拆卸和清洗功能设计，防尘网符合防火标准UL94及滤尘网标准UL 900。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8.★全电路板三防喷涂（控制板、接口板、电源板、功率板），要有PCBA喷涂三防漆工艺，提升UPS设备的防潮、防尘、防漏电、防腐蚀、防锈、防盐雾、防震、防老化、绝缘、耐电晕等性能。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9.UPS应具有定期对蓄电池组进行自动浮充、均充和休眠三段式循环充电相互转换。具备充电休息模式的智能充电功能，以实现延长电池寿命的特性。不允许蓄电池组长期处于浮充状态。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10.UPS必须兼容常见蓄电池类型，包括但不仅限于：VRLA铅酸蓄电池、AGM、胶体电池、锂电池、镍镉电池。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11.UPS必须具备内部电容健康监测及预警功能。实时监测所有输入、输出滤波电容的温度，并在电容等关键部件失效之前提供预警信息。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12.电池电池±16~±22节可调，电池品牌必须与UPS为同一品牌以保障最好的兼容性。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13.★UPS的关键部件（IGBT功率半导体、CPU处理器、二极管、风扇、熔断器等）必须为主流品牌优质产品。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14.UPS运行环境要求：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1)环境温度：0～40℃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2)环境湿度：5 ～95 % ，无凝露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3)海拔高度：0~1000米无降额</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4)防护等级：IP20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15.UPS过载能力：102~110%负载60分钟，111~125%负载10分钟，126~ 150%负载1分钟，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16.★UPS操作显示屏具备主机运行状态红、黄、绿三色指示灯、UPS装置工作状态图、电池状态检测、负载状态检测功能；不低于1000条日志信息记录，方便对UPS和电池组进行维护。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17.UPS采用全彩色5英寸LCD触摸屏+LED指示灯双显示操作面板，中文操作界面，同时提供图形显示和数字显示，适合使用者查看状态、数据和进行操作控制。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18.★UPS产品应具备泰尔认证、节能认证，并提供有效期内的认证证书。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19.★UPS产品应满足8、9烈度下抗震性能，提供同系列产品的抗震报告及抗震合格证。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20.投标产品生产制造商应通过ISO9001质量管理体系认证、ISO14001环境管理体系认证、ISO45001职业健康安全管理体系认证、ISO50001能效管理体系认证，并提供有效期内的认证证书。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21.★投标产品生产厂商应具备提供五星级售后服务的能力，并提供由权威第三方认证机构出具的售后服务认证证书。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22.★投标时需提供制造商的授权书、售后服务承诺、供货证明加盖厂家章。</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23.★投标产品生产制造商应具备较强的研发能力，制造商所属研发部门/中心应具备由中国质量认证监督管理中心出具的鉴定认证资质证书，并提供相关证明文件。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19EB38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601F07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709F5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1"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30419E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777422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（三进三出）</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A6CDBF">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044CF57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1.UPS设备须为在线双变换高频塔式机，采用IGBT整流及三电平技术，类模块化设计结构功率为120KVA ，三进三出，主机 尺寸≥500*850*1230（宽深高mm）。UPS主机兼容上下进线。</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2.输入市电电压范围：201～478Vac线电压； 116～ 276Vac相电压</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3.UPS的输出功率因数为1.0，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4.UPS输出稳压精度﹤0.3%，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5.UPS输入电流谐波成分：100%非线性负载&lt; 3%，50%非线性负载&lt; 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6.UPS标配输入开关、输出开关、旁路输入开关和维护旁路开关方便操作。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7.UPS标配防火级防尘网，且具备拆卸和清洗功能设计，防尘网符合防火标准UL94及滤尘网标准UL 900。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8.全电路板三防喷涂（控制板、接口板、电源板、功率板），要有PCBA喷涂三防漆工艺，提升UPS设备的防潮、防尘、防漏电、防腐蚀、防锈、防盐雾、防震、防老化、绝缘、耐电晕等性能。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9.UPS应具有定期对蓄电池组进行自动浮充、均充和休眠三段式循环充电相互转换。具备充电休息模式的智能充电功能，以实现延长电池寿命的特性。不允许蓄电池组长期处于浮充状态。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10.UPS必须兼容常见蓄电池类型，包括但不仅限于：VRLA铅酸蓄电池、AGM、胶体电池、锂电池、镍镉电池。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11.★UPS必须具备内部电容健康监测及预警功能。实时监测所有输入、输出滤波电容的温度，并在电容等关键部件失效之前提供预警信息。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12.电池电池±16~±22节可调，电池品牌必须与UPS为同一品牌以保障最好的兼容性。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13.UPS的关键部件（IGBT功率半导体、CPU处理器、二极管、风扇、熔断器等）必须为主流品牌优质产品。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14.UPS运行环境要求：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1)环境温度：0～40℃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2)环境湿度：5 ～95 % ，无凝露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3)海拔高度：0~1000米无降额</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4)防护等级：IP20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15.UPS过载能力：102~110%负载60分钟，111~125%负载10分钟，126~ 150%负载1分钟，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16.★UPS操作显示屏具备主机运行状态红、黄、绿三色指示灯、UPS装置工作状态图、电池状态检测、负载状态检测功能；不低于1000条日志信息记录，方便对UPS和电池组进行维护。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17.UPS采用全彩色5英寸LCD触摸屏+LED指示灯双显示操作面板，中文操作界面，同时提供图形显示和数字显示，适合使用者查看状态、数据和进行操作控制。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18.★UPS产品应具备泰尔认证、节能认证，并提供有效期内的认证证书。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19.★UPS产品应满足8、9烈度下抗震性能，提供同系列产品的抗震报告及抗震合格证。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20.投标产品生产制造商应通过ISO9001质量管理体系认证、ISO14001环境管理体系认证、ISO45001职业健康安全管理体系认证、ISO50001能效管理体系认证，并提供有效期内的认证证书。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21.★投标产品生产厂商应具备提供五星级售后服务的能力，并提供由权威第三方认证机构出具的售后服务认证证书。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22.★投标时需提供制造商的授权书、售后服务承诺、供货证明加盖厂家章。</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23.★投标产品生产制造商应具备较强的研发能力，制造商所属研发部门/中心应具备由中国质量认证监督管理中心出具的鉴定认证资质证书，并提供相关证明文件。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2E25A0B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537F80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2273F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5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631309D6">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16</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6742C6F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（三进三出）</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6743A0">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01ED36C3">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1.UPS设备须为在线双变换高频塔式机，采用IGBT整流及三电平技术，类模块化设计结构功率为160KVA ，三进三出，主机 尺寸≥550*850*1600（宽深高mm）。UPS主机兼容上下进线。</w:t>
            </w:r>
          </w:p>
          <w:p w14:paraId="40343715">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2.输入市电电压范围：201～478Vac线电压； 116～ 276Vac相电压</w:t>
            </w:r>
          </w:p>
          <w:p w14:paraId="6ED7935F">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3.UPS的输出功率因数为1.0，</w:t>
            </w:r>
          </w:p>
          <w:p w14:paraId="1D534BDC">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4.UPS输出稳压精度﹤0.3%，</w:t>
            </w:r>
          </w:p>
          <w:p w14:paraId="76DB9704">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5.UPS输入电流谐波成分：100%非线性负载&lt; 3%，50%非线性负载&lt; 5%，</w:t>
            </w:r>
          </w:p>
          <w:p w14:paraId="277CE4C1">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6.UPS标配输入开关、输出开关、旁路输入开关和维护旁路开关方便操作。</w:t>
            </w:r>
          </w:p>
          <w:p w14:paraId="76608DFB">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7.★UPS标配防火级防尘网，且具备拆卸和清洗功能设计，防尘网符合防火标准UL94及滤尘网标准UL 900。</w:t>
            </w:r>
          </w:p>
          <w:p w14:paraId="78394FDE">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8.★全电路板三防喷涂（控制板、接口板、电源板、功率板），要有PCBA喷涂三防漆工艺，提升UPS设备的防潮、防尘、防漏电、防腐蚀、防锈、防盐雾、防震、防老化、绝缘、耐电晕等性能。  </w:t>
            </w:r>
          </w:p>
          <w:p w14:paraId="76399C83">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9.UPS应具有定期对蓄电池组进行自动浮充、均充和休眠三段式循环充电相互转换。具备充电休息模式的智能充电功能，以实现延长电池寿命的特性。不允许蓄电池组长期处于浮充状态。</w:t>
            </w:r>
          </w:p>
          <w:p w14:paraId="30B1AADD">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10.UPS必须兼容常见蓄电池类型，包括但不仅限于：VRLA铅酸蓄电池、AGM、胶体电池、锂电池、镍镉电池。</w:t>
            </w:r>
          </w:p>
          <w:p w14:paraId="20866C0E">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11.★UPS必须具备内部电容健康监测及预警功能。实时监测所有输入、输出滤波电容的温度，并在电容等关键部件失效之前提供预警信息。  </w:t>
            </w:r>
          </w:p>
          <w:p w14:paraId="4819CB64">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12.电池电池±16~±22节可调，电池品牌必须与UPS为同一品牌以保障最好的兼容性。</w:t>
            </w:r>
          </w:p>
          <w:p w14:paraId="3FDAD234">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13.★UPS的关键部件（IGBT功率半导体、CPU处理器、二极管、风扇、熔断器等）必须为主流品牌优质产品。   </w:t>
            </w:r>
          </w:p>
          <w:p w14:paraId="665DE63E">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14.UPS运行环境要求：</w:t>
            </w:r>
          </w:p>
          <w:p w14:paraId="34DB991B">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1)环境温度：0～40℃</w:t>
            </w:r>
          </w:p>
          <w:p w14:paraId="605E4739">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2)环境湿度：5 ～95 % ，无凝露</w:t>
            </w:r>
          </w:p>
          <w:p w14:paraId="0A2C0BC8">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3)海拔高度：0~1000米无降额</w:t>
            </w:r>
          </w:p>
          <w:p w14:paraId="072D8326">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4)防护等级：IP20</w:t>
            </w:r>
          </w:p>
          <w:p w14:paraId="1F33A6F4">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15.UPS过载能力：102~110%负载60分钟，111~125%负载10分钟，126~ 150%负载1分钟，</w:t>
            </w:r>
          </w:p>
          <w:p w14:paraId="5BD43D3B">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16.★UPS操作显示屏具备主机运行状态红、黄、绿三色指示灯、UPS装置工作状态图、电池状态检测、负载状态检测功能；不低于1000条日志信息记录，方便对UPS和电池组进行维护。</w:t>
            </w:r>
          </w:p>
          <w:p w14:paraId="28DD2AF1">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17.UPS采用全彩色5英寸LCD触摸屏+LED指示灯双显示操作面板，中文操作界面，同时提供图形显示和数字显示，适合使用者查看状态、数据和进行操作控制。</w:t>
            </w:r>
          </w:p>
          <w:p w14:paraId="2582EFDD">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18.★UPS产品应具备泰尔认证、节能认证，并提供有效期内的认证证书。</w:t>
            </w:r>
          </w:p>
          <w:p w14:paraId="4CA21EC1">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19.★UPS产品应满足8、9烈度下抗震性能，提供同系列产品的抗震报告及抗震合格证。</w:t>
            </w:r>
          </w:p>
          <w:p w14:paraId="4BE9D614">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20.投标产品生产制造商应通过ISO9001质量管理体系认证、ISO14001环境管理体系认证、ISO45001职业健康安全管理体系认证、ISO50001能效管理体系认证，并提供有效期内的认证证书。</w:t>
            </w:r>
          </w:p>
          <w:p w14:paraId="3107218C">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21.★投标产品生产厂商应具备提供五星级售后服务的能力，并提供由权威第三方认证机构出具的售后服务认证证书。</w:t>
            </w:r>
          </w:p>
          <w:p w14:paraId="484B6DEA">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22.★投标时需提供制造商的授权书、售后服务承诺、供货证明加盖厂家章。</w:t>
            </w:r>
          </w:p>
          <w:p w14:paraId="1EFB0C7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23.★投标产品生产制造商应具备较强的研发能力，制造商所属研发部门/中心应具备由中国质量认证监督管理中心出具的鉴定认证资质证书，并提供相关证明文件。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5D00A1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45935E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400FC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1B746D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6D0FF19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UPS主机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（三进三出）</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FAE891">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484E5863">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1.UPS设备须为在线双变换高频塔式机，采用IGBT整流及三电平技术，类模块化设计结构功率为200KVA ，三进三出，主机 尺寸≥550*850*1600（宽深高mm）。UPS主机兼容上下进线。</w:t>
            </w:r>
          </w:p>
          <w:p w14:paraId="0061111A">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2.输入市电电压范围：201～478Vac线电压； 116～ 276Vac相电压</w:t>
            </w:r>
          </w:p>
          <w:p w14:paraId="5C7603D8">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3.UPS的输出功率因数为1.0，</w:t>
            </w:r>
          </w:p>
          <w:p w14:paraId="0F173206">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4.UPS输出稳压精度﹤0.3%，</w:t>
            </w:r>
          </w:p>
          <w:p w14:paraId="216EAE61">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5.UPS输入电流谐波成分：100%非线性负载&lt; 3%，50%非线性负载&lt; 5%，</w:t>
            </w:r>
          </w:p>
          <w:p w14:paraId="505C1915">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6.UPS标配输入开关、输出开关、旁路输入开关和维护旁路开关方便操作。</w:t>
            </w:r>
          </w:p>
          <w:p w14:paraId="1B6DB358">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7.★UPS标配防火级防尘网，且具备拆卸和清洗功能设计，防尘网符合防火标准UL94及滤尘网标准UL 900。</w:t>
            </w:r>
          </w:p>
          <w:p w14:paraId="0BFB09E1">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8.★全电路板三防喷涂（控制板、接口板、电源板、功率板），要有PCBA喷涂三防漆工艺，提升UPS设备的防潮、防尘、防漏电、防腐蚀、防锈、防盐雾、防震、防老化、绝缘、耐电晕等性能。  </w:t>
            </w:r>
          </w:p>
          <w:p w14:paraId="4D38C64A">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9.UPS应具有定期对蓄电池组进行自动浮充、均充和休眠三段式循环充电相互转换。具备充电休息模式的智能充电功能，以实现延长电池寿命的特性。不允许蓄电池组长期处于浮充状态。</w:t>
            </w:r>
          </w:p>
          <w:p w14:paraId="05C11267">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10.UPS必须兼容常见蓄电池类型，包括但不仅限于：VRLA铅酸蓄电池、AGM、胶体电池、锂电池、镍镉电池。</w:t>
            </w:r>
          </w:p>
          <w:p w14:paraId="03A5D72D">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11.★UPS必须具备内部电容健康监测及预警功能。实时监测所有输入、输出滤波电容的温度，并在电容等关键部件失效之前提供预警信息。  </w:t>
            </w:r>
          </w:p>
          <w:p w14:paraId="364765CE">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12.电池电池±16~±22节可调，电池品牌必须与UPS为同一品牌以保障最好的兼容性。</w:t>
            </w:r>
          </w:p>
          <w:p w14:paraId="04CEAD6A">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13.★UPS的关键部件（IGBT功率半导体、CPU处理器、二极管、风扇、熔断器等）必须为主流品牌优质产品。   </w:t>
            </w:r>
          </w:p>
          <w:p w14:paraId="322F8B67">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14.UPS运行环境要求：</w:t>
            </w:r>
          </w:p>
          <w:p w14:paraId="4FAEC251">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1)环境温度：0～40℃</w:t>
            </w:r>
          </w:p>
          <w:p w14:paraId="106C668D">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2)环境湿度：5 ～95 % ，无凝露</w:t>
            </w:r>
          </w:p>
          <w:p w14:paraId="61224825">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3)海拔高度：0~1000米无降额</w:t>
            </w:r>
          </w:p>
          <w:p w14:paraId="709B837E">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4)防护等级：IP20</w:t>
            </w:r>
          </w:p>
          <w:p w14:paraId="66F242B2">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15.UPS过载能力：102~110%负载60分钟，111~125%负载10分钟，126~ 150%负载1分钟，</w:t>
            </w:r>
          </w:p>
          <w:p w14:paraId="15E0D0D9">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16.★UPS操作显示屏具备主机运行状态红、黄、绿三色指示灯、UPS装置工作状态图、电池状态检测、负载状态检测功能；不低于1000条日志信息记录，方便对UPS和电池组进行维护。</w:t>
            </w:r>
          </w:p>
          <w:p w14:paraId="5CB8BC63">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17.UPS采用全彩色5英寸LCD触摸屏+LED指示灯双显示操作面板，中文操作界面，同时提供图形显示和数字显示，适合使用者查看状态、数据和进行操作控制。</w:t>
            </w:r>
          </w:p>
          <w:p w14:paraId="27E86087">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18.★UPS产品应具备泰尔认证、节能认证，并提供有效期内的认证证书。</w:t>
            </w:r>
          </w:p>
          <w:p w14:paraId="1A8DEAAC">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19.★UPS产品应满足8、9烈度下抗震性能，提供同系列产品的抗震报告及抗震合格证。</w:t>
            </w:r>
          </w:p>
          <w:p w14:paraId="289AA807">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20.投标产品生产制造商应通过ISO9001质量管理体系认证、ISO14001环境管理体系认证、ISO45001职业健康安全管理体系认证、ISO50001能效管理体系认证，并提供有效期内的认证证书。</w:t>
            </w:r>
          </w:p>
          <w:p w14:paraId="3F7E656C">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21.★投标产品生产厂商应具备提供五星级售后服务的能力，并提供由权威第三方认证机构出具的售后服务认证证书。</w:t>
            </w:r>
          </w:p>
          <w:p w14:paraId="5769AACF">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22.★投标时需提供制造商的授权书、售后服务承诺、供货证明加盖厂家章。</w:t>
            </w:r>
          </w:p>
          <w:p w14:paraId="50CA982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23.★投标产品生产制造商应具备较强的研发能力，制造商所属研发部门/中心应具备由中国质量认证监督管理中心出具的鉴定认证资质证书，并提供相关证明文件。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108631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7C0684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5F593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252481AC">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18</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778011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蓄电池</w:t>
            </w:r>
          </w:p>
        </w:tc>
        <w:tc>
          <w:tcPr>
            <w:tcW w:w="309" w:type="pct"/>
            <w:vMerge w:val="restart"/>
            <w:tcBorders>
              <w:top w:val="single" w:color="000000" w:sz="4" w:space="0"/>
              <w:left w:val="single" w:color="000000" w:sz="4" w:space="0"/>
              <w:bottom w:val="single" w:color="000000" w:sz="4" w:space="0"/>
              <w:right w:val="single" w:color="000000" w:sz="4" w:space="0"/>
            </w:tcBorders>
            <w:noWrap w:val="0"/>
            <w:vAlign w:val="center"/>
          </w:tcPr>
          <w:p w14:paraId="7DE0C0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外接蓄电池</w:t>
            </w: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08C0C5E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1.蓄电池容量要求：12V26Ah，环境温度为25℃下，蓄电池设计浮充寿命≥10年。提供厂家盖章的产品彩页。</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2.蓄电池尺寸要求：12V26Ah长≤165mm，宽≤126mm，高≤175mm；重量要求：12V26Ah≥7.8kg。</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3.蓄电池浮充电压：13.5～13.8V。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4.蓄电池均充电压：14.1～14.4V。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5.蓄电池应符合YD/T799-2010中第6.4条要求，外观无变形、漏液、裂纹及污迹，标识清晰；正、负极端子有明显标志，便于连接。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6.为确保与UPS兼容性，避免在使用时出现售后服务认定纠纷，蓄电池与UPS须为同一品牌。</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7.蓄电池必须备防漏液特性，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8.蓄电池阻燃性能应符合YD/T799-2010中第6.4条的要求。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9.蓄电池能承受50kPa的正压或负压而不破裂、不开胶，压力释放后电池壳体无残余变形。</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10.蓄电池充电过程中遇明火，内部不引燃、不引爆。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11.蓄电池在环境温度-30℃~＋65℃之间，封口剂无裂纹与溢流现象。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12.完全充电后的蓄电池以0.2I10A电流连续再充电4h，PH值应呈中性。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13.耐过充电能力：完全充电的电池以0.3I10A连续充电160h，无变形、无漏液。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14.蓄电池恒压充电24h的再充电能力因素Rbf24h≥93.5%，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15.蓄电池热失控敏感性要求：蓄电池温度应≤35℃，每24h的电流增长率≤15%，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16.同组蓄电池10h率容量试验容量一致性时，最大实际容量与最小实际容量差值≤0.9%，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17.蓄电池静置28天后容量保存率≥98.6%，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18.蓄电池以30I10放电3min，极柱不熔断、内部汇流排不熔断，外观不出现异常。</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19.蓄电池密封反应率≥98.6%，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20.蓄电池电池间连接电压降△U≤4mV，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21.蓄电池安全阀开阀压力10-20kPa，闭阀压力3-20kPa。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22.蓄电池端电压均衡性要求：开路状态下，最高与最低差值应≤8mV；进入浮充状态24h后端电压差≤45mV；放电状态下，端电压差≤90mV，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23.蓄电池在过度放电时容量恢复值≥98.5%，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24.蓄电池同组内阻偏差应≤4%，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25.蓄电池须具备优异的极板设计，提高充电效率，降低内阻压降，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26.投标蓄电池产品应具备泰尔认证，并提供厂家盖章的认证报告及认证证书。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27.投标时需提供厂家盖章的项目授权书、售后服务承诺函、原厂供货证明原件。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18054D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5E8421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节</w:t>
            </w:r>
          </w:p>
        </w:tc>
      </w:tr>
      <w:tr w14:paraId="7587C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6E9DCE41">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19</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48351B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蓄电池</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379ED1">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22E36F8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1.蓄电池容量要求：12V38Ah，环境温度为25℃下，蓄电池设计浮充寿命≥10年。提供厂家盖章的产品彩页。</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2.蓄电池尺寸要求：12V38Ah长≤196mm，宽≤165mm，高≤170mm；重量要求：12V38Ah≥11.5kg。</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3.蓄电池浮充电压：13.5～13.8V。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4.蓄电池均充电压：14.1～14.4V。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5.蓄电池应符合YD/T799-2010中第6.4条要求，外观无变形、漏液、裂纹及污迹，标识清晰；正、负极端子有明显标志，便于连接。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6.为确保与UPS兼容性，避免在使用时出现售后服务认定纠纷，蓄电池与UPS须为同一品牌。</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7.蓄电池必须备防漏液特性，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8.蓄电池阻燃性能应符合YD/T799-2010中第6.4条的要求。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9.蓄电池能承受50kPa的正压或负压而不破裂、不开胶，压力释放后电池壳体无残余变形。</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10.蓄电池充电过程中遇明火，内部不引燃、不引爆。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11.蓄电池在环境温度-30℃~＋65℃之间，封口剂无裂纹与溢流现象。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12.完全充电后的蓄电池以0.2I10A电流连续再充电4h，PH值应呈中性。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13.耐过充电能力：完全充电的电池以0.3I10A连续充电160h，无变形、无漏液。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14.蓄电池恒压充电24h的再充电能力因素Rbf24h≥93.5%，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15.蓄电池热失控敏感性要求：蓄电池温度应≤35℃，每24h的电流增长率≤15%，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16.同组蓄电池10h率容量试验容量一致性时，最大实际容量与最小实际容量差值≤0.9%，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17.蓄电池静置28天后容量保存率≥98.6%，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18.蓄电池以30I10放电3min，极柱不熔断、内部汇流排不熔断，外观不出现异常。</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19.蓄电池密封反应率≥98.6%，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20.蓄电池电池间连接电压降△U≤4mV，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21.蓄电池安全阀开阀压力10-20kPa，闭阀压力3-20kPa。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22.蓄电池端电压均衡性要求：开路状态下，最高与最低差值应≤8mV；进入浮充状态24h后端电压差≤45mV；放电状态下，端电压差≤90mV，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23.蓄电池在过度放电时容量恢复值≥98.5%，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24.蓄电池同组内阻偏差应≤4%，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25.蓄电池须具备优异的极板设计，提高充电效率，降低内阻压降，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26.投标蓄电池产品应具备泰尔认证，并提供厂家盖章的认证报告及认证证书。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27.投标时需提供厂家盖章的项目授权书、售后服务承诺函、原厂供货证明原件。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2837B1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4A56A9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节</w:t>
            </w:r>
          </w:p>
        </w:tc>
      </w:tr>
      <w:tr w14:paraId="5A134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150E4830">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20</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533579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蓄电池</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13E3A3">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7C6F21D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1.蓄电池容量要求：12V65Ah，环境温度为25℃下，蓄电池设计浮充寿命≥10年。提供厂家盖章的产品彩页。</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2.蓄电池尺寸要求：12V65Ah长≤348mm，宽≤167mm，高≤177mm；重量要求：12V65Ah≥19.3kg。</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3.蓄电池浮充电压：13.5～13.8V。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4.蓄电池均充电压：14.1～14.4V。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5.蓄电池应符合YD/T799-2010中第6.4条要求，外观无变形、漏液、裂纹及污迹，标识清晰；正、负极端子有明显标志，便于连接。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6.为确保与UPS兼容性，避免在使用时出现售后服务认定纠纷，蓄电池与UPS须为同一品牌。</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7.★蓄电池必须备防漏液特性，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8.蓄电池阻燃性能应符合YD/T799-2010中第6.4条的要求。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9.蓄电池能承受50kPa的正压或负压而不破裂、不开胶，压力释放后电池壳体无残余变形。</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10.蓄电池充电过程中遇明火，内部不引燃、不引爆。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11.蓄电池在环境温度-30℃~＋65℃之间，封口剂无裂纹与溢流现象。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12.完全充电后的蓄电池以0.2I10A电流连续再充电4h，PH值应呈中性。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13.耐过充电能力：完全充电的电池以0.3I10A连续充电160h，无变形、无漏液。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14.蓄电池恒压充电24h的再充电能力因素Rbf24h≥93.5%，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15.蓄电池热失控敏感性要求：蓄电池温度应≤35℃，每24h的电流增长率≤15%，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16.同组蓄电池10h率容量试验容量一致性时，最大实际容量与最小实际容量差值≤0.9%，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17.蓄电池静置28天后容量保存率≥98.6%，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18.蓄电池以30I10放电3min，极柱不熔断、内部汇流排不熔断，外观不出现异常。</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19.蓄电池密封反应率≥98.6%，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20.蓄电池电池间连接电压降△U≤4mV，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21.蓄电池安全阀开阀压力10-20kPa，闭阀压力3-20kPa。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22.蓄电池端电压均衡性要求：开路状态下，最高与最低差值应≤8mV；进入浮充状态24h后端电压差≤45mV；放电状态下，端电压差≤90mV，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23.蓄电池在过度放电时容量恢复值≥98.5%，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24.蓄电池同组内阻偏差应≤4%，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25.蓄电池须具备优异的极板设计，提高充电效率，降低内阻压降，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26.投标蓄电池产品应具备泰尔认证，并提供厂家盖章的认证报告及认证证书。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27.投标时需提供厂家盖章的项目授权书、售后服务承诺函、原厂供货证明原件。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628AA9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56C074D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节</w:t>
            </w:r>
          </w:p>
        </w:tc>
      </w:tr>
      <w:tr w14:paraId="03AF5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088005B8">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21</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1C869F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蓄电池</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1C431D">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14343BC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1.蓄电池容量要求：12V100Ah，环境温度为25℃下，蓄电池设计浮充寿命≥10年。提供厂家盖章的产品彩页。</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2.蓄电池尺寸要求：12V100Ah长≤331mm，宽≤175mm，高≤221mm；重量要求：12V100Ah≥27.6kg。</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3.蓄电池浮充电压：13.5～13.8V。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4.蓄电池均充电压：14.1～14.4V。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5.蓄电池应符合YD/T799-2010中第6.4条要求，外观无变形、漏液、裂纹及污迹，标识清晰；正、负极端子有明显标志，便于连接。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6.为确保与UPS兼容性，避免在使用时出现售后服务认定纠纷，蓄电池与UPS须为同一品牌。</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7.★蓄电池必须备防漏液特性，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8.蓄电池阻燃性能应符合YD/T799-2010中第6.4条的要求。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9.蓄电池能承受50kPa的正压或负压而不破裂、不开胶，压力释放后电池壳体无残余变形。</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10.蓄电池充电过程中遇明火，内部不引燃、不引爆。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11.蓄电池在环境温度-30℃~＋65℃之间，封口剂无裂纹与溢流现象。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12.完全充电后的蓄电池以0.2I10A电流连续再充电4h，PH值应呈中性。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13.耐过充电能力：完全充电的电池以0.3I10A连续充电160h，无变形、无漏液。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14.蓄电池恒压充电24h的再充电能力因素Rbf24h≥93.5%，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15.蓄电池热失控敏感性要求：蓄电池温度应≤35℃，每24h的电流增长率≤15%，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16.★同组蓄电池10h率容量试验容量一致性时，最大实际容量与最小实际容量差值≤0.9%，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17.★蓄电池静置28天后容量保存率≥98.6%，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18.蓄电池以30I10放电3min，极柱不熔断、内部汇流排不熔断，外观不出现异常。</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19.★蓄电池密封反应率≥98.6%，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20.★蓄电池电池间连接电压降△U≤4mV，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21.蓄电池安全阀开阀压力10-20kPa，闭阀压力3-20kPa。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22.★蓄电池端电压均衡性要求：开路状态下，最高与最低差值应≤8mV；进入浮充状态24h后端电压差≤45mV；放电状态下，端电压差≤90mV，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23.★蓄电池在过度放电时容量恢复值≥98.5%，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24.★蓄电池同组内阻偏差应≤4%，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25.★蓄电池须具备优异的极板设计，提高充电效率，降低内阻压降，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26.投标蓄电池产品应具备泰尔认证，并提供厂家盖章的认证报告及认证证书。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27.★投标时需提供厂家盖章的项目授权书、售后服务承诺函、原厂供货证明原件。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25D407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1863B1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节</w:t>
            </w:r>
          </w:p>
        </w:tc>
      </w:tr>
      <w:tr w14:paraId="0CAAF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4C652987">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22</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4CA69D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蓄电池</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EF6854">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5139CA8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1.蓄电池容量要求：12V120Ah，环境温度为25℃下，蓄电池设计浮充寿命≥10年。提供厂家盖章的产品彩页。</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2.★蓄电池尺寸要求：12V120Ah长≤409mm，宽≤177mm，高≤225mm；重量要求：12V120Ah≥32.7kg。</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3.蓄电池浮充电压：13.5～13.8V。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4.蓄电池均充电压：14.1～14.4V。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5.蓄电池应符合YD/T799-2010中第6.4条要求，外观无变形、漏液、裂纹及污迹，标识清晰；正、负极端子有明显标志，便于连接。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6.★为确保与UPS兼容性，避免在使用时出现售后服务认定纠纷，蓄电池与UPS须为同一品牌。</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7.★蓄电池必须备防漏液特性，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8.蓄电池阻燃性能应符合YD/T799-2010中第6.4条的要求。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9.蓄电池能承受50kPa的正压或负压而不破裂、不开胶，压力释放后电池壳体无残余变形。</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10.蓄电池充电过程中遇明火，内部不引燃、不引爆。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11.蓄电池在环境温度-30℃~＋65℃之间，封口剂无裂纹与溢流现象。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12.完全充电后的蓄电池以0.2I10A电流连续再充电4h，PH值应呈中性。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13.耐过充电能力：完全充电的电池以0.3I10A连续充电160h，无变形、无漏液。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14.★蓄电池恒压充电24h的再充电能力因素Rbf24h≥93.5%，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15.★蓄电池热失控敏感性要求：蓄电池温度应≤35℃，每24h的电流增长率≤15%，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16.★同组蓄电池10h率容量试验容量一致性时，最大实际容量与最小实际容量差值≤0.9%，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17.★蓄电池静置28天后容量保存率≥98.6%，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18.蓄电池以30I10放电3min，极柱不熔断、内部汇流排不熔断，外观不出现异常。</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19.★蓄电池密封反应率≥98.6%，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20.★蓄电池电池间连接电压降△U≤4mV，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21.蓄电池安全阀开阀压力10-20kPa，闭阀压力3-20kPa。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22.★蓄电池端电压均衡性要求：开路状态下，最高与最低差值应≤8mV；进入浮充状态24h后端电压差≤45mV；放电状态下，端电压差≤90mV，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23.★蓄电池在过度放电时容量恢复值≥98.5%，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24.★蓄电池同组内阻偏差应≤4%，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25.★蓄电池须具备优异的极板设计，提高充电效率，降低内阻压降，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26.投标蓄电池产品应具备泰尔认证，并提供厂家盖章的认证报告及认证证书;投标时需提供厂家盖章的项目授权书、售后服务承诺函、原厂供货证明原件。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0589FE9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21A99C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节</w:t>
            </w:r>
          </w:p>
        </w:tc>
      </w:tr>
      <w:tr w14:paraId="55D6D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45986550">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23</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1B0210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蓄电池</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7D099A">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5FEC394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1.蓄电池容量要求：12V150Ah，环境温度为25℃下，蓄电池设计浮充寿命≥10年。提供厂家盖章的产品彩页。</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2.★蓄电池尺寸要求：12V150Ah长≤483mm，宽≤170mm，高≤242mm；重量要求：12V150Ah≥40.3kg。</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3.蓄电池浮充电压：13.5～13.8V。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4.蓄电池均充电压：14.1～14.4V。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5.蓄电池应符合YD/T799-2010中第6.4条要求，外观无变形、漏液、裂纹及污迹，标识清晰；正、负极端子有明显标志，便于连接。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6.★为确保与UPS兼容性，避免在使用时出现售后服务认定纠纷，蓄电池与UPS须为同一品牌。</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7.★蓄电池必须备防漏液特性，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8.蓄电池阻燃性能应符合YD/T799-2010中第6.4条的要求。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9.蓄电池能承受50kPa的正压或负压而不破裂、不开胶，压力释放后电池壳体无残余变形。</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10.蓄电池充电过程中遇明火，内部不引燃、不引爆。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11.蓄电池在环境温度-30℃~＋65℃之间，封口剂无裂纹与溢流现象。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12.完全充电后的蓄电池以0.2I10A电流连续再充电4h，PH值应呈中性。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13.耐过充电能力：完全充电的电池以0.3I10A连续充电160h，无变形、无漏液。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14.★蓄电池恒压充电24h的再充电能力因素Rbf24h≥93.5%，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15.★蓄电池热失控敏感性要求：蓄电池温度应≤35℃，每24h的电流增长率≤15%，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16.★同组蓄电池10h率容量试验容量一致性时，最大实际容量与最小实际容量差值≤0.9%，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17.★蓄电池静置28天后容量保存率≥98.6%，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18.蓄电池以30I10放电3min，极柱不熔断、内部汇流排不熔断，外观不出现异常。</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19.★蓄电池密封反应率≥98.6%，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20.★蓄电池电池间连接电压降△U≤4mV，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21.蓄电池安全阀开阀压力10-20kPa，闭阀压力3-20kPa。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22.★蓄电池端电压均衡性要求：开路状态下，最高与最低差值应≤8mV；进入浮充状态24h后端电压差≤45mV；放电状态下，端电压差≤90mV，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23.★蓄电池在过度放电时容量恢复值≥98.5%，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24.★蓄电池同组内阻偏差应≤4%，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25.★蓄电池须具备优异的极板设计，提高充电效率，降低内阻压降，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26.投标蓄电池产品应具备泰尔认证，并提供厂家盖章的认证报告及认证证书;投标时需提供厂家盖章的项目授权书、售后服务承诺函、原厂供货证明原件。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793292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3B5884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节</w:t>
            </w:r>
          </w:p>
        </w:tc>
      </w:tr>
      <w:tr w14:paraId="43C90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15"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49E33CD7">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24</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34C1AE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蓄电池</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53C920">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564AF6D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1.蓄电池容量要求：12V200Ah，环境温度为25℃下，蓄电池设计浮充寿命≥10年。提供厂家盖章的产品彩页。</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2.★蓄电池尺寸要求：12V200Ah长≤522mm，宽≤240mm，高≤224mm；重量要求：12V200Ah≥53.5kg。</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3.蓄电池浮充电压：13.5～13.8V。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4.蓄电池均充电压：14.1～14.4V。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5.蓄电池应符合YD/T799-2010中第6.4条要求，外观无变形、漏液、裂纹及污迹，标识清晰；正、负极端子有明显标志，便于连接。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6.★为确保与UPS兼容性，避免在使用时出现售后服务认定纠纷，蓄电池与UPS须为同一品牌。</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7.★蓄电池必须备防漏液特性，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8.蓄电池阻燃性能应符合YD/T799-2010中第6.4条的要求。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9.蓄电池能承受50kPa的正压或负压而不破裂、不开胶，压力释放后电池壳体无残余变形。</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10.蓄电池充电过程中遇明火，内部不引燃、不引爆。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11.蓄电池在环境温度-30℃~＋65℃之间，封口剂无裂纹与溢流现象。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12.完全充电后的蓄电池以0.2I10A电流连续再充电4h，PH值应呈中性。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13.耐过充电能力：完全充电的电池以0.3I10A连续充电160h，无变形、无漏液。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14.★蓄电池恒压充电24h的再充电能力因素Rbf24h≥93.5%，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15.★蓄电池热失控敏感性要求：蓄电池温度应≤35℃，每24h的电流增长率≤15%，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16.★同组蓄电池10h率容量试验容量一致性时，最大实际容量与最小实际容量差值≤0.9%，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17.★蓄电池静置28天后容量保存率≥98.6%，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18.蓄电池以30I10放电3min，极柱不熔断、内部汇流排不熔断，外观不出现异常。</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19.★蓄电池密封反应率≥98.6%，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20.★蓄电池电池间连接电压降△U≤4mV，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21.蓄电池安全阀开阀压力10-20kPa，闭阀压力3-20kPa。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22.★蓄电池端电压均衡性要求：开路状态下，最高与最低差值应≤8mV；进入浮充状态24h后端电压差≤45mV；放电状态下，端电压差≤90mV，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23.★蓄电池在过度放电时容量恢复值≥98.5%，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24.★蓄电池同组内阻偏差应≤4%，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25.★蓄电池须具备优异的极板设计，提高充电效率，降低内阻压降，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26.投标蓄电池产品应具备泰尔认证，并提供厂家盖章的认证报告及认证证书;投标时需提供厂家盖章的项目授权书、售后服务承诺函、原厂供货证明原件。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2BB595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59A523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节</w:t>
            </w:r>
          </w:p>
        </w:tc>
      </w:tr>
      <w:tr w14:paraId="71796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299319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60BC86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蓄电池</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ECD6C3">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auto" w:sz="4" w:space="0"/>
              <w:right w:val="single" w:color="000000" w:sz="4" w:space="0"/>
            </w:tcBorders>
            <w:noWrap w:val="0"/>
            <w:vAlign w:val="center"/>
          </w:tcPr>
          <w:p w14:paraId="25E62EF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1.蓄电池容量要求：12V250Ah，环境温度为25℃下，蓄电池设计浮充寿命≥10年。提供厂家盖章的产品彩页。</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2.★蓄电池尺寸要求：12V250Ah长≤520mm，宽≤268mm，高≤225mm；重量要求：12V250Ah≥65kg。</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3.蓄电池浮充电压：13.5～13.8V。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4.蓄电池均充电压：14.1～14.4V。</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5.蓄电池应符合YD/T799-2010中第6.4条要求，外观无变形、漏液、裂纹及污迹，标识清晰；正、负极端子有明显标志，便于连接。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6.★为确保与UPS兼容性，避免在使用时出现售后服务认定纠纷，蓄电池与UPS须为同一品牌。</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7.★蓄电池必须备防漏液特性，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8.蓄电池阻燃性能应符合YD/T799-2010中第6.4条的要求。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9.蓄电池能承受50kPa的正压或负压而不破裂、不开胶，压力释放后电池壳体无残余变形。</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10.蓄电池充电过程中遇明火，内部不引燃、不引爆。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11.蓄电池在环境温度-30℃~＋65℃之间，封口剂无裂纹与溢流现象。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12.完全充电后的蓄电池以0.2I10A电流连续再充电4h，PH值应呈中性。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13.耐过充电能力：完全充电的电池以0.3I10A连续充电160h，无变形、无漏液。</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14.★蓄电池恒压充电24h的再充电能力因素Rbf24h≥93.5%，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15.★蓄电池热失控敏感性要求：蓄电池温度应≤35℃，每24h的电流增长率≤15%，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16.★同组蓄电池10h率容量试验容量一致性时，最大实际容量与最小实际容量差值≤0.9%，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17.★蓄电池静置28天后容量保存率≥98.6%，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18.蓄电池以30I10放电3min，极柱不熔断、内部汇流排不熔断，外观不出现异常。</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19.★蓄电池密封反应率≥98.6%，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20.★蓄电池电池间连接电压降△U≤4mV，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21.蓄电池安全阀开阀压力10-20kPa，闭阀压力3-20kPa。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22.★蓄电池端电压均衡性要求：开路状态下，最高与最低差值应≤8mV；进入浮充状态24h后端电压差≤45mV；放电状态下，端电压差≤90mV，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23.★蓄电池在过度放电时容量恢复值≥98.5%，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24.★蓄电池同组内阻偏差应≤4%，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25.★蓄电池须具备优异的极板设计，提高充电效率，降低内阻压降，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26.投标蓄电池产品应具备泰尔认证，并提供厂家盖章的认证报告及认证证书;投标时需提供厂家盖章的项目授权书、售后服务承诺函、原厂供货证明原件。</w:t>
            </w:r>
          </w:p>
        </w:tc>
        <w:tc>
          <w:tcPr>
            <w:tcW w:w="194" w:type="pct"/>
            <w:tcBorders>
              <w:top w:val="single" w:color="000000" w:sz="4" w:space="0"/>
              <w:left w:val="single" w:color="000000" w:sz="4" w:space="0"/>
              <w:bottom w:val="single" w:color="auto" w:sz="4" w:space="0"/>
              <w:right w:val="single" w:color="000000" w:sz="4" w:space="0"/>
            </w:tcBorders>
            <w:noWrap w:val="0"/>
            <w:vAlign w:val="center"/>
          </w:tcPr>
          <w:p w14:paraId="3DD459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5CF711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节</w:t>
            </w:r>
          </w:p>
        </w:tc>
      </w:tr>
      <w:tr w14:paraId="780C0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3196CD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187754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电池柜</w:t>
            </w:r>
          </w:p>
        </w:tc>
        <w:tc>
          <w:tcPr>
            <w:tcW w:w="309" w:type="pct"/>
            <w:vMerge w:val="restart"/>
            <w:tcBorders>
              <w:top w:val="single" w:color="000000" w:sz="4" w:space="0"/>
              <w:left w:val="single" w:color="000000" w:sz="4" w:space="0"/>
              <w:bottom w:val="single" w:color="000000" w:sz="4" w:space="0"/>
              <w:right w:val="single" w:color="auto" w:sz="4" w:space="0"/>
            </w:tcBorders>
            <w:noWrap w:val="0"/>
            <w:vAlign w:val="center"/>
          </w:tcPr>
          <w:p w14:paraId="79443C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电池柜</w:t>
            </w:r>
          </w:p>
        </w:tc>
        <w:tc>
          <w:tcPr>
            <w:tcW w:w="3413" w:type="pct"/>
            <w:tcBorders>
              <w:top w:val="single" w:color="auto" w:sz="4" w:space="0"/>
              <w:left w:val="single" w:color="auto" w:sz="4" w:space="0"/>
              <w:bottom w:val="single" w:color="auto" w:sz="4" w:space="0"/>
              <w:right w:val="single" w:color="auto" w:sz="4" w:space="0"/>
            </w:tcBorders>
            <w:noWrap w:val="0"/>
            <w:vAlign w:val="center"/>
          </w:tcPr>
          <w:p w14:paraId="41E1501B">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含隔离开关，标配2节 ≥2.5平方全铜连接线、冷轧钢材质</w:t>
            </w:r>
          </w:p>
        </w:tc>
        <w:tc>
          <w:tcPr>
            <w:tcW w:w="194" w:type="pct"/>
            <w:tcBorders>
              <w:top w:val="single" w:color="auto" w:sz="4" w:space="0"/>
              <w:left w:val="single" w:color="auto" w:sz="4" w:space="0"/>
              <w:bottom w:val="single" w:color="auto" w:sz="4" w:space="0"/>
              <w:right w:val="single" w:color="auto" w:sz="4" w:space="0"/>
            </w:tcBorders>
            <w:noWrap w:val="0"/>
            <w:vAlign w:val="center"/>
          </w:tcPr>
          <w:p w14:paraId="2DAF75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auto" w:sz="4" w:space="0"/>
              <w:bottom w:val="single" w:color="000000" w:sz="4" w:space="0"/>
              <w:right w:val="single" w:color="000000" w:sz="4" w:space="0"/>
            </w:tcBorders>
            <w:noWrap w:val="0"/>
            <w:vAlign w:val="center"/>
          </w:tcPr>
          <w:p w14:paraId="5C832C6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73B8A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28A6AD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27</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4D2EB5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电池柜</w:t>
            </w:r>
          </w:p>
        </w:tc>
        <w:tc>
          <w:tcPr>
            <w:tcW w:w="309" w:type="pct"/>
            <w:vMerge w:val="continue"/>
            <w:tcBorders>
              <w:top w:val="single" w:color="000000" w:sz="4" w:space="0"/>
              <w:left w:val="single" w:color="000000" w:sz="4" w:space="0"/>
              <w:bottom w:val="single" w:color="000000" w:sz="4" w:space="0"/>
              <w:right w:val="single" w:color="auto" w:sz="4" w:space="0"/>
            </w:tcBorders>
            <w:noWrap w:val="0"/>
            <w:vAlign w:val="center"/>
          </w:tcPr>
          <w:p w14:paraId="51897FBC">
            <w:pPr>
              <w:jc w:val="center"/>
              <w:rPr>
                <w:rFonts w:hint="eastAsia" w:ascii="仿宋" w:hAnsi="仿宋" w:eastAsia="仿宋" w:cs="仿宋"/>
                <w:i w:val="0"/>
                <w:iCs w:val="0"/>
                <w:color w:val="000000"/>
                <w:sz w:val="20"/>
                <w:szCs w:val="20"/>
                <w:u w:val="none"/>
              </w:rPr>
            </w:pPr>
          </w:p>
        </w:tc>
        <w:tc>
          <w:tcPr>
            <w:tcW w:w="3413" w:type="pct"/>
            <w:tcBorders>
              <w:top w:val="single" w:color="auto" w:sz="4" w:space="0"/>
              <w:left w:val="single" w:color="auto" w:sz="4" w:space="0"/>
              <w:bottom w:val="single" w:color="auto" w:sz="4" w:space="0"/>
              <w:right w:val="single" w:color="auto" w:sz="4" w:space="0"/>
            </w:tcBorders>
            <w:noWrap w:val="0"/>
            <w:vAlign w:val="center"/>
          </w:tcPr>
          <w:p w14:paraId="488CCB5B">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含隔离开关，标配3节 ≥2.5平方全铜连接线、冷轧钢材质</w:t>
            </w:r>
          </w:p>
        </w:tc>
        <w:tc>
          <w:tcPr>
            <w:tcW w:w="194" w:type="pct"/>
            <w:tcBorders>
              <w:top w:val="single" w:color="auto" w:sz="4" w:space="0"/>
              <w:left w:val="single" w:color="auto" w:sz="4" w:space="0"/>
              <w:bottom w:val="single" w:color="auto" w:sz="4" w:space="0"/>
              <w:right w:val="single" w:color="auto" w:sz="4" w:space="0"/>
            </w:tcBorders>
            <w:noWrap w:val="0"/>
            <w:vAlign w:val="center"/>
          </w:tcPr>
          <w:p w14:paraId="2823D8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auto" w:sz="4" w:space="0"/>
              <w:bottom w:val="single" w:color="000000" w:sz="4" w:space="0"/>
              <w:right w:val="single" w:color="000000" w:sz="4" w:space="0"/>
            </w:tcBorders>
            <w:noWrap w:val="0"/>
            <w:vAlign w:val="center"/>
          </w:tcPr>
          <w:p w14:paraId="5EA9DF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1EA00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7E7DAA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3003B0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电池柜</w:t>
            </w:r>
          </w:p>
        </w:tc>
        <w:tc>
          <w:tcPr>
            <w:tcW w:w="309" w:type="pct"/>
            <w:vMerge w:val="continue"/>
            <w:tcBorders>
              <w:top w:val="single" w:color="000000" w:sz="4" w:space="0"/>
              <w:left w:val="single" w:color="000000" w:sz="4" w:space="0"/>
              <w:bottom w:val="single" w:color="000000" w:sz="4" w:space="0"/>
              <w:right w:val="single" w:color="auto" w:sz="4" w:space="0"/>
            </w:tcBorders>
            <w:noWrap w:val="0"/>
            <w:vAlign w:val="center"/>
          </w:tcPr>
          <w:p w14:paraId="4C1437B5">
            <w:pPr>
              <w:jc w:val="center"/>
              <w:rPr>
                <w:rFonts w:hint="eastAsia" w:ascii="仿宋" w:hAnsi="仿宋" w:eastAsia="仿宋" w:cs="仿宋"/>
                <w:i w:val="0"/>
                <w:iCs w:val="0"/>
                <w:color w:val="000000"/>
                <w:sz w:val="20"/>
                <w:szCs w:val="20"/>
                <w:u w:val="none"/>
              </w:rPr>
            </w:pPr>
          </w:p>
        </w:tc>
        <w:tc>
          <w:tcPr>
            <w:tcW w:w="3413" w:type="pct"/>
            <w:tcBorders>
              <w:top w:val="single" w:color="auto" w:sz="4" w:space="0"/>
              <w:left w:val="single" w:color="auto" w:sz="4" w:space="0"/>
              <w:bottom w:val="single" w:color="auto" w:sz="4" w:space="0"/>
              <w:right w:val="single" w:color="auto" w:sz="4" w:space="0"/>
            </w:tcBorders>
            <w:noWrap w:val="0"/>
            <w:vAlign w:val="center"/>
          </w:tcPr>
          <w:p w14:paraId="679ED2C8">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含隔离开关，标配6节 ≥4平方全铜连接线、冷轧钢材质</w:t>
            </w:r>
          </w:p>
        </w:tc>
        <w:tc>
          <w:tcPr>
            <w:tcW w:w="194" w:type="pct"/>
            <w:tcBorders>
              <w:top w:val="single" w:color="auto" w:sz="4" w:space="0"/>
              <w:left w:val="single" w:color="auto" w:sz="4" w:space="0"/>
              <w:bottom w:val="single" w:color="auto" w:sz="4" w:space="0"/>
              <w:right w:val="single" w:color="auto" w:sz="4" w:space="0"/>
            </w:tcBorders>
            <w:noWrap w:val="0"/>
            <w:vAlign w:val="center"/>
          </w:tcPr>
          <w:p w14:paraId="5D1A6A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auto" w:sz="4" w:space="0"/>
              <w:bottom w:val="single" w:color="000000" w:sz="4" w:space="0"/>
              <w:right w:val="single" w:color="000000" w:sz="4" w:space="0"/>
            </w:tcBorders>
            <w:noWrap w:val="0"/>
            <w:vAlign w:val="center"/>
          </w:tcPr>
          <w:p w14:paraId="445278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77207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5A517E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29</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6EE1F8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电池柜</w:t>
            </w:r>
          </w:p>
        </w:tc>
        <w:tc>
          <w:tcPr>
            <w:tcW w:w="309" w:type="pct"/>
            <w:vMerge w:val="continue"/>
            <w:tcBorders>
              <w:top w:val="single" w:color="000000" w:sz="4" w:space="0"/>
              <w:left w:val="single" w:color="000000" w:sz="4" w:space="0"/>
              <w:bottom w:val="single" w:color="000000" w:sz="4" w:space="0"/>
              <w:right w:val="single" w:color="auto" w:sz="4" w:space="0"/>
            </w:tcBorders>
            <w:noWrap w:val="0"/>
            <w:vAlign w:val="center"/>
          </w:tcPr>
          <w:p w14:paraId="65B72058">
            <w:pPr>
              <w:jc w:val="center"/>
              <w:rPr>
                <w:rFonts w:hint="eastAsia" w:ascii="仿宋" w:hAnsi="仿宋" w:eastAsia="仿宋" w:cs="仿宋"/>
                <w:i w:val="0"/>
                <w:iCs w:val="0"/>
                <w:color w:val="000000"/>
                <w:sz w:val="20"/>
                <w:szCs w:val="20"/>
                <w:u w:val="none"/>
              </w:rPr>
            </w:pPr>
          </w:p>
        </w:tc>
        <w:tc>
          <w:tcPr>
            <w:tcW w:w="3413" w:type="pct"/>
            <w:tcBorders>
              <w:top w:val="single" w:color="auto" w:sz="4" w:space="0"/>
              <w:left w:val="single" w:color="auto" w:sz="4" w:space="0"/>
              <w:bottom w:val="single" w:color="auto" w:sz="4" w:space="0"/>
              <w:right w:val="single" w:color="auto" w:sz="4" w:space="0"/>
            </w:tcBorders>
            <w:noWrap w:val="0"/>
            <w:vAlign w:val="center"/>
          </w:tcPr>
          <w:p w14:paraId="4112A90F">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含隔离开关，标配8节 ≥6平方全铜连接线、冷轧钢材质</w:t>
            </w:r>
          </w:p>
        </w:tc>
        <w:tc>
          <w:tcPr>
            <w:tcW w:w="194" w:type="pct"/>
            <w:tcBorders>
              <w:top w:val="single" w:color="auto" w:sz="4" w:space="0"/>
              <w:left w:val="single" w:color="auto" w:sz="4" w:space="0"/>
              <w:bottom w:val="single" w:color="auto" w:sz="4" w:space="0"/>
              <w:right w:val="single" w:color="auto" w:sz="4" w:space="0"/>
            </w:tcBorders>
            <w:noWrap w:val="0"/>
            <w:vAlign w:val="center"/>
          </w:tcPr>
          <w:p w14:paraId="67C7AB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auto" w:sz="4" w:space="0"/>
              <w:bottom w:val="single" w:color="000000" w:sz="4" w:space="0"/>
              <w:right w:val="single" w:color="000000" w:sz="4" w:space="0"/>
            </w:tcBorders>
            <w:noWrap w:val="0"/>
            <w:vAlign w:val="center"/>
          </w:tcPr>
          <w:p w14:paraId="5505582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2B39F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1DB2A5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2172BE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电池柜</w:t>
            </w:r>
          </w:p>
        </w:tc>
        <w:tc>
          <w:tcPr>
            <w:tcW w:w="309" w:type="pct"/>
            <w:vMerge w:val="continue"/>
            <w:tcBorders>
              <w:top w:val="single" w:color="000000" w:sz="4" w:space="0"/>
              <w:left w:val="single" w:color="000000" w:sz="4" w:space="0"/>
              <w:bottom w:val="single" w:color="000000" w:sz="4" w:space="0"/>
              <w:right w:val="single" w:color="auto" w:sz="4" w:space="0"/>
            </w:tcBorders>
            <w:noWrap w:val="0"/>
            <w:vAlign w:val="center"/>
          </w:tcPr>
          <w:p w14:paraId="4B9BC4C7">
            <w:pPr>
              <w:jc w:val="center"/>
              <w:rPr>
                <w:rFonts w:hint="eastAsia" w:ascii="仿宋" w:hAnsi="仿宋" w:eastAsia="仿宋" w:cs="仿宋"/>
                <w:i w:val="0"/>
                <w:iCs w:val="0"/>
                <w:color w:val="000000"/>
                <w:sz w:val="20"/>
                <w:szCs w:val="20"/>
                <w:u w:val="none"/>
              </w:rPr>
            </w:pPr>
          </w:p>
        </w:tc>
        <w:tc>
          <w:tcPr>
            <w:tcW w:w="3413" w:type="pct"/>
            <w:tcBorders>
              <w:top w:val="single" w:color="auto" w:sz="4" w:space="0"/>
              <w:left w:val="single" w:color="auto" w:sz="4" w:space="0"/>
              <w:bottom w:val="single" w:color="auto" w:sz="4" w:space="0"/>
              <w:right w:val="single" w:color="auto" w:sz="4" w:space="0"/>
            </w:tcBorders>
            <w:noWrap w:val="0"/>
            <w:vAlign w:val="center"/>
          </w:tcPr>
          <w:p w14:paraId="6AC2E3E2">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含隔离开关，标配16节 ≥6平方全铜连接线、冷轧钢材质</w:t>
            </w:r>
          </w:p>
        </w:tc>
        <w:tc>
          <w:tcPr>
            <w:tcW w:w="194" w:type="pct"/>
            <w:tcBorders>
              <w:top w:val="single" w:color="auto" w:sz="4" w:space="0"/>
              <w:left w:val="single" w:color="auto" w:sz="4" w:space="0"/>
              <w:bottom w:val="single" w:color="auto" w:sz="4" w:space="0"/>
              <w:right w:val="single" w:color="auto" w:sz="4" w:space="0"/>
            </w:tcBorders>
            <w:noWrap w:val="0"/>
            <w:vAlign w:val="center"/>
          </w:tcPr>
          <w:p w14:paraId="66C9929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auto" w:sz="4" w:space="0"/>
              <w:bottom w:val="single" w:color="000000" w:sz="4" w:space="0"/>
              <w:right w:val="single" w:color="000000" w:sz="4" w:space="0"/>
            </w:tcBorders>
            <w:noWrap w:val="0"/>
            <w:vAlign w:val="center"/>
          </w:tcPr>
          <w:p w14:paraId="7B3066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15D24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6451CA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31</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78ED83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电池柜</w:t>
            </w:r>
          </w:p>
        </w:tc>
        <w:tc>
          <w:tcPr>
            <w:tcW w:w="309" w:type="pct"/>
            <w:vMerge w:val="continue"/>
            <w:tcBorders>
              <w:top w:val="single" w:color="000000" w:sz="4" w:space="0"/>
              <w:left w:val="single" w:color="000000" w:sz="4" w:space="0"/>
              <w:bottom w:val="single" w:color="000000" w:sz="4" w:space="0"/>
              <w:right w:val="single" w:color="auto" w:sz="4" w:space="0"/>
            </w:tcBorders>
            <w:noWrap w:val="0"/>
            <w:vAlign w:val="center"/>
          </w:tcPr>
          <w:p w14:paraId="2551D581">
            <w:pPr>
              <w:jc w:val="center"/>
              <w:rPr>
                <w:rFonts w:hint="eastAsia" w:ascii="仿宋" w:hAnsi="仿宋" w:eastAsia="仿宋" w:cs="仿宋"/>
                <w:i w:val="0"/>
                <w:iCs w:val="0"/>
                <w:color w:val="000000"/>
                <w:sz w:val="20"/>
                <w:szCs w:val="20"/>
                <w:u w:val="none"/>
              </w:rPr>
            </w:pPr>
          </w:p>
        </w:tc>
        <w:tc>
          <w:tcPr>
            <w:tcW w:w="3413" w:type="pct"/>
            <w:tcBorders>
              <w:top w:val="single" w:color="auto" w:sz="4" w:space="0"/>
              <w:left w:val="single" w:color="auto" w:sz="4" w:space="0"/>
              <w:bottom w:val="single" w:color="auto" w:sz="4" w:space="0"/>
              <w:right w:val="single" w:color="auto" w:sz="4" w:space="0"/>
            </w:tcBorders>
            <w:noWrap w:val="0"/>
            <w:vAlign w:val="center"/>
          </w:tcPr>
          <w:p w14:paraId="33484C4D">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含隔离开关，标配32节 ≥6平方全铜连接线、冷轧钢材质</w:t>
            </w:r>
          </w:p>
        </w:tc>
        <w:tc>
          <w:tcPr>
            <w:tcW w:w="194" w:type="pct"/>
            <w:tcBorders>
              <w:top w:val="single" w:color="auto" w:sz="4" w:space="0"/>
              <w:left w:val="single" w:color="auto" w:sz="4" w:space="0"/>
              <w:bottom w:val="single" w:color="auto" w:sz="4" w:space="0"/>
              <w:right w:val="single" w:color="auto" w:sz="4" w:space="0"/>
            </w:tcBorders>
            <w:noWrap w:val="0"/>
            <w:vAlign w:val="center"/>
          </w:tcPr>
          <w:p w14:paraId="0B5A5F4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auto" w:sz="4" w:space="0"/>
              <w:bottom w:val="single" w:color="000000" w:sz="4" w:space="0"/>
              <w:right w:val="single" w:color="000000" w:sz="4" w:space="0"/>
            </w:tcBorders>
            <w:noWrap w:val="0"/>
            <w:vAlign w:val="center"/>
          </w:tcPr>
          <w:p w14:paraId="56ACA9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5EA8D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4AD1C2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32</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5A894B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电池柜</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F12FBD">
            <w:pPr>
              <w:jc w:val="center"/>
              <w:rPr>
                <w:rFonts w:hint="eastAsia" w:ascii="仿宋" w:hAnsi="仿宋" w:eastAsia="仿宋" w:cs="仿宋"/>
                <w:i w:val="0"/>
                <w:iCs w:val="0"/>
                <w:color w:val="000000"/>
                <w:sz w:val="20"/>
                <w:szCs w:val="20"/>
                <w:u w:val="none"/>
              </w:rPr>
            </w:pPr>
          </w:p>
        </w:tc>
        <w:tc>
          <w:tcPr>
            <w:tcW w:w="3413" w:type="pct"/>
            <w:tcBorders>
              <w:top w:val="single" w:color="auto" w:sz="4" w:space="0"/>
              <w:left w:val="single" w:color="000000" w:sz="4" w:space="0"/>
              <w:bottom w:val="single" w:color="000000" w:sz="4" w:space="0"/>
              <w:right w:val="single" w:color="000000" w:sz="4" w:space="0"/>
            </w:tcBorders>
            <w:noWrap w:val="0"/>
            <w:vAlign w:val="center"/>
          </w:tcPr>
          <w:p w14:paraId="5DECDE00">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含隔离开关，标配40节 ≥6平方全铜连接线、冷轧钢材质</w:t>
            </w:r>
          </w:p>
        </w:tc>
        <w:tc>
          <w:tcPr>
            <w:tcW w:w="194" w:type="pct"/>
            <w:tcBorders>
              <w:top w:val="single" w:color="auto" w:sz="4" w:space="0"/>
              <w:left w:val="single" w:color="000000" w:sz="4" w:space="0"/>
              <w:bottom w:val="single" w:color="000000" w:sz="4" w:space="0"/>
              <w:right w:val="single" w:color="000000" w:sz="4" w:space="0"/>
            </w:tcBorders>
            <w:noWrap w:val="0"/>
            <w:vAlign w:val="center"/>
          </w:tcPr>
          <w:p w14:paraId="216010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1AA1CA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779C4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522A1C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33</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7145C6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电池柜</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94F3D2">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41CC9460">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含隔离开关，标配16节 ≥10平方全铜连接线、冷轧钢材质</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21CC07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6205DF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340D8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04E1E3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34</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673F0C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电池柜</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B1242C">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0CC4DD9F">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含隔离开关，标配32节 ≥10平方全铜连接线、冷轧钢材质</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389B67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5CD339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2F197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482F3A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35</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643ABD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电池柜</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5C4E15">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0AC2F51E">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含隔离开关，标配16节 ≥25平方全铜连接线、冷轧钢材质</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2519D6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790086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6F6A3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666AD8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36</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1F1F19F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电池柜</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D5452A">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22F2F4DF">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含隔离开关，标配32节 ≥25平方全铜连接线、冷轧钢材质</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7205FD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3F45BF5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7B782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4743CD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37</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1851C2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电池柜</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433336">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6F66800F">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含隔离开关，标配40节 ≥25平方全铜连接线、冷轧钢材质</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586B9A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3360E1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2A701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1D0D86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38</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055F74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一体机主机</w:t>
            </w:r>
          </w:p>
        </w:tc>
        <w:tc>
          <w:tcPr>
            <w:tcW w:w="309" w:type="pct"/>
            <w:vMerge w:val="restart"/>
            <w:tcBorders>
              <w:top w:val="single" w:color="000000" w:sz="4" w:space="0"/>
              <w:left w:val="single" w:color="000000" w:sz="4" w:space="0"/>
              <w:bottom w:val="single" w:color="000000" w:sz="4" w:space="0"/>
              <w:right w:val="single" w:color="000000" w:sz="4" w:space="0"/>
            </w:tcBorders>
            <w:noWrap w:val="0"/>
            <w:vAlign w:val="center"/>
          </w:tcPr>
          <w:p w14:paraId="443359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一体机主机</w:t>
            </w: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607206A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1、UPS设备须为高频塔式设计，双转换在线式，全数字化的控制技术，容量1kVA/1KW；标配内置蓄电池。  尺寸（宽×深×高mm）≥144x347x229mm。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2、输入电压范围：115VAC ～300 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3、输入频率范围：40Hz-70Hz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4、输出电压：220VAC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5、输出电压精度±1％；输出谐波失真&lt; 1%@线性满载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6、★输出功率因素：1</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7、输出插座：2*国标插座（10A)；充电电流1.5A；防护等级IP20。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8、过载能力强 ：≤ 105%, 持续工作并报警；105% ～125%, 10分钟转旁路并报警；125%  ～150%, 30秒转旁路并报警；&gt;150% , 100毫秒转旁路并报警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9、全新LCD屏幕+三色LED，实时监测，便捷操作，自动熄屏唤醒，杜绝光污染；可设置静音模式，关闭蜂鸣器减少报警音干扰；自动风扇转速调节，低转速模式满足图书馆一级静音标准。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10、UPS标配RS232通讯接口，支持多种智能通讯卡，适应各种监控管理需求。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11、★提供投标产品生产制造商针对本项目的授权书原件和质保服务承诺书原件。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12、★投标产品生产制造商应通过ISO9001质量管理体系认证、ISO14001环境管理体系认证、ISO45001职业健康安全管理体系认证，ISO50001能源管理体系认证，并提供有效期内的认证证书。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13、★投标产品生产制造商须具有5星级售后服务认证证书，提供证明文件。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14、★投标产品生产制造商应具备较强的研发能力，制造商所属研发部门/中心应具备由中国质量认证监督管理中心出具的鉴定认证资质证书，并提供相关证明文件。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009F50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71A58B0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1B254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178047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39</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72E292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一体机主机</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5D4509">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0FA29D8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1、UPS设备须为高频塔式设计，双转换在线式，全数字化的控制技术，容量2kVA/2KW；标配内置蓄电池。  尺寸（宽×深×高mm）≥190x391x297mm。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2、输入电压范围：115VAC ～300 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3、输入频率范围：40Hz-70Hz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4、输出电压：220VAC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5、输出电压精度±1％；输出谐波失真&lt; 1%@线性满载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6、★输出功率因素：1</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7、输出插座：4*国标插座（10A)；充电电流1.5A；防护等级IP20。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8、过载能力强 ：≤ 105%, 持续工作并报警；105% ～125%, 10分钟转旁路并报警；125%  ～150%, 30秒转旁路并报警；&gt;150% , 100毫秒转旁路并报警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9、全新LCD屏幕+三色LED，实时监测，便捷操作，自动熄屏唤醒，杜绝光污染；可设置静音模式，关闭蜂鸣器减少报警音干扰；自动风扇转速调节，低转速模式满足图书馆一级静音标准。</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10、UPS标配RS232通讯接口，支持多种智能通讯卡，适应各种监控管理需求。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11、★提供投标产品生产制造商针对本项目的授权书原件和质保服务承诺书原件。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12、★投标产品生产制造商应通过ISO9001质量管理体系认证、ISO14001环境管理体系认证、ISO45001职业健康安全管理体系认证，ISO50001能源管理体系认证，并提供有效期内的认证证书。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13、★投标产品生产制造商须具有5星级售后服务认证证书，提供证明文件。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14、★投标产品生产制造商应具备较强的研发能力，制造商所属研发部门/中心应具备由中国质量认证监督管理中心出具的鉴定认证资质证书，并提供相关证明文件。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0E2A2B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5B26C7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5B3DF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2"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0C0B61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40</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5B0709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一体机主机</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8D42DA">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6035DCC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1、UPS设备须为高频塔式设计，双转换在线式，全数字化的控制技术，容量2kVA/2KW；标配内置蓄电池。  尺寸（宽×深×高mm）≥190x391x297mm。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2、输入电压范围：115VAC ～300 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3、输入频率范围：40Hz-70Hz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4、输出电压：220VAC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5、输出电压精度±1％；输出谐波失真&lt; 1%@线性满载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6、输出功率因素：1</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7、输出插座：4*国标插座（10A)+端子排；充电电流1.5A；防护等级IP20。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8、过载能力强 ：≤ 105%, 持续工作并报警；105% ～125%, 10分钟转旁路并报警；125%  ～150%, 30秒转旁路并报警；&gt;150% , 100毫秒转旁路并报警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全新LCD屏幕+三色LED，实时监测，便捷操作，自动熄屏唤醒，杜绝光污染；可设置静音模式，关闭蜂鸣器减少报警音干扰；自动风扇转速调节，低转速模式满足图书馆一级静音标准，提供产品彩页盖章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10、UPS标配RS232通讯接口，支持多种智能通讯卡，适应各种监控管理需求。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11、★提供投标产品生产制造商针对本项目的授权书原件和质保服务承诺书原件。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12、★投标产品生产制造商应通过ISO9001质量管理体系认证、ISO14001环境管理体系认证、ISO45001职业健康安全管理体系认证，ISO50001能源管理体系认证，并提供有效期内的认证证书。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13、★投标产品生产制造商须具有5星级售后服务认证证书，提供证明文件。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14、★投标产品生产制造商应具备较强的研发能力，制造商所属研发部门/中心应具备由中国质量认证监督管理中心出具的鉴定认证资质证书，并提供相关证明文件。</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095ADB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4B26DE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22C96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0041D8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41</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1F4BDA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一体机主机</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ABD75D">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7775E4A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1、UPS设备须为高频塔式设计，采用DSP全数字化的控制技术，双转换在线式，容量6KVA。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2、★采用LCD大屏液晶+LED指示灯双显示操作面板，能够同时提供图形显示和数字显示，适合使用者查看状态、数据和进行操作控制。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3、UPS具有来电自启功能:电池耗尽自动关机，并且在市电恢复后，UPS能够自动开机（即自启动）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4、输入电压范围：120VAC～275 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5、输入频率范围：40Hz-70Hz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6、输出电压：220VAC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7、输出电压稳压精度±1％；输出谐波失真&lt;4%（非线性负载）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8、输入功率因素：≧0.99</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9、UPS具备超强的过载能力：10min @ 105%-125% 负载，30s @ 125%-150% 负载，0.5s @ &gt;150%负载。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10、UPS整机效率：100%负载效率≥94%；ECO模式≥98%。</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11、★UPS标配输入开关，输入开关需采用国际一线品牌，如施耐德，ABB，伊顿。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UPS应标配RS232通讯接口，且具备优异的智能扩展功能，通过选配监控卡：NMC网卡（远程监控及管理）、485接口卡、USB卡、干结点卡，搭配智能卡槽，实现本地或网络监控管理，也可以兼容并接入第三方环控系统。</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13、★提供投标产品生产制造商针对本项目的授权书原件和质保服务承诺书原件。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14、★投标产品生产制造商应通过ISO9001质量管理体系认证、ISO14001环境管理体系认证、ISO45001职业健康安全管理体系认证，ISO50001能源管理体系认证，并提供有效期内的认证证书。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15、★投标产品生产制造商须具有5星级售后服务认证证书，提供证明文件。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16、★投标产品生产制造商应具备较强的研发能力，制造商所属研发部门/中心应具备由中国质量认证监督管理中心出具的鉴定认证资质证书，并提供相关证明文件。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17、  尺寸（宽×深×高mm）≥212x500x420mm。</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6ACD1E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75B4610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445A2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0A30F2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42</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280A87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一体机主机</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05A436">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551D320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1、UPS设备须为高频塔式设计，采用DSP全数字化的控制技术，双转换在线式，容量10KVA。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2、采用LCD大屏液晶+LED指示灯双显示操作面板，能够同时提供图形显示和数字显示，适合使用者查看状态、数据和进行操作控制。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3、UPS具有来电自启功能:电池耗尽自动关机，并且在市电恢复后，UPS能够自动开机（即自启动）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4、输入电压范围：120VAC～275 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5、输入频率范围：40Hz-70Hz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6、输出电压：220VAC</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7、输出电压稳压精度±1％；输出谐波失真&lt;4%（非线性负载）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8、输入功率因素：≧0.99</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9、UPS具备超强的过载能力：10min @ 105%-125% 负载，30s @ 125%-150% 负载，0.5s @ &gt;150%负载。</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10、UPS整机效率：100%负载效率≥94%；ECO模式≥98%。</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11、UPS标配输入开关，输入开关需采用国际一线品牌，如施耐德，ABB，伊顿。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UPS应标配RS232通讯接口，且具备优异的智能扩展功能，通过选配监控卡：NMC网卡（远程监控及管理）、485接口卡、USB卡、干结点卡，搭配智能卡槽，实现本地或网络监控管理，也可以兼容并接入第三方环控系统。</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13、★提供投标产品生产制造商针对本项目的授权书原件和质保服务承诺书原件。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14、★投标产品生产制造商应通过ISO9001质量管理体系认证、ISO14001环境管理体系认证、ISO45001职业健康安全管理体系认证，ISO50001能源管理体系认证，并提供有效期内的认证证书。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15、★投标产品生产制造商须具有5星级售后服务认证证书，提供证明文件。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16、★投标产品生产制造商应具备较强的研发能力，制造商所属研发部门/中心应具备由中国质量认证监督管理中心出具的鉴定认证资质证书，并提供相关证明文件。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17、  尺寸（宽×深×高mm）≥212x500x420mm。</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2364E1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64A0C6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756B5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5E63E2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43</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55A777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一体机电池</w:t>
            </w:r>
          </w:p>
        </w:tc>
        <w:tc>
          <w:tcPr>
            <w:tcW w:w="309" w:type="pct"/>
            <w:vMerge w:val="restart"/>
            <w:tcBorders>
              <w:top w:val="single" w:color="000000" w:sz="4" w:space="0"/>
              <w:left w:val="single" w:color="000000" w:sz="4" w:space="0"/>
              <w:bottom w:val="single" w:color="000000" w:sz="4" w:space="0"/>
              <w:right w:val="single" w:color="000000" w:sz="4" w:space="0"/>
            </w:tcBorders>
            <w:noWrap w:val="0"/>
            <w:vAlign w:val="center"/>
          </w:tcPr>
          <w:p w14:paraId="12690BC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一体机主机 电池</w:t>
            </w: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229CAD0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1、容量：阀控式密封免维护铅酸蓄电池，单节电池额定电压12V，额定容量：9Ah。尺寸≥151*65*93.5mm（长宽高）</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0F2D1E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1E38F4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节</w:t>
            </w:r>
          </w:p>
        </w:tc>
      </w:tr>
      <w:tr w14:paraId="239E5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41D8F0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44</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10BACD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一体机电池</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E17E44">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7E3EAA4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1、容量：阀控式密封免维护铅酸蓄电池，单节电池额定电压12V，额定容量：7Ah。尺寸≥151*65*93.5mm（长宽高）</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5F5CD3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70D5D9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节</w:t>
            </w:r>
          </w:p>
        </w:tc>
      </w:tr>
      <w:tr w14:paraId="1A396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655F88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45</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534DC2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PFC模块</w:t>
            </w:r>
          </w:p>
        </w:tc>
        <w:tc>
          <w:tcPr>
            <w:tcW w:w="309" w:type="pct"/>
            <w:vMerge w:val="restart"/>
            <w:tcBorders>
              <w:top w:val="single" w:color="000000" w:sz="4" w:space="0"/>
              <w:left w:val="single" w:color="000000" w:sz="4" w:space="0"/>
              <w:bottom w:val="single" w:color="000000" w:sz="4" w:space="0"/>
              <w:right w:val="single" w:color="000000" w:sz="4" w:space="0"/>
            </w:tcBorders>
            <w:noWrap w:val="0"/>
            <w:vAlign w:val="center"/>
          </w:tcPr>
          <w:p w14:paraId="4AF53E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维修配件</w:t>
            </w: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62E566F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PFC模块，兼容UPS不间断电源主机，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4ECDB4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2746EF0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06AD4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7AA002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46</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5D2503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输入输出总保险</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F2B575">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3DC2E84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输入保险丝，兼容UPS不间断电源主机，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059CD2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677DA3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594BB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6FAD26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47</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734287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输入静态开关驱动板</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6CB07F">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64318B6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输入静态开关驱动板，兼容UPS不间断电源主机.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658FB1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3B2FA3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r>
      <w:tr w14:paraId="65E03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518BBC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48</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67A08F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输出静态开关驱动板</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918C5E">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2111F8E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输出静态开关驱动板，兼容UPS不间断电源主机，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06E441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2EF645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r>
      <w:tr w14:paraId="60C74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23513B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49</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1ABB0C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静态开关</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850DCB">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572D3B8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静态开关，兼容UPS不间断电源主机，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7C507C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19739A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5DB15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3053C1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0934FD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充电直流保险</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EAA18F">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46875A6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充电直流保险，兼容UPS不间断电源主机，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5839EB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776688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r>
      <w:tr w14:paraId="4C462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3F8752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51</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3C45D7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10A保险</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5A2CA4">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5D52B86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10A保险，兼容UPS不间断电源主机，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358451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37CA7C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2F7BD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1A31BF0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52</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0B86612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4A保险</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815E81">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18B904F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4A保险，兼容UPS不间断电源主机，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4011FC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086145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77A41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445F00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53</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75E302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1A保险</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15994B">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6E7F465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1A保险，兼容UPS不间断电源主机，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3989DF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096FD4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46556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07CC09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54</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711C04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霍尔LEM</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75C139">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3F799BE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霍尔LEM，兼容UPS不间断电源主机，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28000F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2955B3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39BCC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2B0426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55</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506788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整流逆变风扇</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0F70B8">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1A4E754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整流逆变风扇，兼容UPS不间断电源主机，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0964F3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22E7E6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0CBDD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083E63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56</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1B8DB8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薄膜电容</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38D05B">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725EFA3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073E10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472F76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683DA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3F39B0B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57</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3AE8CF8A">
            <w:pPr>
              <w:keepNext w:val="0"/>
              <w:keepLines w:val="0"/>
              <w:widowControl/>
              <w:suppressLineNumbers w:val="0"/>
              <w:jc w:val="center"/>
              <w:textAlignment w:val="center"/>
              <w:rPr>
                <w:rFonts w:hint="eastAsia" w:ascii="仿宋" w:hAnsi="仿宋" w:eastAsia="仿宋" w:cs="仿宋"/>
                <w:i w:val="0"/>
                <w:iCs w:val="0"/>
                <w:color w:val="538DD5"/>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母线电容</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EE2F69">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04950CAE">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05C786A6">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0E3A5C7C">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个</w:t>
            </w:r>
          </w:p>
        </w:tc>
      </w:tr>
      <w:tr w14:paraId="58C07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7CDC84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58</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02CB1F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IGBT（逆变部分的功率器件）</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A037D8">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2F517BB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6C8CEC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51407A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05BFA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15F472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59</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096937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功率控制主板</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320827">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6167A96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6A4EAF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643E974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4E62E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32E7C0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60</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0BE9F4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市电整流主板</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C25A98">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676DE22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122280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2229CA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19486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28D341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61</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254C86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电池整流主板</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64A209">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5BBE5D1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309268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08FFF3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36D79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623A91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62</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26F06B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市电逆变主板</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1DE665">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00D1156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40CC655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282FB9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7E2EB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446450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63</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06CBF3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功率控制主板</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F81667">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726A32F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472CC2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2BD6727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5FD23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21D6B9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64</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71C5501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充电板</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CF5D16">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47A985C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75F527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74C898D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1572C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14:paraId="73914B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65</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68B4AD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充电板控制板</w:t>
            </w:r>
          </w:p>
        </w:tc>
        <w:tc>
          <w:tcPr>
            <w:tcW w:w="3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59525B">
            <w:pPr>
              <w:jc w:val="center"/>
              <w:rPr>
                <w:rFonts w:hint="eastAsia" w:ascii="仿宋" w:hAnsi="仿宋" w:eastAsia="仿宋" w:cs="仿宋"/>
                <w:i w:val="0"/>
                <w:iCs w:val="0"/>
                <w:color w:val="000000"/>
                <w:sz w:val="20"/>
                <w:szCs w:val="20"/>
                <w:u w:val="none"/>
              </w:rPr>
            </w:pPr>
          </w:p>
        </w:tc>
        <w:tc>
          <w:tcPr>
            <w:tcW w:w="3413" w:type="pct"/>
            <w:tcBorders>
              <w:top w:val="single" w:color="000000" w:sz="4" w:space="0"/>
              <w:left w:val="single" w:color="000000" w:sz="4" w:space="0"/>
              <w:bottom w:val="single" w:color="000000" w:sz="4" w:space="0"/>
              <w:right w:val="single" w:color="000000" w:sz="4" w:space="0"/>
            </w:tcBorders>
            <w:noWrap w:val="0"/>
            <w:vAlign w:val="center"/>
          </w:tcPr>
          <w:p w14:paraId="14E8C9B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兼容UPS不间断电源主机，</w:t>
            </w:r>
          </w:p>
        </w:tc>
        <w:tc>
          <w:tcPr>
            <w:tcW w:w="194" w:type="pct"/>
            <w:tcBorders>
              <w:top w:val="single" w:color="000000" w:sz="4" w:space="0"/>
              <w:left w:val="single" w:color="000000" w:sz="4" w:space="0"/>
              <w:bottom w:val="single" w:color="000000" w:sz="4" w:space="0"/>
              <w:right w:val="single" w:color="000000" w:sz="4" w:space="0"/>
            </w:tcBorders>
            <w:noWrap w:val="0"/>
            <w:vAlign w:val="center"/>
          </w:tcPr>
          <w:p w14:paraId="6C5CD6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24" w:type="pct"/>
            <w:tcBorders>
              <w:top w:val="single" w:color="000000" w:sz="4" w:space="0"/>
              <w:left w:val="single" w:color="000000" w:sz="4" w:space="0"/>
              <w:bottom w:val="single" w:color="000000" w:sz="4" w:space="0"/>
              <w:right w:val="single" w:color="000000" w:sz="4" w:space="0"/>
            </w:tcBorders>
            <w:noWrap w:val="0"/>
            <w:vAlign w:val="center"/>
          </w:tcPr>
          <w:p w14:paraId="1683508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r>
      <w:tr w14:paraId="1CED2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4580" w:type="pct"/>
            <w:gridSpan w:val="4"/>
            <w:tcBorders>
              <w:top w:val="single" w:color="000000" w:sz="4" w:space="0"/>
              <w:left w:val="single" w:color="000000" w:sz="4" w:space="0"/>
              <w:bottom w:val="single" w:color="000000" w:sz="4" w:space="0"/>
              <w:right w:val="single" w:color="000000" w:sz="4" w:space="0"/>
            </w:tcBorders>
            <w:noWrap w:val="0"/>
            <w:vAlign w:val="center"/>
          </w:tcPr>
          <w:p w14:paraId="2DF53F5E">
            <w:pPr>
              <w:keepNext w:val="0"/>
              <w:keepLines w:val="0"/>
              <w:widowControl/>
              <w:suppressLineNumbers w:val="0"/>
              <w:jc w:val="righ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单价合计（元）：</w:t>
            </w:r>
          </w:p>
        </w:tc>
        <w:tc>
          <w:tcPr>
            <w:tcW w:w="419" w:type="pct"/>
            <w:gridSpan w:val="2"/>
            <w:tcBorders>
              <w:top w:val="single" w:color="000000" w:sz="4" w:space="0"/>
              <w:left w:val="single" w:color="000000" w:sz="4" w:space="0"/>
              <w:bottom w:val="single" w:color="000000" w:sz="4" w:space="0"/>
              <w:right w:val="single" w:color="000000" w:sz="4" w:space="0"/>
            </w:tcBorders>
            <w:noWrap w:val="0"/>
            <w:vAlign w:val="center"/>
          </w:tcPr>
          <w:p w14:paraId="06FA187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r>
    </w:tbl>
    <w:p w14:paraId="32F05183">
      <w:pPr>
        <w:pStyle w:val="12"/>
        <w:keepNext w:val="0"/>
        <w:keepLines w:val="0"/>
        <w:pageBreakBefore w:val="0"/>
        <w:kinsoku/>
        <w:wordWrap/>
        <w:overflowPunct/>
        <w:topLinePunct w:val="0"/>
        <w:autoSpaceDE/>
        <w:autoSpaceDN/>
        <w:bidi w:val="0"/>
        <w:adjustRightInd/>
        <w:snapToGrid/>
        <w:spacing w:line="440" w:lineRule="exact"/>
        <w:ind w:left="0" w:leftChars="0" w:firstLine="0" w:firstLineChars="0"/>
        <w:rPr>
          <w:rFonts w:hint="default"/>
          <w:color w:val="auto"/>
          <w:highlight w:val="none"/>
          <w:lang w:val="en-US" w:eastAsia="zh-CN"/>
        </w:rPr>
      </w:pPr>
    </w:p>
    <w:sectPr>
      <w:pgSz w:w="11906" w:h="16838"/>
      <w:pgMar w:top="1440" w:right="1417" w:bottom="144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1BD9D4BE-5960-4B28-AB47-236C841546EC}"/>
  </w:font>
  <w:font w:name="方正公文小标宋">
    <w:panose1 w:val="02000500000000000000"/>
    <w:charset w:val="86"/>
    <w:family w:val="auto"/>
    <w:pitch w:val="default"/>
    <w:sig w:usb0="A00002BF" w:usb1="38CF7CFA" w:usb2="00000016" w:usb3="00000000" w:csb0="00040001" w:csb1="00000000"/>
    <w:embedRegular r:id="rId2" w:fontKey="{C4B5B9BD-7ED7-40B1-AD56-DCC5C028728F}"/>
  </w:font>
  <w:font w:name="仿宋_GB2312">
    <w:panose1 w:val="02010609030101010101"/>
    <w:charset w:val="86"/>
    <w:family w:val="auto"/>
    <w:pitch w:val="default"/>
    <w:sig w:usb0="00000001" w:usb1="080E0000" w:usb2="00000000" w:usb3="00000000" w:csb0="00040000" w:csb1="00000000"/>
    <w:embedRegular r:id="rId3" w:fontKey="{63732D68-86EF-4756-9052-9189454B4CDF}"/>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5F2E8C"/>
    <w:multiLevelType w:val="singleLevel"/>
    <w:tmpl w:val="BA5F2E8C"/>
    <w:lvl w:ilvl="0" w:tentative="0">
      <w:start w:val="4"/>
      <w:numFmt w:val="decimal"/>
      <w:lvlText w:val="%1."/>
      <w:lvlJc w:val="left"/>
      <w:pPr>
        <w:tabs>
          <w:tab w:val="left" w:pos="312"/>
        </w:tabs>
      </w:pPr>
    </w:lvl>
  </w:abstractNum>
  <w:abstractNum w:abstractNumId="1">
    <w:nsid w:val="CE68C899"/>
    <w:multiLevelType w:val="singleLevel"/>
    <w:tmpl w:val="CE68C899"/>
    <w:lvl w:ilvl="0" w:tentative="0">
      <w:start w:val="1"/>
      <w:numFmt w:val="decimal"/>
      <w:lvlText w:val="%1."/>
      <w:lvlJc w:val="left"/>
      <w:pPr>
        <w:tabs>
          <w:tab w:val="left" w:pos="312"/>
        </w:tabs>
      </w:pPr>
    </w:lvl>
  </w:abstractNum>
  <w:abstractNum w:abstractNumId="2">
    <w:nsid w:val="EB8F9FF1"/>
    <w:multiLevelType w:val="singleLevel"/>
    <w:tmpl w:val="EB8F9FF1"/>
    <w:lvl w:ilvl="0" w:tentative="0">
      <w:start w:val="8"/>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iZGY4YTJjNTMyY2VmNjgwMmU5MmJkM2U0ZDJjNmUifQ=="/>
  </w:docVars>
  <w:rsids>
    <w:rsidRoot w:val="53C91D89"/>
    <w:rsid w:val="010951A7"/>
    <w:rsid w:val="029006F1"/>
    <w:rsid w:val="031948CF"/>
    <w:rsid w:val="03435C52"/>
    <w:rsid w:val="041744FB"/>
    <w:rsid w:val="042621F8"/>
    <w:rsid w:val="047E1FB9"/>
    <w:rsid w:val="05B0028B"/>
    <w:rsid w:val="05BA2C41"/>
    <w:rsid w:val="05C74289"/>
    <w:rsid w:val="06175915"/>
    <w:rsid w:val="061E3F1F"/>
    <w:rsid w:val="063C561F"/>
    <w:rsid w:val="06D663A6"/>
    <w:rsid w:val="07664AA9"/>
    <w:rsid w:val="084A2727"/>
    <w:rsid w:val="085A74C3"/>
    <w:rsid w:val="09280A33"/>
    <w:rsid w:val="0A5D4A05"/>
    <w:rsid w:val="0A7C31B8"/>
    <w:rsid w:val="0AA01CBB"/>
    <w:rsid w:val="0AD409A0"/>
    <w:rsid w:val="0BF66110"/>
    <w:rsid w:val="0C29450A"/>
    <w:rsid w:val="0D052F8B"/>
    <w:rsid w:val="0D0802C8"/>
    <w:rsid w:val="0D6855F7"/>
    <w:rsid w:val="0DEC388F"/>
    <w:rsid w:val="0DFB3956"/>
    <w:rsid w:val="0E1F0604"/>
    <w:rsid w:val="0F9A511E"/>
    <w:rsid w:val="0FD86801"/>
    <w:rsid w:val="103A085F"/>
    <w:rsid w:val="10AF24C5"/>
    <w:rsid w:val="11424D1C"/>
    <w:rsid w:val="11634099"/>
    <w:rsid w:val="12437AFC"/>
    <w:rsid w:val="128571E5"/>
    <w:rsid w:val="139F4F81"/>
    <w:rsid w:val="158A71B2"/>
    <w:rsid w:val="16A95DCF"/>
    <w:rsid w:val="171C1FFC"/>
    <w:rsid w:val="17AA5816"/>
    <w:rsid w:val="17CB6A54"/>
    <w:rsid w:val="17E270DF"/>
    <w:rsid w:val="17F07302"/>
    <w:rsid w:val="180A2974"/>
    <w:rsid w:val="19AB7B33"/>
    <w:rsid w:val="1B554E0A"/>
    <w:rsid w:val="1B5F233C"/>
    <w:rsid w:val="1C52663A"/>
    <w:rsid w:val="1CBE4E69"/>
    <w:rsid w:val="1E1D2544"/>
    <w:rsid w:val="1F7B2D1C"/>
    <w:rsid w:val="1F872BF6"/>
    <w:rsid w:val="1FBD62B1"/>
    <w:rsid w:val="20B16B03"/>
    <w:rsid w:val="210020D3"/>
    <w:rsid w:val="219B01F8"/>
    <w:rsid w:val="21A07DC1"/>
    <w:rsid w:val="22E362D2"/>
    <w:rsid w:val="262B09C2"/>
    <w:rsid w:val="2652710E"/>
    <w:rsid w:val="26D52249"/>
    <w:rsid w:val="28865645"/>
    <w:rsid w:val="29D370F6"/>
    <w:rsid w:val="29DB7FCA"/>
    <w:rsid w:val="2A7C7346"/>
    <w:rsid w:val="2C022C0C"/>
    <w:rsid w:val="2CB404AC"/>
    <w:rsid w:val="2CDF3794"/>
    <w:rsid w:val="2DC82F69"/>
    <w:rsid w:val="2E786928"/>
    <w:rsid w:val="2E852EAB"/>
    <w:rsid w:val="2F2346EA"/>
    <w:rsid w:val="2FC63D74"/>
    <w:rsid w:val="30D0413E"/>
    <w:rsid w:val="31040C94"/>
    <w:rsid w:val="314E6CB4"/>
    <w:rsid w:val="31F22A68"/>
    <w:rsid w:val="33FA1292"/>
    <w:rsid w:val="34272BB6"/>
    <w:rsid w:val="34D91454"/>
    <w:rsid w:val="35AC53AF"/>
    <w:rsid w:val="36692286"/>
    <w:rsid w:val="37342795"/>
    <w:rsid w:val="3892483F"/>
    <w:rsid w:val="3B36382A"/>
    <w:rsid w:val="3D603D92"/>
    <w:rsid w:val="3E2C4BB7"/>
    <w:rsid w:val="3F664045"/>
    <w:rsid w:val="40012417"/>
    <w:rsid w:val="40D46D12"/>
    <w:rsid w:val="4172433C"/>
    <w:rsid w:val="417D3E89"/>
    <w:rsid w:val="419A0FA7"/>
    <w:rsid w:val="41AF15C1"/>
    <w:rsid w:val="421C47E7"/>
    <w:rsid w:val="4233749A"/>
    <w:rsid w:val="42764332"/>
    <w:rsid w:val="42B208A8"/>
    <w:rsid w:val="43895890"/>
    <w:rsid w:val="44E1092B"/>
    <w:rsid w:val="45085EB8"/>
    <w:rsid w:val="45960004"/>
    <w:rsid w:val="46F86693"/>
    <w:rsid w:val="47A37881"/>
    <w:rsid w:val="47EE5F11"/>
    <w:rsid w:val="47F24951"/>
    <w:rsid w:val="481E5360"/>
    <w:rsid w:val="485C4F2C"/>
    <w:rsid w:val="489B4B75"/>
    <w:rsid w:val="49634BF7"/>
    <w:rsid w:val="4A1F5604"/>
    <w:rsid w:val="4D1B00DF"/>
    <w:rsid w:val="4D2B75ED"/>
    <w:rsid w:val="4FF57096"/>
    <w:rsid w:val="50E85F0B"/>
    <w:rsid w:val="52F3051F"/>
    <w:rsid w:val="53C91D89"/>
    <w:rsid w:val="54F21A55"/>
    <w:rsid w:val="55617B80"/>
    <w:rsid w:val="56173FB4"/>
    <w:rsid w:val="561D501A"/>
    <w:rsid w:val="56515FE9"/>
    <w:rsid w:val="56E82B5C"/>
    <w:rsid w:val="58B00BD1"/>
    <w:rsid w:val="59666F1C"/>
    <w:rsid w:val="5A447D2A"/>
    <w:rsid w:val="5B3F6E48"/>
    <w:rsid w:val="5C513B96"/>
    <w:rsid w:val="5C9F2BA9"/>
    <w:rsid w:val="5CB3223D"/>
    <w:rsid w:val="5CEF488A"/>
    <w:rsid w:val="5D1C4747"/>
    <w:rsid w:val="5E1C4D4D"/>
    <w:rsid w:val="5E40418F"/>
    <w:rsid w:val="5F442227"/>
    <w:rsid w:val="607F7AD3"/>
    <w:rsid w:val="60BD7193"/>
    <w:rsid w:val="618B6BCB"/>
    <w:rsid w:val="623A7395"/>
    <w:rsid w:val="627438C2"/>
    <w:rsid w:val="62C20C77"/>
    <w:rsid w:val="63814B5D"/>
    <w:rsid w:val="642D4911"/>
    <w:rsid w:val="680C7FB1"/>
    <w:rsid w:val="68294EFC"/>
    <w:rsid w:val="6A9B7D71"/>
    <w:rsid w:val="6AE954B5"/>
    <w:rsid w:val="6BA044C1"/>
    <w:rsid w:val="6BE739D3"/>
    <w:rsid w:val="6C007039"/>
    <w:rsid w:val="6C775AF2"/>
    <w:rsid w:val="6E044D35"/>
    <w:rsid w:val="6E5E469C"/>
    <w:rsid w:val="6F0453DE"/>
    <w:rsid w:val="6F250725"/>
    <w:rsid w:val="6F395FEB"/>
    <w:rsid w:val="71563A45"/>
    <w:rsid w:val="717766ED"/>
    <w:rsid w:val="724E32D1"/>
    <w:rsid w:val="72625B8C"/>
    <w:rsid w:val="730F2834"/>
    <w:rsid w:val="73BB4BC8"/>
    <w:rsid w:val="74607426"/>
    <w:rsid w:val="74C13C0D"/>
    <w:rsid w:val="751C4E89"/>
    <w:rsid w:val="76C91732"/>
    <w:rsid w:val="77DD02F3"/>
    <w:rsid w:val="78A05FEB"/>
    <w:rsid w:val="79562EED"/>
    <w:rsid w:val="7A427EF2"/>
    <w:rsid w:val="7AC124B5"/>
    <w:rsid w:val="7AF9322A"/>
    <w:rsid w:val="7B161079"/>
    <w:rsid w:val="7B4135C8"/>
    <w:rsid w:val="7B6660C0"/>
    <w:rsid w:val="7B7D10C7"/>
    <w:rsid w:val="7BCF407C"/>
    <w:rsid w:val="7C60679C"/>
    <w:rsid w:val="7C8B1F44"/>
    <w:rsid w:val="7CAF0D43"/>
    <w:rsid w:val="7CC12FE9"/>
    <w:rsid w:val="7CDB5105"/>
    <w:rsid w:val="7CED43DB"/>
    <w:rsid w:val="7D0A0C4E"/>
    <w:rsid w:val="7D350965"/>
    <w:rsid w:val="7D996146"/>
    <w:rsid w:val="7DBC3A33"/>
    <w:rsid w:val="7DFD69D9"/>
    <w:rsid w:val="7E6C177D"/>
    <w:rsid w:val="7EBE43C7"/>
    <w:rsid w:val="7FE660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Courier New" w:eastAsiaTheme="minorEastAsia" w:cstheme="minorBidi"/>
      <w:kern w:val="2"/>
      <w:sz w:val="21"/>
      <w:szCs w:val="22"/>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index 8"/>
    <w:basedOn w:val="1"/>
    <w:next w:val="1"/>
    <w:qFormat/>
    <w:uiPriority w:val="0"/>
    <w:pPr>
      <w:ind w:left="0" w:leftChars="0"/>
      <w:jc w:val="left"/>
    </w:pPr>
    <w:rPr>
      <w:rFonts w:ascii="Times New Roman" w:hAnsi="Times New Roman"/>
    </w:rPr>
  </w:style>
  <w:style w:type="paragraph" w:styleId="3">
    <w:name w:val="annotation text"/>
    <w:basedOn w:val="1"/>
    <w:unhideWhenUsed/>
    <w:qFormat/>
    <w:uiPriority w:val="0"/>
    <w:pPr>
      <w:jc w:val="left"/>
    </w:pPr>
  </w:style>
  <w:style w:type="paragraph" w:styleId="4">
    <w:name w:val="Body Text"/>
    <w:basedOn w:val="1"/>
    <w:next w:val="1"/>
    <w:qFormat/>
    <w:uiPriority w:val="0"/>
    <w:pPr>
      <w:spacing w:line="380" w:lineRule="exact"/>
    </w:pPr>
    <w:rPr>
      <w:rFonts w:ascii="Times New Roman" w:hAnsi="Times New Roman" w:eastAsia="宋体" w:cs="Times New Roman"/>
      <w:sz w:val="24"/>
      <w:szCs w:val="24"/>
    </w:rPr>
  </w:style>
  <w:style w:type="paragraph" w:styleId="5">
    <w:name w:val="Plain Text"/>
    <w:basedOn w:val="1"/>
    <w:qFormat/>
    <w:uiPriority w:val="0"/>
    <w:rPr>
      <w:rFonts w:ascii="宋体" w:hAnsi="Courier New"/>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_Style 1"/>
    <w:basedOn w:val="1"/>
    <w:qFormat/>
    <w:uiPriority w:val="34"/>
    <w:pPr>
      <w:ind w:firstLine="420" w:firstLineChars="200"/>
    </w:pPr>
    <w:rPr>
      <w:rFonts w:ascii="Calibri"/>
      <w:szCs w:val="22"/>
    </w:rPr>
  </w:style>
  <w:style w:type="paragraph" w:customStyle="1" w:styleId="13">
    <w:name w:val=" Char Char Char Char Char Char1 Char"/>
    <w:basedOn w:val="1"/>
    <w:qFormat/>
    <w:uiPriority w:val="0"/>
    <w:rPr>
      <w:sz w:val="24"/>
      <w:szCs w:val="24"/>
    </w:rPr>
  </w:style>
  <w:style w:type="character" w:customStyle="1" w:styleId="14">
    <w:name w:val="font21"/>
    <w:basedOn w:val="11"/>
    <w:qFormat/>
    <w:uiPriority w:val="0"/>
    <w:rPr>
      <w:rFonts w:hint="eastAsia" w:ascii="宋体" w:hAnsi="宋体" w:eastAsia="宋体" w:cs="宋体"/>
      <w:color w:val="000000"/>
      <w:sz w:val="24"/>
      <w:szCs w:val="24"/>
      <w:u w:val="none"/>
    </w:rPr>
  </w:style>
  <w:style w:type="character" w:customStyle="1" w:styleId="15">
    <w:name w:val="font31"/>
    <w:basedOn w:val="11"/>
    <w:qFormat/>
    <w:uiPriority w:val="0"/>
    <w:rPr>
      <w:rFonts w:hint="default" w:ascii="Times New Roman" w:hAnsi="Times New Roman" w:cs="Times New Roman"/>
      <w:color w:val="000000"/>
      <w:sz w:val="22"/>
      <w:szCs w:val="22"/>
      <w:u w:val="none"/>
    </w:rPr>
  </w:style>
  <w:style w:type="character" w:customStyle="1" w:styleId="16">
    <w:name w:val="font41"/>
    <w:basedOn w:val="11"/>
    <w:qFormat/>
    <w:uiPriority w:val="0"/>
    <w:rPr>
      <w:rFonts w:hint="eastAsia" w:ascii="宋体" w:hAnsi="宋体" w:eastAsia="宋体" w:cs="宋体"/>
      <w:color w:val="000000"/>
      <w:sz w:val="22"/>
      <w:szCs w:val="22"/>
      <w:u w:val="none"/>
    </w:rPr>
  </w:style>
  <w:style w:type="paragraph" w:customStyle="1" w:styleId="17">
    <w:name w:val="正文2"/>
    <w:basedOn w:val="1"/>
    <w:qFormat/>
    <w:uiPriority w:val="0"/>
    <w:pPr>
      <w:spacing w:before="156" w:line="360" w:lineRule="auto"/>
      <w:ind w:firstLine="510" w:firstLineChars="200"/>
    </w:pPr>
    <w:rPr>
      <w:sz w:val="24"/>
    </w:rPr>
  </w:style>
  <w:style w:type="character" w:customStyle="1" w:styleId="18">
    <w:name w:val="font11"/>
    <w:basedOn w:val="11"/>
    <w:qFormat/>
    <w:uiPriority w:val="0"/>
    <w:rPr>
      <w:rFonts w:hint="eastAsia" w:ascii="宋体" w:hAnsi="宋体" w:eastAsia="宋体" w:cs="宋体"/>
      <w:color w:val="000000"/>
      <w:sz w:val="22"/>
      <w:szCs w:val="22"/>
      <w:u w:val="none"/>
    </w:rPr>
  </w:style>
  <w:style w:type="character" w:customStyle="1" w:styleId="19">
    <w:name w:val="font121"/>
    <w:basedOn w:val="11"/>
    <w:qFormat/>
    <w:uiPriority w:val="0"/>
    <w:rPr>
      <w:rFonts w:hint="eastAsia" w:ascii="宋体" w:hAnsi="宋体" w:eastAsia="宋体" w:cs="宋体"/>
      <w:color w:val="000000"/>
      <w:sz w:val="20"/>
      <w:szCs w:val="20"/>
      <w:u w:val="none"/>
    </w:rPr>
  </w:style>
  <w:style w:type="character" w:customStyle="1" w:styleId="20">
    <w:name w:val="font61"/>
    <w:basedOn w:val="11"/>
    <w:qFormat/>
    <w:uiPriority w:val="0"/>
    <w:rPr>
      <w:rFonts w:hint="eastAsia" w:ascii="宋体" w:hAnsi="宋体" w:eastAsia="宋体" w:cs="宋体"/>
      <w:color w:val="000000"/>
      <w:sz w:val="20"/>
      <w:szCs w:val="20"/>
      <w:u w:val="none"/>
    </w:rPr>
  </w:style>
  <w:style w:type="character" w:customStyle="1" w:styleId="21">
    <w:name w:val="font111"/>
    <w:basedOn w:val="11"/>
    <w:qFormat/>
    <w:uiPriority w:val="0"/>
    <w:rPr>
      <w:rFonts w:hint="eastAsia" w:ascii="黑体" w:hAnsi="宋体" w:eastAsia="黑体" w:cs="黑体"/>
      <w:color w:val="000000"/>
      <w:sz w:val="22"/>
      <w:szCs w:val="22"/>
      <w:u w:val="none"/>
    </w:rPr>
  </w:style>
  <w:style w:type="character" w:customStyle="1" w:styleId="22">
    <w:name w:val="font01"/>
    <w:basedOn w:val="11"/>
    <w:qFormat/>
    <w:uiPriority w:val="0"/>
    <w:rPr>
      <w:rFonts w:hint="eastAsia" w:ascii="宋体" w:hAnsi="宋体" w:eastAsia="宋体" w:cs="宋体"/>
      <w:color w:val="000000"/>
      <w:sz w:val="22"/>
      <w:szCs w:val="22"/>
      <w:u w:val="none"/>
    </w:rPr>
  </w:style>
  <w:style w:type="character" w:customStyle="1" w:styleId="23">
    <w:name w:val="font51"/>
    <w:basedOn w:val="11"/>
    <w:qFormat/>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26361</Words>
  <Characters>32424</Characters>
  <Lines>0</Lines>
  <Paragraphs>0</Paragraphs>
  <TotalTime>1</TotalTime>
  <ScaleCrop>false</ScaleCrop>
  <LinksUpToDate>false</LinksUpToDate>
  <CharactersWithSpaces>32998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2016-03-02T06:46:00Z</dcterms:created>
  <dc:creator>Administrator</dc:creator>
  <cp:lastModifiedBy>加深</cp:lastModifiedBy>
  <cp:lastPrinted>2022-10-11T11:07:00Z</cp:lastPrinted>
  <dcterms:modified xsi:type="dcterms:W3CDTF">2026-09-17T09:47:37Z</dcterms:modified>
  <dc:title>关于西院门诊住院综合楼大堂采光井电动百叶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3010F08594434558BF2002B7D214245C_13</vt:lpwstr>
  </property>
  <property fmtid="{D5CDD505-2E9C-101B-9397-08002B2CF9AE}" pid="4" name="KSOTemplateDocerSaveRecord">
    <vt:lpwstr>eyJoZGlkIjoiNmFkNzM0MjEyYTJlMGViYTU0N2EyNjMzYjM3OTNmZjIiLCJ1c2VySWQiOiIzNTY0MzY5ODAifQ==</vt:lpwstr>
  </property>
</Properties>
</file>