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公文小标宋" w:hAnsi="方正公文小标宋" w:eastAsia="方正公文小标宋" w:cs="方正公文小标宋"/>
          <w:sz w:val="40"/>
          <w:szCs w:val="48"/>
        </w:rPr>
      </w:pPr>
      <w:r>
        <w:rPr>
          <w:rFonts w:hint="eastAsia" w:ascii="方正公文小标宋" w:hAnsi="方正公文小标宋" w:eastAsia="方正公文小标宋" w:cs="方正公文小标宋"/>
          <w:sz w:val="40"/>
          <w:szCs w:val="48"/>
        </w:rPr>
        <w:fldChar w:fldCharType="begin"/>
      </w:r>
      <w:r>
        <w:instrText xml:space="preserve"> LINK Word.Document.8 "D:\\迪那敏斯\\Z-转招标办材料\\2026年\\医院污水流量在线监测设备采购安装项目\\项目移交清单（医院污水流量在线监测设备采购安装项目）.doc" "OLE_LINK1" \t \a  \* MERGEFORMAT</w:instrText>
      </w:r>
      <w:r>
        <w:rPr>
          <w:rFonts w:hint="eastAsia" w:ascii="方正公文小标宋" w:hAnsi="方正公文小标宋" w:eastAsia="方正公文小标宋" w:cs="方正公文小标宋"/>
          <w:sz w:val="40"/>
          <w:szCs w:val="48"/>
        </w:rPr>
        <w:fldChar w:fldCharType="separate"/>
      </w:r>
      <w:r>
        <w:rPr>
          <w:rFonts w:hint="eastAsia" w:ascii="方正公文小标宋" w:hAnsi="方正公文小标宋" w:eastAsia="方正公文小标宋" w:cs="方正公文小标宋"/>
          <w:sz w:val="40"/>
          <w:szCs w:val="48"/>
        </w:rPr>
        <w:t>柳州市工人医院污水流量在线监测设备</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公文小标宋" w:hAnsi="方正公文小标宋" w:eastAsia="方正公文小标宋" w:cs="方正公文小标宋"/>
          <w:sz w:val="40"/>
          <w:szCs w:val="48"/>
          <w:lang w:eastAsia="zh-CN"/>
        </w:rPr>
      </w:pPr>
      <w:r>
        <w:rPr>
          <w:rFonts w:hint="eastAsia" w:ascii="方正公文小标宋" w:hAnsi="方正公文小标宋" w:eastAsia="方正公文小标宋" w:cs="方正公文小标宋"/>
          <w:sz w:val="40"/>
          <w:szCs w:val="48"/>
        </w:rPr>
        <w:t>采购</w:t>
      </w:r>
      <w:bookmarkStart w:id="0" w:name="_GoBack"/>
      <w:bookmarkEnd w:id="0"/>
      <w:r>
        <w:rPr>
          <w:rFonts w:hint="eastAsia" w:ascii="方正公文小标宋" w:hAnsi="方正公文小标宋" w:eastAsia="方正公文小标宋" w:cs="方正公文小标宋"/>
          <w:sz w:val="40"/>
          <w:szCs w:val="48"/>
        </w:rPr>
        <w:t>安装项目需求</w:t>
      </w:r>
      <w:r>
        <w:rPr>
          <w:rFonts w:hint="eastAsia" w:ascii="方正公文小标宋" w:hAnsi="方正公文小标宋" w:eastAsia="方正公文小标宋" w:cs="方正公文小标宋"/>
          <w:sz w:val="40"/>
          <w:szCs w:val="48"/>
        </w:rPr>
        <w:fldChar w:fldCharType="end"/>
      </w: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 w:hAnsi="仿宋" w:eastAsia="仿宋" w:cs="仿宋"/>
          <w:sz w:val="28"/>
          <w:szCs w:val="36"/>
        </w:rPr>
      </w:pP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sz w:val="28"/>
          <w:szCs w:val="36"/>
        </w:rPr>
      </w:pPr>
      <w:r>
        <w:rPr>
          <w:rFonts w:hint="eastAsia" w:ascii="宋体" w:hAnsi="宋体" w:eastAsia="宋体" w:cs="宋体"/>
          <w:b/>
          <w:bCs/>
          <w:sz w:val="28"/>
          <w:szCs w:val="36"/>
        </w:rPr>
        <w:t>一、项目名称</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default" w:ascii="仿宋" w:hAnsi="仿宋" w:eastAsia="仿宋" w:cs="仿宋"/>
          <w:sz w:val="28"/>
          <w:szCs w:val="36"/>
          <w:lang w:val="en-US" w:eastAsia="zh-CN"/>
        </w:rPr>
      </w:pPr>
      <w:r>
        <w:rPr>
          <w:rFonts w:hint="eastAsia" w:ascii="仿宋" w:hAnsi="仿宋" w:eastAsia="仿宋" w:cs="仿宋"/>
          <w:sz w:val="28"/>
          <w:szCs w:val="36"/>
        </w:rPr>
        <w:t>柳州市工人医院污水流量在线监测设备采购安装项目</w:t>
      </w: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sz w:val="28"/>
          <w:szCs w:val="36"/>
        </w:rPr>
      </w:pPr>
      <w:r>
        <w:rPr>
          <w:rFonts w:hint="eastAsia" w:ascii="宋体" w:hAnsi="宋体" w:eastAsia="宋体" w:cs="宋体"/>
          <w:b/>
          <w:bCs/>
          <w:sz w:val="28"/>
          <w:szCs w:val="36"/>
        </w:rPr>
        <w:t>二、项目概况</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36"/>
        </w:rPr>
      </w:pPr>
      <w:r>
        <w:rPr>
          <w:rFonts w:hint="eastAsia" w:ascii="仿宋" w:hAnsi="仿宋" w:eastAsia="仿宋" w:cs="仿宋"/>
          <w:sz w:val="28"/>
          <w:szCs w:val="36"/>
          <w:lang w:val="en-US" w:eastAsia="zh-CN"/>
        </w:rPr>
        <w:t>根据《柳州市生态环境局关于进一步加强固定污染源自动监测数据运维与管理的通知》柳环发〔2026〕63号文件要求，我院总院、西院、鱼峰山院区污水站的</w:t>
      </w:r>
      <w:r>
        <w:rPr>
          <w:rFonts w:hint="eastAsia" w:ascii="仿宋" w:hAnsi="仿宋" w:eastAsia="仿宋" w:cs="仿宋"/>
          <w:b/>
          <w:bCs/>
          <w:sz w:val="28"/>
          <w:szCs w:val="36"/>
          <w:u w:val="single"/>
          <w:lang w:val="en-US" w:eastAsia="zh-CN"/>
        </w:rPr>
        <w:t>超声波明渠流量计</w:t>
      </w:r>
      <w:r>
        <w:rPr>
          <w:rFonts w:hint="eastAsia" w:ascii="仿宋" w:hAnsi="仿宋" w:eastAsia="仿宋" w:cs="仿宋"/>
          <w:sz w:val="28"/>
          <w:szCs w:val="36"/>
          <w:lang w:val="en-US" w:eastAsia="zh-CN"/>
        </w:rPr>
        <w:t>、</w:t>
      </w:r>
      <w:r>
        <w:rPr>
          <w:rFonts w:hint="eastAsia" w:ascii="仿宋" w:hAnsi="仿宋" w:eastAsia="仿宋" w:cs="仿宋"/>
          <w:b/>
          <w:bCs/>
          <w:sz w:val="28"/>
          <w:szCs w:val="36"/>
          <w:u w:val="single"/>
          <w:lang w:val="en-US" w:eastAsia="zh-CN"/>
        </w:rPr>
        <w:t>数采仪（数据采集传输仪）</w:t>
      </w:r>
      <w:r>
        <w:rPr>
          <w:rFonts w:hint="eastAsia" w:ascii="仿宋" w:hAnsi="仿宋" w:eastAsia="仿宋" w:cs="仿宋"/>
          <w:sz w:val="28"/>
          <w:szCs w:val="36"/>
          <w:lang w:val="en-US" w:eastAsia="zh-CN"/>
        </w:rPr>
        <w:t>不符合《污染源自动监测监控系统数据传输技术要求》（HJ212-2025），需要采购更换</w:t>
      </w:r>
      <w:r>
        <w:rPr>
          <w:rFonts w:hint="eastAsia" w:ascii="仿宋" w:hAnsi="仿宋" w:eastAsia="仿宋" w:cs="仿宋"/>
          <w:sz w:val="28"/>
          <w:szCs w:val="36"/>
        </w:rPr>
        <w:t>。</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36"/>
        </w:rPr>
      </w:pPr>
      <w:r>
        <w:rPr>
          <w:rFonts w:hint="eastAsia" w:ascii="仿宋" w:hAnsi="仿宋" w:eastAsia="仿宋" w:cs="仿宋"/>
          <w:sz w:val="28"/>
          <w:szCs w:val="36"/>
        </w:rPr>
        <w:t>本项目旨在通过采购符合</w:t>
      </w:r>
      <w:r>
        <w:rPr>
          <w:rFonts w:hint="eastAsia" w:ascii="仿宋" w:hAnsi="仿宋" w:eastAsia="仿宋" w:cs="仿宋"/>
          <w:sz w:val="28"/>
          <w:szCs w:val="36"/>
          <w:lang w:val="en-US" w:eastAsia="zh-CN"/>
        </w:rPr>
        <w:t>HJ212-2025</w:t>
      </w:r>
      <w:r>
        <w:rPr>
          <w:rFonts w:hint="eastAsia" w:ascii="仿宋" w:hAnsi="仿宋" w:eastAsia="仿宋" w:cs="仿宋"/>
          <w:sz w:val="28"/>
          <w:szCs w:val="36"/>
        </w:rPr>
        <w:t>标准的明渠流量计及数采仪设备，实现我院三个院区污水站排放口</w:t>
      </w:r>
      <w:r>
        <w:rPr>
          <w:rFonts w:hint="eastAsia" w:ascii="仿宋" w:hAnsi="仿宋" w:eastAsia="仿宋" w:cs="仿宋"/>
          <w:sz w:val="28"/>
          <w:szCs w:val="36"/>
          <w:lang w:val="en-US" w:eastAsia="zh-CN"/>
        </w:rPr>
        <w:t>流量</w:t>
      </w:r>
      <w:r>
        <w:rPr>
          <w:rFonts w:hint="eastAsia" w:ascii="仿宋" w:hAnsi="仿宋" w:eastAsia="仿宋" w:cs="仿宋"/>
          <w:sz w:val="28"/>
          <w:szCs w:val="36"/>
        </w:rPr>
        <w:t>数据的自动监测规范采集、安全传输与有效联网，确保数据真实、准确、完整、可追溯，满足柳州市生态环境局监管要求。</w:t>
      </w: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sz w:val="28"/>
          <w:szCs w:val="36"/>
        </w:rPr>
      </w:pPr>
      <w:r>
        <w:rPr>
          <w:rFonts w:hint="eastAsia" w:ascii="宋体" w:hAnsi="宋体" w:eastAsia="宋体" w:cs="宋体"/>
          <w:b/>
          <w:bCs/>
          <w:sz w:val="28"/>
          <w:szCs w:val="36"/>
        </w:rPr>
        <w:t>三、投标人/供应商资格条件</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560" w:firstLineChars="200"/>
        <w:jc w:val="left"/>
        <w:textAlignment w:val="auto"/>
        <w:rPr>
          <w:rFonts w:hint="eastAsia" w:ascii="仿宋" w:hAnsi="仿宋" w:eastAsia="仿宋" w:cs="仿宋"/>
          <w:sz w:val="28"/>
          <w:szCs w:val="36"/>
        </w:rPr>
      </w:pPr>
      <w:r>
        <w:rPr>
          <w:rFonts w:hint="eastAsia" w:ascii="仿宋" w:hAnsi="仿宋" w:eastAsia="仿宋" w:cs="仿宋"/>
          <w:sz w:val="28"/>
          <w:szCs w:val="36"/>
        </w:rPr>
        <w:t>投标人需为国内注册 （指按国家有关规定要求注册的） 生产或经营本</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560" w:firstLineChars="200"/>
        <w:jc w:val="left"/>
        <w:textAlignment w:val="auto"/>
        <w:rPr>
          <w:rFonts w:hint="eastAsia" w:ascii="仿宋" w:hAnsi="仿宋" w:eastAsia="仿宋" w:cs="仿宋"/>
          <w:sz w:val="28"/>
          <w:szCs w:val="36"/>
        </w:rPr>
      </w:pPr>
      <w:r>
        <w:rPr>
          <w:rFonts w:hint="eastAsia" w:ascii="仿宋" w:hAnsi="仿宋" w:eastAsia="仿宋" w:cs="仿宋"/>
          <w:sz w:val="28"/>
          <w:szCs w:val="36"/>
        </w:rPr>
        <w:t>次招标采购货物或服务、具备法人资格的供应商。</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560" w:firstLineChars="200"/>
        <w:jc w:val="left"/>
        <w:textAlignment w:val="auto"/>
        <w:rPr>
          <w:rFonts w:hint="eastAsia" w:ascii="仿宋" w:hAnsi="仿宋" w:eastAsia="仿宋" w:cs="仿宋"/>
          <w:sz w:val="28"/>
          <w:szCs w:val="36"/>
        </w:rPr>
      </w:pPr>
      <w:r>
        <w:rPr>
          <w:rFonts w:hint="eastAsia" w:ascii="仿宋" w:hAnsi="仿宋" w:eastAsia="仿宋" w:cs="仿宋"/>
          <w:sz w:val="28"/>
          <w:szCs w:val="36"/>
        </w:rPr>
        <w:t>投标人三年内在经营活动中没有重大违法记录和不良信用记录。</w:t>
      </w:r>
    </w:p>
    <w:p>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0" w:leftChars="0" w:firstLine="560" w:firstLineChars="200"/>
        <w:jc w:val="left"/>
        <w:textAlignment w:val="auto"/>
        <w:rPr>
          <w:rFonts w:hint="eastAsia" w:ascii="仿宋" w:hAnsi="仿宋" w:eastAsia="仿宋" w:cs="仿宋"/>
          <w:sz w:val="28"/>
          <w:szCs w:val="36"/>
        </w:rPr>
      </w:pPr>
      <w:r>
        <w:rPr>
          <w:rFonts w:hint="eastAsia" w:ascii="仿宋" w:hAnsi="仿宋" w:eastAsia="仿宋" w:cs="仿宋"/>
          <w:sz w:val="28"/>
          <w:szCs w:val="36"/>
        </w:rPr>
        <w:t>投标人有效的“营业执照”副本复印件。</w:t>
      </w:r>
    </w:p>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sz w:val="28"/>
          <w:szCs w:val="36"/>
        </w:rPr>
      </w:pPr>
      <w:r>
        <w:rPr>
          <w:rFonts w:hint="eastAsia" w:ascii="宋体" w:hAnsi="宋体" w:eastAsia="宋体" w:cs="宋体"/>
          <w:b/>
          <w:bCs/>
          <w:sz w:val="28"/>
          <w:szCs w:val="36"/>
        </w:rPr>
        <w:t>四、</w:t>
      </w:r>
      <w:r>
        <w:rPr>
          <w:rFonts w:hint="eastAsia" w:ascii="宋体" w:hAnsi="宋体" w:eastAsia="宋体" w:cs="宋体"/>
          <w:b/>
          <w:bCs/>
          <w:sz w:val="28"/>
          <w:szCs w:val="36"/>
          <w:lang w:val="en-US" w:eastAsia="zh-CN"/>
        </w:rPr>
        <w:t>采购</w:t>
      </w:r>
      <w:r>
        <w:rPr>
          <w:rFonts w:hint="eastAsia" w:ascii="宋体" w:hAnsi="宋体" w:eastAsia="宋体" w:cs="宋体"/>
          <w:b/>
          <w:bCs/>
          <w:sz w:val="28"/>
          <w:szCs w:val="36"/>
        </w:rPr>
        <w:t>内容</w:t>
      </w:r>
    </w:p>
    <w:tbl>
      <w:tblPr>
        <w:tblStyle w:val="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2345"/>
        <w:gridCol w:w="1105"/>
        <w:gridCol w:w="5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7"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 w:hAnsi="仿宋" w:eastAsia="仿宋" w:cs="仿宋"/>
                <w:b w:val="0"/>
                <w:bCs w:val="0"/>
                <w:sz w:val="22"/>
                <w:szCs w:val="28"/>
                <w:vertAlign w:val="baseline"/>
                <w:lang w:val="en-US" w:eastAsia="zh-CN"/>
              </w:rPr>
            </w:pPr>
          </w:p>
        </w:tc>
        <w:tc>
          <w:tcPr>
            <w:tcW w:w="2345"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 w:hAnsi="仿宋" w:eastAsia="仿宋" w:cs="仿宋"/>
                <w:b/>
                <w:bCs/>
                <w:sz w:val="22"/>
                <w:szCs w:val="28"/>
                <w:vertAlign w:val="baseline"/>
                <w:lang w:val="en-US" w:eastAsia="zh-CN"/>
              </w:rPr>
            </w:pPr>
            <w:r>
              <w:rPr>
                <w:rFonts w:hint="eastAsia" w:ascii="仿宋" w:hAnsi="仿宋" w:eastAsia="仿宋" w:cs="仿宋"/>
                <w:b/>
                <w:bCs/>
                <w:sz w:val="22"/>
                <w:szCs w:val="28"/>
                <w:vertAlign w:val="baseline"/>
                <w:lang w:val="en-US" w:eastAsia="zh-CN"/>
              </w:rPr>
              <w:t>采购项目</w:t>
            </w:r>
          </w:p>
        </w:tc>
        <w:tc>
          <w:tcPr>
            <w:tcW w:w="1105"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 w:hAnsi="仿宋" w:eastAsia="仿宋" w:cs="仿宋"/>
                <w:b/>
                <w:bCs/>
                <w:sz w:val="22"/>
                <w:szCs w:val="28"/>
                <w:vertAlign w:val="baseline"/>
                <w:lang w:val="en-US" w:eastAsia="zh-CN"/>
              </w:rPr>
            </w:pPr>
            <w:r>
              <w:rPr>
                <w:rFonts w:hint="eastAsia" w:ascii="仿宋" w:hAnsi="仿宋" w:eastAsia="仿宋" w:cs="仿宋"/>
                <w:b/>
                <w:bCs/>
                <w:sz w:val="22"/>
                <w:szCs w:val="28"/>
                <w:vertAlign w:val="baseline"/>
                <w:lang w:val="en-US" w:eastAsia="zh-CN"/>
              </w:rPr>
              <w:t>数量</w:t>
            </w:r>
          </w:p>
        </w:tc>
        <w:tc>
          <w:tcPr>
            <w:tcW w:w="5401"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 w:hAnsi="仿宋" w:eastAsia="仿宋" w:cs="仿宋"/>
                <w:b/>
                <w:bCs/>
                <w:sz w:val="22"/>
                <w:szCs w:val="28"/>
                <w:vertAlign w:val="baseline"/>
                <w:lang w:val="en-US" w:eastAsia="zh-CN"/>
              </w:rPr>
            </w:pPr>
            <w:r>
              <w:rPr>
                <w:rFonts w:hint="eastAsia" w:ascii="仿宋" w:hAnsi="仿宋" w:eastAsia="仿宋" w:cs="仿宋"/>
                <w:b/>
                <w:bCs/>
                <w:sz w:val="22"/>
                <w:szCs w:val="28"/>
                <w:vertAlign w:val="baseline"/>
                <w:lang w:val="en-US" w:eastAsia="zh-CN"/>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7"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b/>
                <w:bCs/>
                <w:sz w:val="22"/>
                <w:szCs w:val="28"/>
                <w:vertAlign w:val="baseline"/>
                <w:lang w:val="en-US" w:eastAsia="zh-CN"/>
              </w:rPr>
            </w:pPr>
            <w:r>
              <w:rPr>
                <w:rFonts w:hint="eastAsia" w:ascii="仿宋" w:hAnsi="仿宋" w:eastAsia="仿宋" w:cs="仿宋"/>
                <w:b/>
                <w:bCs/>
                <w:sz w:val="22"/>
                <w:szCs w:val="28"/>
                <w:vertAlign w:val="baseline"/>
                <w:lang w:val="en-US" w:eastAsia="zh-CN"/>
              </w:rPr>
              <w:t>1</w:t>
            </w:r>
          </w:p>
        </w:tc>
        <w:tc>
          <w:tcPr>
            <w:tcW w:w="234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超声波明渠流量计</w:t>
            </w:r>
          </w:p>
        </w:tc>
        <w:tc>
          <w:tcPr>
            <w:tcW w:w="110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3</w:t>
            </w:r>
          </w:p>
        </w:tc>
        <w:tc>
          <w:tcPr>
            <w:tcW w:w="5401" w:type="dxa"/>
            <w:vAlign w:val="center"/>
          </w:tcPr>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5" w:leftChars="0" w:hanging="425" w:firstLineChars="0"/>
              <w:jc w:val="left"/>
              <w:textAlignment w:val="auto"/>
              <w:rPr>
                <w:rFonts w:hint="eastAsia"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流量比对误差≤±5%，符合HJ15-2019</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5" w:leftChars="0" w:hanging="425" w:firstLineChars="0"/>
              <w:jc w:val="left"/>
              <w:textAlignment w:val="auto"/>
              <w:rPr>
                <w:rFonts w:hint="eastAsia"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液位分辨率≤1mm，期间漂移≤±2%</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5" w:leftChars="0" w:hanging="425" w:firstLineChars="0"/>
              <w:jc w:val="left"/>
              <w:textAlignment w:val="auto"/>
              <w:rPr>
                <w:rFonts w:hint="eastAsia"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支持RS485/Modbus、4~20mA输出</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5" w:leftChars="0" w:hanging="425" w:firstLineChars="0"/>
              <w:jc w:val="left"/>
              <w:textAlignment w:val="auto"/>
              <w:rPr>
                <w:rFonts w:hint="eastAsia"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探头IP68，仪表IP65</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5" w:leftChars="0" w:hanging="425" w:firstLineChars="0"/>
              <w:jc w:val="left"/>
              <w:textAlignment w:val="auto"/>
              <w:rPr>
                <w:rFonts w:hint="eastAsia"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具备与数采仪对接的标准通信接口及协议，确保数据稳定上传</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425" w:leftChars="0" w:hanging="425" w:firstLineChars="0"/>
              <w:jc w:val="left"/>
              <w:textAlignment w:val="auto"/>
              <w:rPr>
                <w:rFonts w:hint="eastAsia"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支持HJ212-2025协议的数据输出格式，设备具备唯一标识编码（SN码）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37" w:type="dxa"/>
            <w:vAlign w:val="center"/>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 w:hAnsi="仿宋" w:eastAsia="仿宋" w:cs="仿宋"/>
                <w:b/>
                <w:bCs/>
                <w:sz w:val="22"/>
                <w:szCs w:val="28"/>
                <w:vertAlign w:val="baseline"/>
                <w:lang w:val="en-US" w:eastAsia="zh-CN"/>
              </w:rPr>
            </w:pPr>
            <w:r>
              <w:rPr>
                <w:rFonts w:hint="eastAsia" w:ascii="仿宋" w:hAnsi="仿宋" w:eastAsia="仿宋" w:cs="仿宋"/>
                <w:b/>
                <w:bCs/>
                <w:sz w:val="22"/>
                <w:szCs w:val="28"/>
                <w:vertAlign w:val="baseline"/>
                <w:lang w:val="en-US" w:eastAsia="zh-CN"/>
              </w:rPr>
              <w:t>2</w:t>
            </w:r>
          </w:p>
        </w:tc>
        <w:tc>
          <w:tcPr>
            <w:tcW w:w="234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数据采集传输仪</w:t>
            </w:r>
          </w:p>
        </w:tc>
        <w:tc>
          <w:tcPr>
            <w:tcW w:w="110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3</w:t>
            </w:r>
          </w:p>
        </w:tc>
        <w:tc>
          <w:tcPr>
            <w:tcW w:w="5401" w:type="dxa"/>
            <w:vAlign w:val="center"/>
          </w:tcPr>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425" w:leftChars="0" w:hanging="425" w:firstLineChars="0"/>
              <w:jc w:val="left"/>
              <w:textAlignment w:val="auto"/>
              <w:rPr>
                <w:rFonts w:hint="eastAsia"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符合《污染物自动监测监控系统数据传输技术要求》（HJ212-2025）规定，通过相关适应性检测。</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425" w:leftChars="0" w:hanging="425" w:firstLineChars="0"/>
              <w:jc w:val="left"/>
              <w:textAlignment w:val="auto"/>
              <w:rPr>
                <w:rFonts w:hint="eastAsia"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支持设备唯一标识编码（SN码），可在生态环境部设备注册系统完成注册与激活。</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425" w:leftChars="0" w:hanging="425" w:firstLineChars="0"/>
              <w:jc w:val="left"/>
              <w:textAlignment w:val="auto"/>
              <w:rPr>
                <w:rFonts w:hint="eastAsia"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支持SM4国密算法加密传输，密钥90天自动更新</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425" w:leftChars="0" w:hanging="425" w:firstLineChars="0"/>
              <w:jc w:val="left"/>
              <w:textAlignment w:val="auto"/>
              <w:rPr>
                <w:rFonts w:hint="eastAsia"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工业级ARM处理器，7寸触摸屏，中文界面，支持4G全网通</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425" w:leftChars="0" w:hanging="425" w:firstLineChars="0"/>
              <w:jc w:val="left"/>
              <w:textAlignment w:val="auto"/>
              <w:rPr>
                <w:rFonts w:hint="eastAsia"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支持多通道采集、断点续传、全量数据上传</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425" w:leftChars="0" w:hanging="425" w:firstLineChars="0"/>
              <w:jc w:val="left"/>
              <w:textAlignment w:val="auto"/>
              <w:rPr>
                <w:rFonts w:hint="eastAsia" w:ascii="仿宋" w:hAnsi="仿宋" w:eastAsia="仿宋" w:cs="仿宋"/>
                <w:b w:val="0"/>
                <w:bCs w:val="0"/>
                <w:sz w:val="22"/>
                <w:szCs w:val="28"/>
                <w:vertAlign w:val="baseline"/>
                <w:lang w:val="en-US" w:eastAsia="zh-CN"/>
              </w:rPr>
            </w:pPr>
            <w:r>
              <w:rPr>
                <w:rFonts w:hint="eastAsia" w:ascii="仿宋" w:hAnsi="仿宋" w:eastAsia="仿宋" w:cs="仿宋"/>
                <w:b w:val="0"/>
                <w:bCs w:val="0"/>
                <w:sz w:val="22"/>
                <w:szCs w:val="28"/>
                <w:vertAlign w:val="baseline"/>
                <w:lang w:val="en-US" w:eastAsia="zh-CN"/>
              </w:rPr>
              <w:t>机身存储≥4GB Flash，支持SD卡扩展，至少保存1年历史数据</w:t>
            </w:r>
          </w:p>
        </w:tc>
      </w:tr>
    </w:tbl>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b/>
          <w:bCs/>
          <w:sz w:val="28"/>
          <w:szCs w:val="36"/>
          <w:lang w:val="en-US" w:eastAsia="zh-CN"/>
        </w:rPr>
      </w:pPr>
      <w:r>
        <w:rPr>
          <w:rFonts w:hint="eastAsia" w:ascii="宋体" w:hAnsi="宋体" w:eastAsia="宋体" w:cs="宋体"/>
          <w:b/>
          <w:bCs/>
          <w:sz w:val="28"/>
          <w:szCs w:val="36"/>
          <w:lang w:val="en-US" w:eastAsia="zh-CN"/>
        </w:rPr>
        <w:t>五、其它要求</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1. 安装调试</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（1）联网注册流程、验收标准（流量比对、传输有效率≥95%等）。</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（2）供应商负责在生态环境部自动监测设备注册系统完成设备注册（SN码备案）。</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（3）供应商负责协助采购方将设备接入柳州市生态环境局监控平台，确保数据稳定上传，因设备本身原因导致联网失败的，供应商须免费整改直至联网成功。</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default" w:ascii="宋体" w:hAnsi="宋体" w:eastAsia="宋体" w:cs="宋体"/>
          <w:b/>
          <w:bCs/>
          <w:sz w:val="28"/>
          <w:szCs w:val="36"/>
          <w:lang w:val="en-US" w:eastAsia="zh-CN"/>
        </w:rPr>
      </w:pPr>
      <w:r>
        <w:rPr>
          <w:rFonts w:hint="eastAsia" w:ascii="仿宋" w:hAnsi="仿宋" w:eastAsia="仿宋" w:cs="仿宋"/>
          <w:sz w:val="28"/>
          <w:szCs w:val="36"/>
          <w:lang w:val="en-US" w:eastAsia="zh-CN"/>
        </w:rPr>
        <w:t>2. 售后服务：自验收之日起质保≥2年，故障2小时响应，24小时到场。</w:t>
      </w:r>
    </w:p>
    <w:p>
      <w:pPr>
        <w:keepNext w:val="0"/>
        <w:keepLines w:val="0"/>
        <w:pageBreakBefore w:val="0"/>
        <w:widowControl w:val="0"/>
        <w:numPr>
          <w:ilvl w:val="0"/>
          <w:numId w:val="4"/>
        </w:numPr>
        <w:kinsoku/>
        <w:wordWrap/>
        <w:overflowPunct/>
        <w:topLinePunct w:val="0"/>
        <w:autoSpaceDE/>
        <w:autoSpaceDN/>
        <w:bidi w:val="0"/>
        <w:adjustRightInd/>
        <w:snapToGrid/>
        <w:spacing w:line="480" w:lineRule="exact"/>
        <w:jc w:val="left"/>
        <w:textAlignment w:val="auto"/>
        <w:rPr>
          <w:rFonts w:hint="eastAsia" w:ascii="宋体" w:hAnsi="宋体" w:eastAsia="宋体" w:cs="宋体"/>
          <w:b/>
          <w:bCs/>
          <w:sz w:val="28"/>
          <w:szCs w:val="36"/>
          <w:lang w:val="en-US" w:eastAsia="zh-CN"/>
        </w:rPr>
      </w:pPr>
      <w:r>
        <w:rPr>
          <w:rFonts w:hint="eastAsia" w:ascii="宋体" w:hAnsi="宋体" w:eastAsia="宋体" w:cs="宋体"/>
          <w:b/>
          <w:bCs/>
          <w:sz w:val="28"/>
          <w:szCs w:val="36"/>
          <w:lang w:val="en-US" w:eastAsia="zh-CN"/>
        </w:rPr>
        <w:t>报价方式及要求</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1. 报价为含税全包价，包括设备费、运输费、安装费、调试费、联网注册费、验收费、培训费、质保期售后服务费等全部费用，采购方不再支付其他任何费用，在实施期间不因市场因素而变动。</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2. 报价方式</w:t>
      </w:r>
    </w:p>
    <w:tbl>
      <w:tblPr>
        <w:tblStyle w:val="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
        <w:gridCol w:w="3311"/>
        <w:gridCol w:w="185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03"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b/>
                <w:bCs/>
                <w:sz w:val="22"/>
                <w:szCs w:val="22"/>
                <w:vertAlign w:val="baseline"/>
                <w:lang w:val="en-US" w:eastAsia="zh-CN"/>
              </w:rPr>
            </w:pPr>
          </w:p>
        </w:tc>
        <w:tc>
          <w:tcPr>
            <w:tcW w:w="3311"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 w:hAnsi="仿宋" w:eastAsia="仿宋" w:cs="仿宋"/>
                <w:b/>
                <w:bCs/>
                <w:sz w:val="22"/>
                <w:szCs w:val="22"/>
                <w:vertAlign w:val="baseline"/>
                <w:lang w:val="en-US" w:eastAsia="zh-CN"/>
              </w:rPr>
            </w:pPr>
            <w:r>
              <w:rPr>
                <w:rFonts w:hint="eastAsia" w:ascii="仿宋" w:hAnsi="仿宋" w:eastAsia="仿宋" w:cs="仿宋"/>
                <w:b/>
                <w:bCs/>
                <w:sz w:val="22"/>
                <w:szCs w:val="22"/>
                <w:vertAlign w:val="baseline"/>
                <w:lang w:val="en-US" w:eastAsia="zh-CN"/>
              </w:rPr>
              <w:t>报价项目</w:t>
            </w:r>
          </w:p>
        </w:tc>
        <w:tc>
          <w:tcPr>
            <w:tcW w:w="1858"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 w:hAnsi="仿宋" w:eastAsia="仿宋" w:cs="仿宋"/>
                <w:b/>
                <w:bCs/>
                <w:sz w:val="22"/>
                <w:szCs w:val="22"/>
                <w:vertAlign w:val="baseline"/>
                <w:lang w:val="en-US" w:eastAsia="zh-CN"/>
              </w:rPr>
            </w:pPr>
            <w:r>
              <w:rPr>
                <w:rFonts w:hint="eastAsia" w:ascii="仿宋" w:hAnsi="仿宋" w:eastAsia="仿宋" w:cs="仿宋"/>
                <w:b/>
                <w:bCs/>
                <w:sz w:val="22"/>
                <w:szCs w:val="22"/>
                <w:vertAlign w:val="baseline"/>
                <w:lang w:val="en-US" w:eastAsia="zh-CN"/>
              </w:rPr>
              <w:t>单价（元）</w:t>
            </w:r>
          </w:p>
        </w:tc>
        <w:tc>
          <w:tcPr>
            <w:tcW w:w="1858"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 w:hAnsi="仿宋" w:eastAsia="仿宋" w:cs="仿宋"/>
                <w:b/>
                <w:bCs/>
                <w:sz w:val="22"/>
                <w:szCs w:val="22"/>
                <w:vertAlign w:val="baseline"/>
                <w:lang w:val="en-US" w:eastAsia="zh-CN"/>
              </w:rPr>
            </w:pPr>
            <w:r>
              <w:rPr>
                <w:rFonts w:hint="eastAsia" w:ascii="仿宋" w:hAnsi="仿宋" w:eastAsia="仿宋" w:cs="仿宋"/>
                <w:b/>
                <w:bCs/>
                <w:sz w:val="22"/>
                <w:szCs w:val="22"/>
                <w:vertAlign w:val="baseline"/>
                <w:lang w:val="en-US" w:eastAsia="zh-CN"/>
              </w:rPr>
              <w:t>数量</w:t>
            </w:r>
          </w:p>
        </w:tc>
        <w:tc>
          <w:tcPr>
            <w:tcW w:w="1858"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 w:hAnsi="仿宋" w:eastAsia="仿宋" w:cs="仿宋"/>
                <w:b/>
                <w:bCs/>
                <w:sz w:val="22"/>
                <w:szCs w:val="22"/>
                <w:vertAlign w:val="baseline"/>
                <w:lang w:val="en-US" w:eastAsia="zh-CN"/>
              </w:rPr>
            </w:pPr>
            <w:r>
              <w:rPr>
                <w:rFonts w:hint="eastAsia" w:ascii="仿宋" w:hAnsi="仿宋" w:eastAsia="仿宋" w:cs="仿宋"/>
                <w:b/>
                <w:bCs/>
                <w:sz w:val="22"/>
                <w:szCs w:val="22"/>
                <w:vertAlign w:val="baseline"/>
                <w:lang w:val="en-US" w:eastAsia="zh-CN"/>
              </w:rPr>
              <w:t>小计（元）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03"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 w:hAnsi="仿宋" w:eastAsia="仿宋" w:cs="仿宋"/>
                <w:b/>
                <w:bCs/>
                <w:sz w:val="22"/>
                <w:szCs w:val="22"/>
                <w:vertAlign w:val="baseline"/>
                <w:lang w:val="en-US" w:eastAsia="zh-CN"/>
              </w:rPr>
            </w:pPr>
            <w:r>
              <w:rPr>
                <w:rFonts w:hint="eastAsia" w:ascii="仿宋" w:hAnsi="仿宋" w:eastAsia="仿宋" w:cs="仿宋"/>
                <w:b/>
                <w:bCs/>
                <w:sz w:val="22"/>
                <w:szCs w:val="22"/>
                <w:vertAlign w:val="baseline"/>
                <w:lang w:val="en-US" w:eastAsia="zh-CN"/>
              </w:rPr>
              <w:t>1</w:t>
            </w:r>
          </w:p>
        </w:tc>
        <w:tc>
          <w:tcPr>
            <w:tcW w:w="3311" w:type="dxa"/>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sz w:val="22"/>
                <w:szCs w:val="28"/>
                <w:vertAlign w:val="baseline"/>
                <w:lang w:val="en-US" w:eastAsia="zh-CN"/>
              </w:rPr>
              <w:t>超声波明渠流量计</w:t>
            </w:r>
          </w:p>
        </w:tc>
        <w:tc>
          <w:tcPr>
            <w:tcW w:w="1858"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vertAlign w:val="baseline"/>
                <w:lang w:val="en-US" w:eastAsia="zh-CN"/>
              </w:rPr>
            </w:pPr>
          </w:p>
        </w:tc>
        <w:tc>
          <w:tcPr>
            <w:tcW w:w="1858"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 w:hAnsi="仿宋" w:eastAsia="仿宋" w:cs="仿宋"/>
                <w:sz w:val="22"/>
                <w:szCs w:val="22"/>
                <w:vertAlign w:val="baseline"/>
                <w:lang w:val="en-US" w:eastAsia="zh-CN"/>
              </w:rPr>
            </w:pPr>
            <w:r>
              <w:rPr>
                <w:rFonts w:hint="eastAsia" w:ascii="仿宋" w:hAnsi="仿宋" w:eastAsia="仿宋" w:cs="仿宋"/>
                <w:sz w:val="22"/>
                <w:szCs w:val="22"/>
                <w:vertAlign w:val="baseline"/>
                <w:lang w:val="en-US" w:eastAsia="zh-CN"/>
              </w:rPr>
              <w:t>3</w:t>
            </w:r>
          </w:p>
        </w:tc>
        <w:tc>
          <w:tcPr>
            <w:tcW w:w="1858"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03"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 w:hAnsi="仿宋" w:eastAsia="仿宋" w:cs="仿宋"/>
                <w:b/>
                <w:bCs/>
                <w:sz w:val="22"/>
                <w:szCs w:val="22"/>
                <w:vertAlign w:val="baseline"/>
                <w:lang w:val="en-US" w:eastAsia="zh-CN"/>
              </w:rPr>
            </w:pPr>
            <w:r>
              <w:rPr>
                <w:rFonts w:hint="eastAsia" w:ascii="仿宋" w:hAnsi="仿宋" w:eastAsia="仿宋" w:cs="仿宋"/>
                <w:b/>
                <w:bCs/>
                <w:sz w:val="22"/>
                <w:szCs w:val="22"/>
                <w:vertAlign w:val="baseline"/>
                <w:lang w:val="en-US" w:eastAsia="zh-CN"/>
              </w:rPr>
              <w:t>2</w:t>
            </w:r>
          </w:p>
        </w:tc>
        <w:tc>
          <w:tcPr>
            <w:tcW w:w="3311" w:type="dxa"/>
          </w:tcPr>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sz w:val="22"/>
                <w:szCs w:val="28"/>
                <w:vertAlign w:val="baseline"/>
                <w:lang w:val="en-US" w:eastAsia="zh-CN"/>
              </w:rPr>
              <w:t>数据采集传输仪</w:t>
            </w:r>
          </w:p>
        </w:tc>
        <w:tc>
          <w:tcPr>
            <w:tcW w:w="1858"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vertAlign w:val="baseline"/>
                <w:lang w:val="en-US" w:eastAsia="zh-CN"/>
              </w:rPr>
            </w:pPr>
          </w:p>
        </w:tc>
        <w:tc>
          <w:tcPr>
            <w:tcW w:w="1858"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仿宋" w:hAnsi="仿宋" w:eastAsia="仿宋" w:cs="仿宋"/>
                <w:sz w:val="22"/>
                <w:szCs w:val="22"/>
                <w:vertAlign w:val="baseline"/>
                <w:lang w:val="en-US" w:eastAsia="zh-CN"/>
              </w:rPr>
            </w:pPr>
            <w:r>
              <w:rPr>
                <w:rFonts w:hint="eastAsia" w:ascii="仿宋" w:hAnsi="仿宋" w:eastAsia="仿宋" w:cs="仿宋"/>
                <w:sz w:val="22"/>
                <w:szCs w:val="22"/>
                <w:vertAlign w:val="baseline"/>
                <w:lang w:val="en-US" w:eastAsia="zh-CN"/>
              </w:rPr>
              <w:t>3</w:t>
            </w:r>
          </w:p>
        </w:tc>
        <w:tc>
          <w:tcPr>
            <w:tcW w:w="1858" w:type="dxa"/>
          </w:tcPr>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8" w:type="dxa"/>
            <w:gridSpan w:val="5"/>
          </w:tcPr>
          <w:p>
            <w:pPr>
              <w:keepNext w:val="0"/>
              <w:keepLines w:val="0"/>
              <w:pageBreakBefore w:val="0"/>
              <w:widowControl w:val="0"/>
              <w:kinsoku/>
              <w:wordWrap/>
              <w:overflowPunct/>
              <w:topLinePunct w:val="0"/>
              <w:autoSpaceDE/>
              <w:autoSpaceDN/>
              <w:bidi w:val="0"/>
              <w:adjustRightInd/>
              <w:snapToGrid/>
              <w:spacing w:line="480" w:lineRule="exact"/>
              <w:jc w:val="right"/>
              <w:textAlignment w:val="auto"/>
              <w:rPr>
                <w:rFonts w:hint="default" w:ascii="仿宋" w:hAnsi="仿宋" w:eastAsia="仿宋" w:cs="仿宋"/>
                <w:sz w:val="22"/>
                <w:szCs w:val="22"/>
                <w:vertAlign w:val="baseline"/>
                <w:lang w:val="en-US" w:eastAsia="zh-CN"/>
              </w:rPr>
            </w:pPr>
            <w:r>
              <w:rPr>
                <w:rFonts w:hint="eastAsia" w:ascii="仿宋" w:hAnsi="仿宋" w:eastAsia="仿宋" w:cs="仿宋"/>
                <w:b/>
                <w:bCs/>
                <w:sz w:val="22"/>
                <w:szCs w:val="22"/>
                <w:vertAlign w:val="baseline"/>
                <w:lang w:val="en-US" w:eastAsia="zh-CN"/>
              </w:rPr>
              <w:t>合计：</w:t>
            </w:r>
            <w:r>
              <w:rPr>
                <w:rFonts w:hint="eastAsia" w:ascii="仿宋" w:hAnsi="仿宋" w:eastAsia="仿宋" w:cs="仿宋"/>
                <w:b/>
                <w:bCs/>
                <w:sz w:val="22"/>
                <w:szCs w:val="22"/>
                <w:u w:val="single"/>
                <w:vertAlign w:val="baseline"/>
                <w:lang w:val="en-US" w:eastAsia="zh-CN"/>
              </w:rPr>
              <w:t xml:space="preserve">             </w:t>
            </w:r>
            <w:r>
              <w:rPr>
                <w:rFonts w:hint="eastAsia" w:ascii="仿宋" w:hAnsi="仿宋" w:eastAsia="仿宋" w:cs="仿宋"/>
                <w:b/>
                <w:bCs/>
                <w:sz w:val="22"/>
                <w:szCs w:val="22"/>
                <w:u w:val="none"/>
                <w:vertAlign w:val="baseline"/>
                <w:lang w:val="en-US" w:eastAsia="zh-CN"/>
              </w:rPr>
              <w:t>元</w:t>
            </w:r>
          </w:p>
        </w:tc>
      </w:tr>
    </w:tbl>
    <w:p>
      <w:pPr>
        <w:keepNext w:val="0"/>
        <w:keepLines w:val="0"/>
        <w:pageBreakBefore w:val="0"/>
        <w:widowControl w:val="0"/>
        <w:numPr>
          <w:ilvl w:val="0"/>
          <w:numId w:val="4"/>
        </w:numPr>
        <w:kinsoku/>
        <w:wordWrap/>
        <w:overflowPunct/>
        <w:topLinePunct w:val="0"/>
        <w:autoSpaceDE/>
        <w:autoSpaceDN/>
        <w:bidi w:val="0"/>
        <w:adjustRightInd/>
        <w:snapToGrid/>
        <w:spacing w:line="480" w:lineRule="exact"/>
        <w:jc w:val="left"/>
        <w:textAlignment w:val="auto"/>
        <w:rPr>
          <w:rFonts w:hint="default" w:ascii="宋体" w:hAnsi="宋体" w:eastAsia="宋体" w:cs="宋体"/>
          <w:b/>
          <w:bCs/>
          <w:sz w:val="28"/>
          <w:szCs w:val="36"/>
          <w:lang w:val="en-US" w:eastAsia="zh-CN"/>
        </w:rPr>
      </w:pPr>
      <w:r>
        <w:rPr>
          <w:rFonts w:hint="eastAsia" w:ascii="宋体" w:hAnsi="宋体" w:eastAsia="宋体" w:cs="宋体"/>
          <w:b/>
          <w:bCs/>
          <w:sz w:val="28"/>
          <w:szCs w:val="36"/>
          <w:lang w:val="en-US" w:eastAsia="zh-CN"/>
        </w:rPr>
        <w:t>设备验收</w:t>
      </w:r>
    </w:p>
    <w:p>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firstLine="560" w:firstLineChars="200"/>
        <w:jc w:val="left"/>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设备安装调试完成并稳定运行不少于30天后，由供应商提出验收申请。</w:t>
      </w:r>
    </w:p>
    <w:p>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firstLine="560" w:firstLineChars="200"/>
        <w:jc w:val="left"/>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验收依据：HJ354—2019《水污染源在线监测系统验收技术规范》及HJ212-2025《污染源自动监测监控系统数据传输技术要求》相关要求。</w:t>
      </w:r>
    </w:p>
    <w:p>
      <w:pPr>
        <w:keepNext w:val="0"/>
        <w:keepLines w:val="0"/>
        <w:pageBreakBefore w:val="0"/>
        <w:widowControl w:val="0"/>
        <w:numPr>
          <w:ilvl w:val="0"/>
          <w:numId w:val="5"/>
        </w:numPr>
        <w:kinsoku/>
        <w:wordWrap/>
        <w:overflowPunct/>
        <w:topLinePunct w:val="0"/>
        <w:autoSpaceDE/>
        <w:autoSpaceDN/>
        <w:bidi w:val="0"/>
        <w:adjustRightInd/>
        <w:snapToGrid/>
        <w:spacing w:line="480" w:lineRule="exact"/>
        <w:ind w:firstLine="560" w:firstLineChars="200"/>
        <w:jc w:val="left"/>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验收内容</w:t>
      </w:r>
    </w:p>
    <w:p>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设备技术指标核查：对照采购需求逐项核查设备参数。</w:t>
      </w:r>
    </w:p>
    <w:p>
      <w:pPr>
        <w:keepNext w:val="0"/>
        <w:keepLines w:val="0"/>
        <w:pageBreakBefore w:val="0"/>
        <w:widowControl w:val="0"/>
        <w:numPr>
          <w:ilvl w:val="0"/>
          <w:numId w:val="6"/>
        </w:numPr>
        <w:kinsoku/>
        <w:wordWrap/>
        <w:overflowPunct/>
        <w:topLinePunct w:val="0"/>
        <w:autoSpaceDE/>
        <w:autoSpaceDN/>
        <w:bidi w:val="0"/>
        <w:adjustRightInd/>
        <w:snapToGrid/>
        <w:spacing w:line="480" w:lineRule="exact"/>
        <w:ind w:firstLine="560" w:firstLineChars="200"/>
        <w:jc w:val="left"/>
        <w:textAlignment w:val="auto"/>
        <w:rPr>
          <w:rFonts w:hint="default" w:ascii="仿宋" w:hAnsi="仿宋" w:eastAsia="仿宋" w:cs="仿宋"/>
          <w:sz w:val="28"/>
          <w:szCs w:val="36"/>
          <w:lang w:val="en-US" w:eastAsia="zh-CN"/>
        </w:rPr>
      </w:pPr>
      <w:r>
        <w:rPr>
          <w:rFonts w:hint="default" w:ascii="仿宋" w:hAnsi="仿宋" w:eastAsia="仿宋" w:cs="仿宋"/>
          <w:sz w:val="28"/>
          <w:szCs w:val="36"/>
          <w:lang w:val="en-US" w:eastAsia="zh-CN"/>
        </w:rPr>
        <w:t>资料完整性检查：包括产品合格证、说明书、检测报告、注册证明等。</w:t>
      </w:r>
    </w:p>
    <w:p>
      <w:pPr>
        <w:keepNext w:val="0"/>
        <w:keepLines w:val="0"/>
        <w:pageBreakBefore w:val="0"/>
        <w:widowControl w:val="0"/>
        <w:numPr>
          <w:ilvl w:val="0"/>
          <w:numId w:val="4"/>
        </w:numPr>
        <w:kinsoku/>
        <w:wordWrap/>
        <w:overflowPunct/>
        <w:topLinePunct w:val="0"/>
        <w:autoSpaceDE/>
        <w:autoSpaceDN/>
        <w:bidi w:val="0"/>
        <w:adjustRightInd/>
        <w:snapToGrid/>
        <w:spacing w:line="480" w:lineRule="exact"/>
        <w:jc w:val="left"/>
        <w:textAlignment w:val="auto"/>
        <w:rPr>
          <w:rFonts w:hint="default" w:ascii="宋体" w:hAnsi="宋体" w:eastAsia="宋体" w:cs="宋体"/>
          <w:b/>
          <w:bCs/>
          <w:sz w:val="28"/>
          <w:szCs w:val="36"/>
          <w:lang w:val="en-US" w:eastAsia="zh-CN"/>
        </w:rPr>
      </w:pPr>
      <w:r>
        <w:rPr>
          <w:rFonts w:hint="eastAsia" w:ascii="宋体" w:hAnsi="宋体" w:eastAsia="宋体" w:cs="宋体"/>
          <w:b/>
          <w:bCs/>
          <w:sz w:val="28"/>
          <w:szCs w:val="36"/>
          <w:lang w:val="en-US" w:eastAsia="zh-CN"/>
        </w:rPr>
        <w:t>现场踏勘</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default" w:ascii="仿宋" w:hAnsi="仿宋" w:eastAsia="仿宋" w:cs="仿宋"/>
          <w:strike w:val="0"/>
          <w:dstrike w:val="0"/>
          <w:sz w:val="28"/>
          <w:szCs w:val="36"/>
          <w:lang w:val="en-US" w:eastAsia="zh-CN"/>
        </w:rPr>
      </w:pPr>
      <w:r>
        <w:rPr>
          <w:rFonts w:hint="eastAsia" w:ascii="仿宋" w:hAnsi="仿宋" w:eastAsia="仿宋" w:cs="仿宋"/>
          <w:strike w:val="0"/>
          <w:dstrike w:val="0"/>
          <w:sz w:val="28"/>
          <w:szCs w:val="36"/>
          <w:lang w:val="en-US" w:eastAsia="zh-CN"/>
        </w:rPr>
        <w:t>现场踏勘联系人：叶工13877216376</w:t>
      </w:r>
    </w:p>
    <w:p>
      <w:pPr>
        <w:keepNext w:val="0"/>
        <w:keepLines w:val="0"/>
        <w:pageBreakBefore w:val="0"/>
        <w:widowControl w:val="0"/>
        <w:numPr>
          <w:ilvl w:val="0"/>
          <w:numId w:val="4"/>
        </w:numPr>
        <w:kinsoku/>
        <w:wordWrap/>
        <w:overflowPunct/>
        <w:topLinePunct w:val="0"/>
        <w:autoSpaceDE/>
        <w:autoSpaceDN/>
        <w:bidi w:val="0"/>
        <w:adjustRightInd/>
        <w:snapToGrid/>
        <w:spacing w:line="480" w:lineRule="exact"/>
        <w:jc w:val="left"/>
        <w:textAlignment w:val="auto"/>
        <w:rPr>
          <w:rFonts w:hint="eastAsia" w:ascii="宋体" w:hAnsi="宋体" w:eastAsia="宋体" w:cs="宋体"/>
          <w:b/>
          <w:bCs/>
          <w:sz w:val="28"/>
          <w:szCs w:val="36"/>
          <w:lang w:val="en-US" w:eastAsia="zh-CN"/>
        </w:rPr>
      </w:pPr>
      <w:r>
        <w:rPr>
          <w:rFonts w:hint="eastAsia" w:ascii="宋体" w:hAnsi="宋体" w:eastAsia="宋体" w:cs="宋体"/>
          <w:b/>
          <w:bCs/>
          <w:sz w:val="28"/>
          <w:szCs w:val="36"/>
          <w:lang w:val="en-US" w:eastAsia="zh-CN"/>
        </w:rPr>
        <w:t>合同期及结算方式</w:t>
      </w:r>
    </w:p>
    <w:p>
      <w:pPr>
        <w:keepNext w:val="0"/>
        <w:keepLines w:val="0"/>
        <w:pageBreakBefore w:val="0"/>
        <w:widowControl w:val="0"/>
        <w:numPr>
          <w:ilvl w:val="0"/>
          <w:numId w:val="7"/>
        </w:numPr>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合同期：合同签订之日起至项目验收合格之日止。</w:t>
      </w:r>
    </w:p>
    <w:p>
      <w:pPr>
        <w:keepNext w:val="0"/>
        <w:keepLines w:val="0"/>
        <w:pageBreakBefore w:val="0"/>
        <w:widowControl w:val="0"/>
        <w:numPr>
          <w:ilvl w:val="0"/>
          <w:numId w:val="7"/>
        </w:numPr>
        <w:kinsoku/>
        <w:wordWrap/>
        <w:overflowPunct/>
        <w:topLinePunct w:val="0"/>
        <w:autoSpaceDE/>
        <w:autoSpaceDN/>
        <w:bidi w:val="0"/>
        <w:adjustRightInd/>
        <w:snapToGrid/>
        <w:spacing w:line="480" w:lineRule="exact"/>
        <w:ind w:firstLine="560" w:firstLineChars="200"/>
        <w:jc w:val="left"/>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结算方式：本项目无预付款，设备验收合格后一次性支付全部款项。</w:t>
      </w:r>
    </w:p>
    <w:p>
      <w:pPr>
        <w:keepNext w:val="0"/>
        <w:keepLines w:val="0"/>
        <w:pageBreakBefore w:val="0"/>
        <w:widowControl w:val="0"/>
        <w:numPr>
          <w:ilvl w:val="0"/>
          <w:numId w:val="4"/>
        </w:numPr>
        <w:kinsoku/>
        <w:wordWrap/>
        <w:overflowPunct/>
        <w:topLinePunct w:val="0"/>
        <w:autoSpaceDE/>
        <w:autoSpaceDN/>
        <w:bidi w:val="0"/>
        <w:adjustRightInd/>
        <w:snapToGrid/>
        <w:spacing w:line="480" w:lineRule="exact"/>
        <w:jc w:val="left"/>
        <w:textAlignment w:val="auto"/>
        <w:rPr>
          <w:rFonts w:hint="default" w:ascii="宋体" w:hAnsi="宋体" w:eastAsia="宋体" w:cs="宋体"/>
          <w:b/>
          <w:bCs/>
          <w:sz w:val="28"/>
          <w:szCs w:val="36"/>
          <w:lang w:val="en-US" w:eastAsia="zh-CN"/>
        </w:rPr>
      </w:pPr>
      <w:r>
        <w:rPr>
          <w:rFonts w:hint="eastAsia" w:ascii="宋体" w:hAnsi="宋体" w:eastAsia="宋体" w:cs="宋体"/>
          <w:b/>
          <w:bCs/>
          <w:sz w:val="28"/>
          <w:szCs w:val="36"/>
          <w:lang w:val="en-US" w:eastAsia="zh-CN"/>
        </w:rPr>
        <w:t>服务商遴选方式</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trike w:val="0"/>
          <w:dstrike w:val="0"/>
          <w:sz w:val="28"/>
          <w:szCs w:val="36"/>
          <w:lang w:val="en-US" w:eastAsia="zh-CN"/>
        </w:rPr>
      </w:pPr>
      <w:r>
        <w:rPr>
          <w:rFonts w:hint="eastAsia" w:ascii="仿宋" w:hAnsi="仿宋" w:eastAsia="仿宋" w:cs="仿宋"/>
          <w:strike w:val="0"/>
          <w:dstrike w:val="0"/>
          <w:sz w:val="28"/>
          <w:szCs w:val="36"/>
          <w:lang w:val="en-US" w:eastAsia="zh-CN"/>
        </w:rPr>
        <w:t>在满足招标文件实质性要求的前提下,选择1家供应商负责本项目。</w:t>
      </w:r>
    </w:p>
    <w:p>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trike w:val="0"/>
          <w:dstrike w:val="0"/>
          <w:sz w:val="28"/>
          <w:szCs w:val="36"/>
          <w:lang w:val="en-US" w:eastAsia="zh-CN"/>
        </w:rPr>
      </w:pPr>
    </w:p>
    <w:p>
      <w:pPr>
        <w:keepNext w:val="0"/>
        <w:keepLines w:val="0"/>
        <w:pageBreakBefore w:val="0"/>
        <w:widowControl w:val="0"/>
        <w:kinsoku/>
        <w:wordWrap/>
        <w:overflowPunct/>
        <w:topLinePunct w:val="0"/>
        <w:autoSpaceDE/>
        <w:autoSpaceDN/>
        <w:bidi w:val="0"/>
        <w:adjustRightInd/>
        <w:snapToGrid/>
        <w:spacing w:line="480" w:lineRule="exact"/>
        <w:ind w:firstLine="5040" w:firstLineChars="1800"/>
        <w:jc w:val="left"/>
        <w:textAlignment w:val="auto"/>
        <w:rPr>
          <w:rFonts w:hint="eastAsia" w:ascii="仿宋" w:hAnsi="仿宋" w:eastAsia="仿宋" w:cs="仿宋"/>
          <w:sz w:val="28"/>
          <w:szCs w:val="36"/>
          <w:lang w:val="en-US" w:eastAsia="zh-CN"/>
        </w:rPr>
      </w:pP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00000000" w:usb1="00000000" w:usb2="00000000" w:usb3="00000000" w:csb0="00000000" w:csb1="00000000"/>
    <w:embedRegular r:id="rId1" w:fontKey="{7A981198-B279-45BB-AB8B-CA5CCC460E6A}"/>
  </w:font>
  <w:font w:name="仿宋">
    <w:panose1 w:val="02010609060101010101"/>
    <w:charset w:val="86"/>
    <w:family w:val="auto"/>
    <w:pitch w:val="default"/>
    <w:sig w:usb0="800002BF" w:usb1="38CF7CFA" w:usb2="00000016" w:usb3="00000000" w:csb0="00040001" w:csb1="00000000"/>
    <w:embedRegular r:id="rId2" w:fontKey="{42EAF5A1-E070-4675-971B-0099290B115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0A02343"/>
    <w:multiLevelType w:val="singleLevel"/>
    <w:tmpl w:val="C0A02343"/>
    <w:lvl w:ilvl="0" w:tentative="0">
      <w:start w:val="1"/>
      <w:numFmt w:val="decimal"/>
      <w:lvlText w:val="%1."/>
      <w:lvlJc w:val="left"/>
      <w:pPr>
        <w:ind w:left="425" w:hanging="425"/>
      </w:pPr>
      <w:rPr>
        <w:rFonts w:hint="default"/>
      </w:rPr>
    </w:lvl>
  </w:abstractNum>
  <w:abstractNum w:abstractNumId="1">
    <w:nsid w:val="CE9879E4"/>
    <w:multiLevelType w:val="singleLevel"/>
    <w:tmpl w:val="CE9879E4"/>
    <w:lvl w:ilvl="0" w:tentative="0">
      <w:start w:val="1"/>
      <w:numFmt w:val="decimal"/>
      <w:suff w:val="nothing"/>
      <w:lvlText w:val="%1．"/>
      <w:lvlJc w:val="left"/>
      <w:pPr>
        <w:ind w:left="0" w:firstLine="400"/>
      </w:pPr>
      <w:rPr>
        <w:rFonts w:hint="default"/>
      </w:rPr>
    </w:lvl>
  </w:abstractNum>
  <w:abstractNum w:abstractNumId="2">
    <w:nsid w:val="DD2CAC8A"/>
    <w:multiLevelType w:val="singleLevel"/>
    <w:tmpl w:val="DD2CAC8A"/>
    <w:lvl w:ilvl="0" w:tentative="0">
      <w:start w:val="1"/>
      <w:numFmt w:val="decimal"/>
      <w:suff w:val="space"/>
      <w:lvlText w:val="%1."/>
      <w:lvlJc w:val="left"/>
    </w:lvl>
  </w:abstractNum>
  <w:abstractNum w:abstractNumId="3">
    <w:nsid w:val="E0623832"/>
    <w:multiLevelType w:val="singleLevel"/>
    <w:tmpl w:val="E0623832"/>
    <w:lvl w:ilvl="0" w:tentative="0">
      <w:start w:val="6"/>
      <w:numFmt w:val="chineseCounting"/>
      <w:suff w:val="nothing"/>
      <w:lvlText w:val="%1、"/>
      <w:lvlJc w:val="left"/>
      <w:rPr>
        <w:rFonts w:hint="eastAsia"/>
      </w:rPr>
    </w:lvl>
  </w:abstractNum>
  <w:abstractNum w:abstractNumId="4">
    <w:nsid w:val="08CBAC54"/>
    <w:multiLevelType w:val="singleLevel"/>
    <w:tmpl w:val="08CBAC54"/>
    <w:lvl w:ilvl="0" w:tentative="0">
      <w:start w:val="1"/>
      <w:numFmt w:val="decimal"/>
      <w:lvlText w:val="%1."/>
      <w:lvlJc w:val="left"/>
      <w:pPr>
        <w:ind w:left="425" w:hanging="425"/>
      </w:pPr>
      <w:rPr>
        <w:rFonts w:hint="default"/>
      </w:rPr>
    </w:lvl>
  </w:abstractNum>
  <w:abstractNum w:abstractNumId="5">
    <w:nsid w:val="1B4F1DCA"/>
    <w:multiLevelType w:val="singleLevel"/>
    <w:tmpl w:val="1B4F1DCA"/>
    <w:lvl w:ilvl="0" w:tentative="0">
      <w:start w:val="1"/>
      <w:numFmt w:val="decimal"/>
      <w:suff w:val="nothing"/>
      <w:lvlText w:val="（%1）"/>
      <w:lvlJc w:val="left"/>
    </w:lvl>
  </w:abstractNum>
  <w:abstractNum w:abstractNumId="6">
    <w:nsid w:val="244CD6E1"/>
    <w:multiLevelType w:val="singleLevel"/>
    <w:tmpl w:val="244CD6E1"/>
    <w:lvl w:ilvl="0" w:tentative="0">
      <w:start w:val="1"/>
      <w:numFmt w:val="decimal"/>
      <w:suff w:val="space"/>
      <w:lvlText w:val="%1."/>
      <w:lvlJc w:val="left"/>
    </w:lvl>
  </w:abstractNum>
  <w:num w:numId="1">
    <w:abstractNumId w:val="1"/>
  </w:num>
  <w:num w:numId="2">
    <w:abstractNumId w:val="0"/>
  </w:num>
  <w:num w:numId="3">
    <w:abstractNumId w:val="4"/>
  </w:num>
  <w:num w:numId="4">
    <w:abstractNumId w:val="3"/>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97D59"/>
    <w:rsid w:val="040137BF"/>
    <w:rsid w:val="04306C55"/>
    <w:rsid w:val="044029A5"/>
    <w:rsid w:val="07E70167"/>
    <w:rsid w:val="096B0B80"/>
    <w:rsid w:val="109F790E"/>
    <w:rsid w:val="10A36062"/>
    <w:rsid w:val="1BA42E9A"/>
    <w:rsid w:val="1C78515D"/>
    <w:rsid w:val="23C20A48"/>
    <w:rsid w:val="24D5337D"/>
    <w:rsid w:val="287F42CA"/>
    <w:rsid w:val="2AA869CC"/>
    <w:rsid w:val="2D476C21"/>
    <w:rsid w:val="2F2F4B3E"/>
    <w:rsid w:val="30573E81"/>
    <w:rsid w:val="30AE6631"/>
    <w:rsid w:val="318F1FBE"/>
    <w:rsid w:val="35747E49"/>
    <w:rsid w:val="3BEB698B"/>
    <w:rsid w:val="3DBA7065"/>
    <w:rsid w:val="3E6C35EA"/>
    <w:rsid w:val="410A340F"/>
    <w:rsid w:val="43811C6D"/>
    <w:rsid w:val="47FE7660"/>
    <w:rsid w:val="4868706C"/>
    <w:rsid w:val="4F6E1D9C"/>
    <w:rsid w:val="505653B9"/>
    <w:rsid w:val="5218570F"/>
    <w:rsid w:val="5423612A"/>
    <w:rsid w:val="568F5B19"/>
    <w:rsid w:val="5A91468D"/>
    <w:rsid w:val="5CD8066B"/>
    <w:rsid w:val="5D220CD4"/>
    <w:rsid w:val="5D237BEA"/>
    <w:rsid w:val="5E1653BF"/>
    <w:rsid w:val="612E684E"/>
    <w:rsid w:val="619F6B5D"/>
    <w:rsid w:val="669A043F"/>
    <w:rsid w:val="68A30C6D"/>
    <w:rsid w:val="690701F1"/>
    <w:rsid w:val="6A0C12D7"/>
    <w:rsid w:val="6A2200FD"/>
    <w:rsid w:val="6A99664B"/>
    <w:rsid w:val="6C2F1746"/>
    <w:rsid w:val="75600F87"/>
    <w:rsid w:val="75DF314C"/>
    <w:rsid w:val="7D830343"/>
    <w:rsid w:val="7F4E0D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1282</Words>
  <Characters>1410</Characters>
  <Lines>0</Lines>
  <Paragraphs>0</Paragraphs>
  <TotalTime>8</TotalTime>
  <ScaleCrop>false</ScaleCrop>
  <LinksUpToDate>false</LinksUpToDate>
  <CharactersWithSpaces>1453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2026-03-25T08:31:00Z</dcterms:created>
  <dc:creator>hifil</dc:creator>
  <cp:lastModifiedBy>刘婷婷</cp:lastModifiedBy>
  <cp:lastPrinted>2026-08-31T07:17:00Z</cp:lastPrinted>
  <dcterms:modified xsi:type="dcterms:W3CDTF">2026-09-04T08:50:50Z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KSOTemplateDocerSaveRecord">
    <vt:lpwstr>eyJoZGlkIjoiMGY5ODQ2NzZmZTBiMjJmZWU3ODRmODM5OTU4YzQyYzAiLCJ1c2VySWQiOiIxMDg2MTU5In0=</vt:lpwstr>
  </property>
  <property fmtid="{D5CDD505-2E9C-101B-9397-08002B2CF9AE}" pid="4" name="ICV">
    <vt:lpwstr>92162D298FB94C3AB4C0D6C6BB2DE68E_13</vt:lpwstr>
  </property>
</Properties>
</file>