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97C05">
      <w:pPr>
        <w:tabs>
          <w:tab w:val="left" w:pos="7275"/>
        </w:tabs>
        <w:spacing w:line="48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总院5楼生殖医学中心实验室增加监控设备及防冻防滑钢板等采购安装项目需求</w:t>
      </w:r>
    </w:p>
    <w:p w14:paraId="3A2DE357">
      <w:pPr>
        <w:rPr>
          <w:rFonts w:hint="eastAsia" w:ascii="仿宋" w:hAnsi="仿宋" w:eastAsia="仿宋" w:cs="仿宋"/>
        </w:rPr>
      </w:pPr>
    </w:p>
    <w:p w14:paraId="1B92EC9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一、</w:t>
      </w:r>
      <w:r>
        <w:rPr>
          <w:rFonts w:hint="eastAsia" w:ascii="仿宋" w:hAnsi="仿宋" w:eastAsia="仿宋" w:cs="仿宋"/>
          <w:b/>
          <w:bCs/>
          <w:sz w:val="28"/>
          <w:szCs w:val="28"/>
        </w:rPr>
        <w:t>项目</w:t>
      </w:r>
      <w:r>
        <w:rPr>
          <w:rFonts w:hint="eastAsia" w:ascii="仿宋" w:hAnsi="仿宋" w:eastAsia="仿宋" w:cs="仿宋"/>
          <w:b/>
          <w:bCs/>
          <w:sz w:val="28"/>
          <w:szCs w:val="28"/>
          <w:lang w:eastAsia="zh-CN"/>
        </w:rPr>
        <w:t>名称</w:t>
      </w:r>
    </w:p>
    <w:p w14:paraId="37BF7083">
      <w:pPr>
        <w:keepNext w:val="0"/>
        <w:keepLines w:val="0"/>
        <w:pageBreakBefore w:val="0"/>
        <w:tabs>
          <w:tab w:val="left" w:pos="7275"/>
        </w:tabs>
        <w:kinsoku/>
        <w:wordWrap/>
        <w:overflowPunct/>
        <w:topLinePunct w:val="0"/>
        <w:autoSpaceDE/>
        <w:autoSpaceDN/>
        <w:bidi w:val="0"/>
        <w:adjustRightInd/>
        <w:snapToGrid/>
        <w:spacing w:line="500" w:lineRule="exact"/>
        <w:jc w:val="both"/>
        <w:textAlignment w:val="auto"/>
        <w:rPr>
          <w:rFonts w:hint="eastAsia" w:ascii="仿宋" w:hAnsi="仿宋" w:eastAsia="仿宋" w:cs="仿宋"/>
          <w:sz w:val="28"/>
          <w:szCs w:val="28"/>
        </w:rPr>
      </w:pPr>
      <w:r>
        <w:rPr>
          <w:rFonts w:hint="eastAsia" w:ascii="仿宋" w:hAnsi="仿宋" w:eastAsia="仿宋" w:cs="仿宋"/>
          <w:b w:val="0"/>
          <w:bCs w:val="0"/>
          <w:sz w:val="28"/>
          <w:szCs w:val="28"/>
          <w:lang w:val="en-US" w:eastAsia="zh-CN"/>
        </w:rPr>
        <w:t xml:space="preserve">    总院5楼生殖医学中心实验室增加监控设备及防冻防滑钢板等采购安装项目</w:t>
      </w:r>
      <w:r>
        <w:rPr>
          <w:rFonts w:hint="eastAsia" w:ascii="仿宋" w:hAnsi="仿宋" w:eastAsia="仿宋" w:cs="仿宋"/>
          <w:sz w:val="28"/>
          <w:szCs w:val="28"/>
        </w:rPr>
        <w:t>。</w:t>
      </w:r>
    </w:p>
    <w:p w14:paraId="59030D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二、项目概况</w:t>
      </w:r>
    </w:p>
    <w:p w14:paraId="124D3A4E">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default" w:ascii="仿宋_GB2312" w:hAnsi="仿宋_GB2312" w:eastAsia="仿宋_GB2312" w:cs="仿宋_GB2312"/>
          <w:sz w:val="30"/>
          <w:szCs w:val="30"/>
          <w:lang w:val="en-US" w:eastAsia="zh-CN"/>
        </w:rPr>
      </w:pPr>
      <w:r>
        <w:rPr>
          <w:rFonts w:hint="eastAsia" w:ascii="仿宋" w:hAnsi="仿宋" w:eastAsia="仿宋" w:cs="仿宋"/>
          <w:b w:val="0"/>
          <w:bCs w:val="0"/>
          <w:sz w:val="28"/>
          <w:szCs w:val="28"/>
          <w:lang w:val="en-US" w:eastAsia="zh-CN"/>
        </w:rPr>
        <w:t>本项目为总院5楼生殖医学中心实验室增加监控设备及防冻防滑钢板等采购安装项目，主要包含</w:t>
      </w:r>
      <w:r>
        <w:rPr>
          <w:rFonts w:hint="eastAsia" w:ascii="仿宋_GB2312" w:hAnsi="仿宋_GB2312" w:eastAsia="仿宋_GB2312" w:cs="仿宋_GB2312"/>
          <w:sz w:val="30"/>
          <w:szCs w:val="30"/>
          <w:lang w:val="en-US" w:eastAsia="zh-CN"/>
        </w:rPr>
        <w:t>防冻防滑不锈钢钢板采购铺设、监控设备采购安装、空气消毒设备采购安装、洁净区家具采购安装及通风口及回风设施采购安装等。</w:t>
      </w:r>
    </w:p>
    <w:p w14:paraId="2D9609C3">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pPr>
      <w:r>
        <w:rPr>
          <w:rFonts w:hint="eastAsia" w:ascii="仿宋" w:hAnsi="仿宋" w:eastAsia="仿宋" w:cs="仿宋"/>
          <w:b/>
          <w:bCs/>
          <w:sz w:val="28"/>
          <w:szCs w:val="28"/>
          <w:lang w:val="en-US" w:eastAsia="zh-CN"/>
        </w:rPr>
        <w:t>三、投标人/供应商资格条件</w:t>
      </w:r>
    </w:p>
    <w:p w14:paraId="3062E5F4">
      <w:pPr>
        <w:keepNext w:val="0"/>
        <w:keepLines w:val="0"/>
        <w:pageBreakBefore w:val="0"/>
        <w:widowControl w:val="0"/>
        <w:kinsoku/>
        <w:wordWrap/>
        <w:overflowPunct/>
        <w:topLinePunct w:val="0"/>
        <w:autoSpaceDE/>
        <w:autoSpaceDN/>
        <w:bidi w:val="0"/>
        <w:adjustRightInd/>
        <w:snapToGrid/>
        <w:spacing w:line="46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1、投标人需为国内注册（指按国家有关规定要求注册的），具备法人资格；</w:t>
      </w:r>
    </w:p>
    <w:p w14:paraId="5F92A374">
      <w:pPr>
        <w:keepNext w:val="0"/>
        <w:keepLines w:val="0"/>
        <w:pageBreakBefore w:val="0"/>
        <w:widowControl w:val="0"/>
        <w:kinsoku/>
        <w:wordWrap/>
        <w:overflowPunct/>
        <w:topLinePunct w:val="0"/>
        <w:autoSpaceDE/>
        <w:autoSpaceDN/>
        <w:bidi w:val="0"/>
        <w:adjustRightInd/>
        <w:snapToGrid/>
        <w:spacing w:line="46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2、参与单位三年内在经营活动中没有重大违法记录和不良信用记录；</w:t>
      </w:r>
    </w:p>
    <w:p w14:paraId="41283D5A">
      <w:pPr>
        <w:keepNext w:val="0"/>
        <w:keepLines w:val="0"/>
        <w:pageBreakBefore w:val="0"/>
        <w:widowControl w:val="0"/>
        <w:kinsoku/>
        <w:wordWrap/>
        <w:overflowPunct/>
        <w:topLinePunct w:val="0"/>
        <w:autoSpaceDE/>
        <w:autoSpaceDN/>
        <w:bidi w:val="0"/>
        <w:adjustRightInd/>
        <w:snapToGrid/>
        <w:spacing w:line="46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3、参与单位有效的“营业执照”副本复印件；</w:t>
      </w:r>
    </w:p>
    <w:p w14:paraId="5A4344E6">
      <w:pPr>
        <w:keepNext w:val="0"/>
        <w:keepLines w:val="0"/>
        <w:pageBreakBefore w:val="0"/>
        <w:widowControl w:val="0"/>
        <w:kinsoku/>
        <w:wordWrap/>
        <w:overflowPunct/>
        <w:topLinePunct w:val="0"/>
        <w:autoSpaceDE/>
        <w:autoSpaceDN/>
        <w:bidi w:val="0"/>
        <w:adjustRightInd/>
        <w:snapToGrid/>
        <w:spacing w:line="46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4、由国家质量技术监督局颁发的中华人民共和国组织机构代码证复印件（三证合一除外）和法定代表人身份证明复印件； </w:t>
      </w:r>
    </w:p>
    <w:p w14:paraId="613C8029">
      <w:pPr>
        <w:keepNext w:val="0"/>
        <w:keepLines w:val="0"/>
        <w:pageBreakBefore w:val="0"/>
        <w:widowControl w:val="0"/>
        <w:kinsoku/>
        <w:wordWrap/>
        <w:overflowPunct/>
        <w:topLinePunct w:val="0"/>
        <w:autoSpaceDE/>
        <w:autoSpaceDN/>
        <w:bidi w:val="0"/>
        <w:adjustRightInd/>
        <w:snapToGrid/>
        <w:spacing w:line="46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5、参与单位有效的“税务登记证”副本复印件（国税或地税，三证合一除外）；</w:t>
      </w:r>
    </w:p>
    <w:p w14:paraId="4B3B784A">
      <w:pPr>
        <w:keepNext w:val="0"/>
        <w:keepLines w:val="0"/>
        <w:pageBreakBefore w:val="0"/>
        <w:widowControl w:val="0"/>
        <w:kinsoku/>
        <w:wordWrap/>
        <w:overflowPunct/>
        <w:topLinePunct w:val="0"/>
        <w:autoSpaceDE/>
        <w:autoSpaceDN/>
        <w:bidi w:val="0"/>
        <w:adjustRightInd/>
        <w:snapToGrid/>
        <w:spacing w:line="46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6、标书中应注明该单位相关业绩；</w:t>
      </w:r>
    </w:p>
    <w:p w14:paraId="48FD3EDF">
      <w:pPr>
        <w:keepNext w:val="0"/>
        <w:keepLines w:val="0"/>
        <w:widowControl/>
        <w:suppressLineNumbers w:val="0"/>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四、项目采购内容及回收置换清单</w:t>
      </w:r>
    </w:p>
    <w:tbl>
      <w:tblPr>
        <w:tblStyle w:val="9"/>
        <w:tblW w:w="107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3"/>
        <w:gridCol w:w="2192"/>
        <w:gridCol w:w="704"/>
        <w:gridCol w:w="819"/>
        <w:gridCol w:w="5539"/>
        <w:gridCol w:w="699"/>
      </w:tblGrid>
      <w:tr w14:paraId="157A2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8C10">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序号</w:t>
            </w:r>
          </w:p>
        </w:tc>
        <w:tc>
          <w:tcPr>
            <w:tcW w:w="2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B26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名称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08F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单位</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CD2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5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8C908">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备注（参考品牌）</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3D09">
            <w:pPr>
              <w:keepNext w:val="0"/>
              <w:keepLines w:val="0"/>
              <w:widowControl/>
              <w:suppressLineNumbers w:val="0"/>
              <w:jc w:val="center"/>
              <w:textAlignment w:val="center"/>
              <w:rPr>
                <w:rFonts w:hint="default"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备注</w:t>
            </w:r>
          </w:p>
        </w:tc>
      </w:tr>
      <w:tr w14:paraId="04F92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2C4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DC4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红外高清半球型网络摄像机</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25C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19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14</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284F4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1、安装方式：天花吸顶安装</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 xml:space="preserve">2、400万像素，阵列红外30~50米，PoE(802.3at)，背光补偿，ROI，IP67    支持智能功能，支持三码流，25%宽电压，自带拾音器  </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7ADC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759AB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98F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B0B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网络交换机</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6219">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6AD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8AED8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48口千兆POE</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01D3">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77BF3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EFC7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95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网络配线架</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15D5">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860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AD1D4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1、48口网络配线架</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2、卡接方式，模块式配线架与六类非屏蔽模块配合使用。</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2C1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74184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FD0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4</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A2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空气消毒机</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E733">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72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824A4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 xml:space="preserve">1、空气消毒机 </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2、循环风量：1000m3/h ，       3、尺寸：600*600*365</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4、安装方式：天花嵌入式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DD62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1E10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0CD7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5</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FEC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紫外线消毒灯</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F562">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盏</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03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E4E22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 xml:space="preserve">1、20W </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2、不锈钢支架</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B04F">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5BA8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8A4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6</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DC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电线WDZ-BYJ-2.5</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26BE">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米</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69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600</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DA3CC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管内穿线 铜芯 WDZ-BYJ-2.5</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1BB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5291F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C37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7</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82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6类非屏蔽网络跳线</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AF0A">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米</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1A0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520</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192062">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CAT6-UTP</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928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2B8DE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F7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8</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EED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KBG线管</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A994">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米</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38E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90</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B2818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1、Ø20*1.0mm</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2、敷设方式:吊顶内敷设</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731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01ECF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57F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9</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A8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PVC线管</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16B5">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米</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A2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410</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07DC3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Ø20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D4B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59582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4F20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10</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425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定时开关</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BCA9">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个</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C26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D4990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定时开关</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1、安装方式:距地1.3m暗装</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340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068F2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BFE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11</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A9F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下回风口</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D321">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套</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F1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13</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E639F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1、下回风口安装450*350mm</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2、带中效过滤器</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A37C">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592B8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F78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12</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35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高效送风口</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75D3">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套</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DD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BBB6E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1、高效送风口安装600*600mm</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2、带高效过滤器</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BD4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2012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8D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13</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DDB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手动对开多叶调节阀</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E01D">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个</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932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14</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1DBAB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320*200mm</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6FB8">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73189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209E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14</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5C3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镀锌钢板净化通风管道</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FBB43">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9A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72</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BF39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1、镀锌钢板净化通风管道δ=0.6mm 长边长（≤450mm）                                  2、管道、管件、法兰、加固筋等制作安装</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E87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086B2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DF2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15</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D47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橡塑保温棉</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CB3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m³</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7A7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1.8</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7E169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橡塑保温棉防火等级：难燃B1级,厚度：25mm</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E3C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7F904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9D9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16</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6FF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双面玻镁彩钢板</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0C86">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9F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22</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DA3E6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1、50mm厚手工夹芯玻镁彩钢板，岩棉100kg/                     2、彩钢板厚度0.426mm，</w:t>
            </w:r>
            <w:r>
              <w:rPr>
                <w:rFonts w:hint="eastAsia" w:ascii="仿宋" w:hAnsi="仿宋" w:eastAsia="仿宋" w:cs="仿宋"/>
                <w:color w:val="auto"/>
                <w:kern w:val="2"/>
                <w:sz w:val="21"/>
                <w:szCs w:val="21"/>
                <w:highlight w:val="none"/>
                <w:lang w:val="en-US" w:eastAsia="zh-CN" w:bidi="ar-SA"/>
              </w:rPr>
              <w:br w:type="textWrapping"/>
            </w:r>
            <w:r>
              <w:rPr>
                <w:rFonts w:hint="eastAsia" w:ascii="仿宋" w:hAnsi="仿宋" w:eastAsia="仿宋" w:cs="仿宋"/>
                <w:color w:val="auto"/>
                <w:kern w:val="2"/>
                <w:sz w:val="21"/>
                <w:szCs w:val="21"/>
                <w:highlight w:val="none"/>
                <w:lang w:val="en-US" w:eastAsia="zh-CN" w:bidi="ar-SA"/>
              </w:rPr>
              <w:t>3、专用钢制天槽地槽固定</w:t>
            </w:r>
            <w:r>
              <w:rPr>
                <w:rFonts w:hint="eastAsia" w:ascii="仿宋" w:hAnsi="仿宋" w:eastAsia="仿宋" w:cs="仿宋"/>
                <w:color w:val="auto"/>
                <w:kern w:val="2"/>
                <w:sz w:val="21"/>
                <w:szCs w:val="21"/>
                <w:highlight w:val="none"/>
                <w:lang w:val="en-US" w:eastAsia="zh-CN" w:bidi="ar-SA"/>
              </w:rPr>
              <w:br w:type="textWrapping"/>
            </w:r>
            <w:r>
              <w:rPr>
                <w:rFonts w:hint="eastAsia" w:ascii="仿宋" w:hAnsi="仿宋" w:eastAsia="仿宋" w:cs="仿宋"/>
                <w:color w:val="auto"/>
                <w:kern w:val="2"/>
                <w:sz w:val="21"/>
                <w:szCs w:val="21"/>
                <w:highlight w:val="none"/>
                <w:lang w:val="en-US" w:eastAsia="zh-CN" w:bidi="ar-SA"/>
              </w:rPr>
              <w:t>4、专用镀锌角钢支架与混凝土墙预埋钢板焊劳（或膨胀螺栓固定），固定天槽</w:t>
            </w:r>
            <w:r>
              <w:rPr>
                <w:rFonts w:hint="eastAsia" w:ascii="仿宋" w:hAnsi="仿宋" w:eastAsia="仿宋" w:cs="仿宋"/>
                <w:color w:val="auto"/>
                <w:kern w:val="2"/>
                <w:sz w:val="21"/>
                <w:szCs w:val="21"/>
                <w:highlight w:val="none"/>
                <w:lang w:val="en-US" w:eastAsia="zh-CN" w:bidi="ar-SA"/>
              </w:rPr>
              <w:br w:type="textWrapping"/>
            </w:r>
            <w:r>
              <w:rPr>
                <w:rFonts w:hint="eastAsia" w:ascii="仿宋" w:hAnsi="仿宋" w:eastAsia="仿宋" w:cs="仿宋"/>
                <w:color w:val="auto"/>
                <w:kern w:val="2"/>
                <w:sz w:val="21"/>
                <w:szCs w:val="21"/>
                <w:highlight w:val="none"/>
                <w:lang w:val="en-US" w:eastAsia="zh-CN" w:bidi="ar-SA"/>
              </w:rPr>
              <w:t>5、含铝合金阴角线、阳圆线</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950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highlight w:val="yellow"/>
                <w:lang w:val="en-US" w:eastAsia="zh-CN" w:bidi="ar-SA"/>
              </w:rPr>
            </w:pPr>
          </w:p>
        </w:tc>
      </w:tr>
      <w:tr w14:paraId="083F8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71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17</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F83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原回风口封堵</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BBC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个</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915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13</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35EB3B">
            <w:pPr>
              <w:keepNext w:val="0"/>
              <w:keepLines w:val="0"/>
              <w:pageBreakBefore w:val="0"/>
              <w:widowControl w:val="0"/>
              <w:numPr>
                <w:ilvl w:val="0"/>
                <w:numId w:val="1"/>
              </w:numPr>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保留原百叶</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 xml:space="preserve">2、风口采用镀锌板封堵                    </w:t>
            </w:r>
          </w:p>
          <w:p w14:paraId="23174F3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3、接缝处采用中效结构胶</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8C2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64D23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109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18</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B37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彩钢板开孔</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33E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个</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012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13</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0688D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1450*350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7F5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3F35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8EA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19</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BC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彩钢板开孔</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6F8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个</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A1C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3E930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2600*600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33C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29E5F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616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20</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5B9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不锈钢防滑板</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6C31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093D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28.5</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861D65">
            <w:pPr>
              <w:keepNext w:val="0"/>
              <w:keepLines w:val="0"/>
              <w:pageBreakBefore w:val="0"/>
              <w:widowControl w:val="0"/>
              <w:numPr>
                <w:ilvl w:val="0"/>
                <w:numId w:val="2"/>
              </w:numPr>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 xml:space="preserve">材质：304不锈钢厚度2mm                            </w:t>
            </w:r>
          </w:p>
          <w:p w14:paraId="11DF60D0">
            <w:pPr>
              <w:keepNext w:val="0"/>
              <w:keepLines w:val="0"/>
              <w:pageBreakBefore w:val="0"/>
              <w:widowControl w:val="0"/>
              <w:numPr>
                <w:ilvl w:val="0"/>
                <w:numId w:val="2"/>
              </w:numPr>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 xml:space="preserve">接缝处采用氩弧焊焊接。                  </w:t>
            </w:r>
          </w:p>
          <w:p w14:paraId="7F2A728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3、缝隙采用中性结构胶</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5D1EF">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47BC2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3"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FED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21</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AFC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换鞋柜</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C3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个</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EC6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37929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1、1.0mm304不锈钢</w:t>
            </w:r>
            <w:r>
              <w:rPr>
                <w:rFonts w:hint="eastAsia" w:ascii="仿宋" w:hAnsi="仿宋" w:eastAsia="仿宋" w:cs="仿宋"/>
                <w:color w:val="auto"/>
                <w:kern w:val="2"/>
                <w:sz w:val="21"/>
                <w:szCs w:val="21"/>
                <w:lang w:val="en-US" w:eastAsia="zh-CN" w:bidi="ar-SA"/>
              </w:rPr>
              <w:br w:type="textWrapping"/>
            </w:r>
            <w:r>
              <w:rPr>
                <w:rFonts w:hint="eastAsia" w:ascii="仿宋" w:hAnsi="仿宋" w:eastAsia="仿宋" w:cs="仿宋"/>
                <w:color w:val="auto"/>
                <w:kern w:val="2"/>
                <w:sz w:val="21"/>
                <w:szCs w:val="21"/>
                <w:lang w:val="en-US" w:eastAsia="zh-CN" w:bidi="ar-SA"/>
              </w:rPr>
              <w:t>2、1200*400*450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187F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r w14:paraId="32418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3CC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22</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99E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地板保护及保洁</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5E4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项</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33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w:t>
            </w:r>
          </w:p>
        </w:tc>
        <w:tc>
          <w:tcPr>
            <w:tcW w:w="553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2EF098">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8B956">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仿宋" w:hAnsi="仿宋" w:eastAsia="仿宋" w:cs="仿宋"/>
                <w:color w:val="auto"/>
                <w:kern w:val="2"/>
                <w:sz w:val="21"/>
                <w:szCs w:val="21"/>
                <w:lang w:val="en-US" w:eastAsia="zh-CN" w:bidi="ar-SA"/>
              </w:rPr>
            </w:pPr>
          </w:p>
        </w:tc>
      </w:tr>
    </w:tbl>
    <w:p w14:paraId="21C536E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五、报价要求</w:t>
      </w:r>
    </w:p>
    <w:p w14:paraId="7D5C695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本次投标报价为综合包干总价，包含货物材料费、加工费、包装费、人工费、装卸车费、运输费、现场安装调试费、管理费、保险费、质保期服务费、利润、税金等完成本项目全部工作的所有费用，项目实施全过程中报价固定不变，不因市场材料、人工等价格波动进行调整。</w:t>
      </w:r>
    </w:p>
    <w:p w14:paraId="1FA0A7D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2、报价人须严格按照本项目采购清单要求，完整填写应标品牌、详细型号、技术参数、参数偏离情况、分项报价、总报价、质保期限等全部投标信息，内容真实有效、不得缺项漏项。</w:t>
      </w:r>
    </w:p>
    <w:p w14:paraId="734F7CC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六、产品及服务质量要求</w:t>
      </w:r>
    </w:p>
    <w:p w14:paraId="352FAF0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1、供应商交付的所有货物型号、规格、技术参数、质量标准必须与招投标文件要求一致，若出现不符、质量不合格、型号偏差等问题，供应商须无条件免费更换、整改，承担全部损失及违约责任。</w:t>
      </w:r>
    </w:p>
    <w:p w14:paraId="6ACF82C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2、供应商所供全部产品须符合国家现行行业技术标准、质量规范及安全使用要求，具备合格的产品质量证明材料，确保设备安全稳定运行。</w:t>
      </w:r>
    </w:p>
    <w:p w14:paraId="410683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七、合同周期及结算方式</w:t>
      </w:r>
    </w:p>
    <w:p w14:paraId="2B0F227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1、供货及施工周期：双方签订合同之日起15个日历天内，完成全部物资供货、现场安装、调试工作，达到验收标准。</w:t>
      </w:r>
    </w:p>
    <w:p w14:paraId="4AFA983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2、结算方式：项目全部施工完成，经甲方验收合格、正常投入使用后，一次性支付项目全款。</w:t>
      </w:r>
    </w:p>
    <w:p w14:paraId="72B57D5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2"/>
          <w:sz w:val="28"/>
          <w:szCs w:val="28"/>
          <w:lang w:val="en-US" w:eastAsia="zh-CN" w:bidi="ar-SA"/>
        </w:rPr>
      </w:pPr>
    </w:p>
    <w:p w14:paraId="1AC1712B">
      <w:pPr>
        <w:keepNext w:val="0"/>
        <w:keepLines w:val="0"/>
        <w:pageBreakBefore w:val="0"/>
        <w:widowControl w:val="0"/>
        <w:kinsoku/>
        <w:wordWrap/>
        <w:overflowPunct/>
        <w:topLinePunct w:val="0"/>
        <w:autoSpaceDE/>
        <w:autoSpaceDN/>
        <w:bidi w:val="0"/>
        <w:adjustRightInd/>
        <w:snapToGrid/>
        <w:spacing w:line="500" w:lineRule="exact"/>
        <w:ind w:firstLine="5880" w:firstLineChars="2100"/>
        <w:jc w:val="both"/>
        <w:textAlignment w:val="auto"/>
        <w:rPr>
          <w:rFonts w:hint="default"/>
          <w:lang w:val="en-US" w:eastAsia="zh-CN"/>
        </w:rPr>
      </w:pPr>
      <w:r>
        <w:rPr>
          <w:rFonts w:hint="eastAsia" w:ascii="仿宋" w:hAnsi="仿宋" w:eastAsia="仿宋" w:cs="仿宋"/>
          <w:color w:val="auto"/>
          <w:kern w:val="2"/>
          <w:sz w:val="28"/>
          <w:szCs w:val="28"/>
          <w:lang w:val="en-US" w:eastAsia="zh-CN" w:bidi="ar-SA"/>
        </w:rPr>
        <w:t xml:space="preserve">                          </w:t>
      </w:r>
      <w:bookmarkStart w:id="0" w:name="_GoBack"/>
      <w:bookmarkEnd w:id="0"/>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171FAC"/>
    <w:multiLevelType w:val="singleLevel"/>
    <w:tmpl w:val="0A171FAC"/>
    <w:lvl w:ilvl="0" w:tentative="0">
      <w:start w:val="1"/>
      <w:numFmt w:val="decimal"/>
      <w:suff w:val="nothing"/>
      <w:lvlText w:val="%1、"/>
      <w:lvlJc w:val="left"/>
    </w:lvl>
  </w:abstractNum>
  <w:abstractNum w:abstractNumId="1">
    <w:nsid w:val="3FEB6EBA"/>
    <w:multiLevelType w:val="singleLevel"/>
    <w:tmpl w:val="3FEB6EB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5YjFmYjFmNmUzNjVlYmE4MzIxNjQzYzEyMjY1MzUifQ=="/>
  </w:docVars>
  <w:rsids>
    <w:rsidRoot w:val="00172A27"/>
    <w:rsid w:val="00E63F7D"/>
    <w:rsid w:val="010951A7"/>
    <w:rsid w:val="029006F1"/>
    <w:rsid w:val="03435C52"/>
    <w:rsid w:val="041744FB"/>
    <w:rsid w:val="042621F8"/>
    <w:rsid w:val="047E1FB9"/>
    <w:rsid w:val="05B0028B"/>
    <w:rsid w:val="05C74289"/>
    <w:rsid w:val="061E3F1F"/>
    <w:rsid w:val="06A215A1"/>
    <w:rsid w:val="06D663A6"/>
    <w:rsid w:val="07664AA9"/>
    <w:rsid w:val="07E95651"/>
    <w:rsid w:val="087717AA"/>
    <w:rsid w:val="0AD409A0"/>
    <w:rsid w:val="0C29450A"/>
    <w:rsid w:val="0D052F8B"/>
    <w:rsid w:val="0DEC388F"/>
    <w:rsid w:val="0DFB3956"/>
    <w:rsid w:val="0E1F0604"/>
    <w:rsid w:val="0E2F7096"/>
    <w:rsid w:val="0F364ABA"/>
    <w:rsid w:val="10663207"/>
    <w:rsid w:val="11424D1C"/>
    <w:rsid w:val="11634099"/>
    <w:rsid w:val="11F86147"/>
    <w:rsid w:val="128571E5"/>
    <w:rsid w:val="139F4F81"/>
    <w:rsid w:val="14485F62"/>
    <w:rsid w:val="148A0D5D"/>
    <w:rsid w:val="158A71B2"/>
    <w:rsid w:val="162D644C"/>
    <w:rsid w:val="171C1FFC"/>
    <w:rsid w:val="17852EC4"/>
    <w:rsid w:val="17AA5816"/>
    <w:rsid w:val="17CB6A54"/>
    <w:rsid w:val="17F07302"/>
    <w:rsid w:val="19AB7B33"/>
    <w:rsid w:val="1B2F3BEF"/>
    <w:rsid w:val="1C52663A"/>
    <w:rsid w:val="1CBE4E69"/>
    <w:rsid w:val="1DBB0E8E"/>
    <w:rsid w:val="1DC00C8D"/>
    <w:rsid w:val="1E1D2544"/>
    <w:rsid w:val="1F7B2D1C"/>
    <w:rsid w:val="1FBD62B1"/>
    <w:rsid w:val="20B16B03"/>
    <w:rsid w:val="219B01F8"/>
    <w:rsid w:val="21A07DC1"/>
    <w:rsid w:val="22DF49A8"/>
    <w:rsid w:val="22E362D2"/>
    <w:rsid w:val="26D52249"/>
    <w:rsid w:val="28556417"/>
    <w:rsid w:val="28865645"/>
    <w:rsid w:val="28BB7FEF"/>
    <w:rsid w:val="2C022C0C"/>
    <w:rsid w:val="2C2F7266"/>
    <w:rsid w:val="2C542155"/>
    <w:rsid w:val="2CB404AC"/>
    <w:rsid w:val="2CDF3794"/>
    <w:rsid w:val="2D2E6445"/>
    <w:rsid w:val="2E6649F3"/>
    <w:rsid w:val="2E852EAB"/>
    <w:rsid w:val="2FC63D74"/>
    <w:rsid w:val="2FE048EA"/>
    <w:rsid w:val="30D0413E"/>
    <w:rsid w:val="31040C94"/>
    <w:rsid w:val="31F22A68"/>
    <w:rsid w:val="34272BB6"/>
    <w:rsid w:val="34D91454"/>
    <w:rsid w:val="35AC53AF"/>
    <w:rsid w:val="36692286"/>
    <w:rsid w:val="373E5C4F"/>
    <w:rsid w:val="3AA96FAE"/>
    <w:rsid w:val="3E2C4BB7"/>
    <w:rsid w:val="3F664045"/>
    <w:rsid w:val="40012417"/>
    <w:rsid w:val="40D46D12"/>
    <w:rsid w:val="410B1EE2"/>
    <w:rsid w:val="4172433C"/>
    <w:rsid w:val="417D3E89"/>
    <w:rsid w:val="419A0FA7"/>
    <w:rsid w:val="41C300F3"/>
    <w:rsid w:val="421C47E7"/>
    <w:rsid w:val="427C3BBD"/>
    <w:rsid w:val="42B208A8"/>
    <w:rsid w:val="45960004"/>
    <w:rsid w:val="46F86693"/>
    <w:rsid w:val="478564D4"/>
    <w:rsid w:val="47A37881"/>
    <w:rsid w:val="47F24951"/>
    <w:rsid w:val="481E5360"/>
    <w:rsid w:val="485C4F2C"/>
    <w:rsid w:val="489B4B75"/>
    <w:rsid w:val="49634BF7"/>
    <w:rsid w:val="4A1F5604"/>
    <w:rsid w:val="4D1B00DF"/>
    <w:rsid w:val="4FF57096"/>
    <w:rsid w:val="50C86655"/>
    <w:rsid w:val="50E85F0B"/>
    <w:rsid w:val="52F3051F"/>
    <w:rsid w:val="532E435F"/>
    <w:rsid w:val="53C91D89"/>
    <w:rsid w:val="54F21A55"/>
    <w:rsid w:val="554F573D"/>
    <w:rsid w:val="55617B80"/>
    <w:rsid w:val="56173FB4"/>
    <w:rsid w:val="561D501A"/>
    <w:rsid w:val="56515FE9"/>
    <w:rsid w:val="58F6652B"/>
    <w:rsid w:val="5A447D2A"/>
    <w:rsid w:val="5B3F6E48"/>
    <w:rsid w:val="5CB3223D"/>
    <w:rsid w:val="5CEF488A"/>
    <w:rsid w:val="5DF45537"/>
    <w:rsid w:val="5E40418F"/>
    <w:rsid w:val="5ECF1260"/>
    <w:rsid w:val="5F442227"/>
    <w:rsid w:val="5F672D7E"/>
    <w:rsid w:val="5FD45B38"/>
    <w:rsid w:val="601003D1"/>
    <w:rsid w:val="607F7AD3"/>
    <w:rsid w:val="623A7395"/>
    <w:rsid w:val="627438C2"/>
    <w:rsid w:val="63497970"/>
    <w:rsid w:val="63814B5D"/>
    <w:rsid w:val="680C7FB1"/>
    <w:rsid w:val="681675D3"/>
    <w:rsid w:val="69403AAE"/>
    <w:rsid w:val="69512E54"/>
    <w:rsid w:val="6A5B2F5A"/>
    <w:rsid w:val="6A9B7D71"/>
    <w:rsid w:val="6AE954B5"/>
    <w:rsid w:val="6BA044C1"/>
    <w:rsid w:val="6C775AF2"/>
    <w:rsid w:val="6E307F37"/>
    <w:rsid w:val="6E5E469C"/>
    <w:rsid w:val="6F0453DE"/>
    <w:rsid w:val="6F250725"/>
    <w:rsid w:val="6F395FEB"/>
    <w:rsid w:val="6FA3485A"/>
    <w:rsid w:val="707357E9"/>
    <w:rsid w:val="717766ED"/>
    <w:rsid w:val="71A77A7C"/>
    <w:rsid w:val="72625B8C"/>
    <w:rsid w:val="73BB4BC8"/>
    <w:rsid w:val="74607426"/>
    <w:rsid w:val="74C13C0D"/>
    <w:rsid w:val="75942461"/>
    <w:rsid w:val="75BE7033"/>
    <w:rsid w:val="76C1672D"/>
    <w:rsid w:val="76C91732"/>
    <w:rsid w:val="77486C42"/>
    <w:rsid w:val="77DD02F3"/>
    <w:rsid w:val="79562EED"/>
    <w:rsid w:val="7AC124B5"/>
    <w:rsid w:val="7AF9322A"/>
    <w:rsid w:val="7B161079"/>
    <w:rsid w:val="7B6660C0"/>
    <w:rsid w:val="7CAF0D43"/>
    <w:rsid w:val="7CC12FE9"/>
    <w:rsid w:val="7CED43DB"/>
    <w:rsid w:val="7D0A0C4E"/>
    <w:rsid w:val="7D9B762C"/>
    <w:rsid w:val="7DBC3A33"/>
    <w:rsid w:val="7DFD69D9"/>
    <w:rsid w:val="7E6C177D"/>
    <w:rsid w:val="7F341EF2"/>
    <w:rsid w:val="7FE43404"/>
    <w:rsid w:val="7FE660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_Style 1"/>
    <w:basedOn w:val="1"/>
    <w:qFormat/>
    <w:uiPriority w:val="34"/>
    <w:pPr>
      <w:ind w:firstLine="420" w:firstLineChars="200"/>
    </w:pPr>
    <w:rPr>
      <w:rFonts w:ascii="Calibri"/>
      <w:szCs w:val="22"/>
    </w:rPr>
  </w:style>
  <w:style w:type="paragraph" w:styleId="3">
    <w:name w:val="index 8"/>
    <w:basedOn w:val="1"/>
    <w:next w:val="1"/>
    <w:qFormat/>
    <w:uiPriority w:val="0"/>
    <w:pPr>
      <w:ind w:left="0" w:leftChars="0"/>
      <w:jc w:val="left"/>
    </w:pPr>
    <w:rPr>
      <w:rFonts w:ascii="Times New Roman" w:hAnsi="Times New Roman"/>
    </w:rPr>
  </w:style>
  <w:style w:type="paragraph" w:styleId="4">
    <w:name w:val="annotation text"/>
    <w:basedOn w:val="1"/>
    <w:unhideWhenUsed/>
    <w:qFormat/>
    <w:uiPriority w:val="0"/>
    <w:pPr>
      <w:jc w:val="left"/>
    </w:pPr>
  </w:style>
  <w:style w:type="paragraph" w:styleId="5">
    <w:name w:val="Body Text"/>
    <w:basedOn w:val="1"/>
    <w:next w:val="1"/>
    <w:qFormat/>
    <w:uiPriority w:val="0"/>
    <w:pPr>
      <w:spacing w:line="380" w:lineRule="exact"/>
    </w:pPr>
    <w:rPr>
      <w:rFonts w:ascii="Times New Roman" w:hAnsi="Times New Roman" w:eastAsia="宋体" w:cs="Times New Roman"/>
      <w:sz w:val="24"/>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after="150"/>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 Char Char Char Char Char Char1 Char"/>
    <w:basedOn w:val="1"/>
    <w:qFormat/>
    <w:uiPriority w:val="0"/>
    <w:rPr>
      <w:sz w:val="24"/>
      <w:szCs w:val="24"/>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31"/>
    <w:basedOn w:val="11"/>
    <w:qFormat/>
    <w:uiPriority w:val="0"/>
    <w:rPr>
      <w:rFonts w:hint="default" w:ascii="Times New Roman" w:hAnsi="Times New Roman" w:cs="Times New Roman"/>
      <w:color w:val="000000"/>
      <w:sz w:val="22"/>
      <w:szCs w:val="22"/>
      <w:u w:val="none"/>
    </w:rPr>
  </w:style>
  <w:style w:type="character" w:customStyle="1" w:styleId="16">
    <w:name w:val="font41"/>
    <w:basedOn w:val="11"/>
    <w:qFormat/>
    <w:uiPriority w:val="0"/>
    <w:rPr>
      <w:rFonts w:hint="eastAsia" w:ascii="宋体" w:hAnsi="宋体" w:eastAsia="宋体" w:cs="宋体"/>
      <w:color w:val="000000"/>
      <w:sz w:val="22"/>
      <w:szCs w:val="22"/>
      <w:u w:val="none"/>
    </w:rPr>
  </w:style>
  <w:style w:type="paragraph" w:customStyle="1" w:styleId="17">
    <w:name w:val="正文2"/>
    <w:basedOn w:val="1"/>
    <w:qFormat/>
    <w:uiPriority w:val="0"/>
    <w:pPr>
      <w:spacing w:before="156" w:line="360" w:lineRule="auto"/>
      <w:ind w:firstLine="510" w:firstLineChars="200"/>
    </w:pPr>
    <w:rPr>
      <w:sz w:val="24"/>
    </w:rPr>
  </w:style>
  <w:style w:type="character" w:customStyle="1" w:styleId="18">
    <w:name w:val="font11"/>
    <w:basedOn w:val="11"/>
    <w:qFormat/>
    <w:uiPriority w:val="0"/>
    <w:rPr>
      <w:rFonts w:hint="eastAsia" w:ascii="宋体" w:hAnsi="宋体" w:eastAsia="宋体" w:cs="宋体"/>
      <w:color w:val="000000"/>
      <w:sz w:val="22"/>
      <w:szCs w:val="22"/>
      <w:u w:val="none"/>
    </w:rPr>
  </w:style>
  <w:style w:type="character" w:customStyle="1" w:styleId="19">
    <w:name w:val="font01"/>
    <w:basedOn w:val="11"/>
    <w:qFormat/>
    <w:uiPriority w:val="0"/>
    <w:rPr>
      <w:rFonts w:hint="eastAsia" w:ascii="宋体" w:hAnsi="宋体" w:eastAsia="宋体" w:cs="宋体"/>
      <w:color w:val="000000"/>
      <w:sz w:val="24"/>
      <w:szCs w:val="24"/>
      <w:u w:val="none"/>
    </w:rPr>
  </w:style>
  <w:style w:type="character" w:customStyle="1" w:styleId="20">
    <w:name w:val="font91"/>
    <w:basedOn w:val="11"/>
    <w:qFormat/>
    <w:uiPriority w:val="0"/>
    <w:rPr>
      <w:rFonts w:hint="eastAsia" w:ascii="宋体" w:hAnsi="宋体" w:eastAsia="宋体" w:cs="宋体"/>
      <w:color w:val="000000"/>
      <w:sz w:val="20"/>
      <w:szCs w:val="20"/>
      <w:u w:val="none"/>
    </w:rPr>
  </w:style>
  <w:style w:type="character" w:customStyle="1" w:styleId="21">
    <w:name w:val="font101"/>
    <w:basedOn w:val="11"/>
    <w:qFormat/>
    <w:uiPriority w:val="0"/>
    <w:rPr>
      <w:rFonts w:hint="eastAsia" w:ascii="宋体" w:hAnsi="宋体" w:eastAsia="宋体" w:cs="宋体"/>
      <w:color w:val="000000"/>
      <w:sz w:val="20"/>
      <w:szCs w:val="20"/>
      <w:u w:val="none"/>
    </w:rPr>
  </w:style>
  <w:style w:type="character" w:customStyle="1" w:styleId="22">
    <w:name w:val="font81"/>
    <w:basedOn w:val="11"/>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1532</Words>
  <Characters>1749</Characters>
  <Lines>0</Lines>
  <Paragraphs>0</Paragraphs>
  <TotalTime>11</TotalTime>
  <ScaleCrop>false</ScaleCrop>
  <LinksUpToDate>false</LinksUpToDate>
  <CharactersWithSpaces>1922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2016-03-02T06:46:00Z</dcterms:created>
  <dc:creator>Administrator</dc:creator>
  <cp:lastModifiedBy>加深</cp:lastModifiedBy>
  <cp:lastPrinted>2026-08-31T06:49:00Z</cp:lastPrinted>
  <dcterms:modified xsi:type="dcterms:W3CDTF">2026-09-02T07:11:50Z</dcterms:modified>
  <dc:title>关于西院门诊住院综合楼大堂采光井电动百叶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E97AB24B6B68423C999AFA6ACA48B30D_13</vt:lpwstr>
  </property>
  <property fmtid="{D5CDD505-2E9C-101B-9397-08002B2CF9AE}" pid="4" name="KSOTemplateDocerSaveRecord">
    <vt:lpwstr>eyJoZGlkIjoiNmFkNzM0MjEyYTJlMGViYTU0N2EyNjMzYjM3OTNmZjIiLCJ1c2VySWQiOiIzNTY0MzY5ODAifQ==</vt:lpwstr>
  </property>
</Properties>
</file>