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AC423">
      <w:pPr>
        <w:keepNext/>
        <w:keepLines/>
        <w:spacing w:line="312" w:lineRule="auto"/>
        <w:jc w:val="center"/>
        <w:rPr>
          <w:rFonts w:ascii="宋体" w:hAnsi="宋体" w:eastAsia="宋体" w:cs="微软雅黑"/>
          <w:b/>
          <w:bCs/>
          <w:kern w:val="44"/>
          <w:sz w:val="30"/>
          <w:szCs w:val="30"/>
        </w:rPr>
      </w:pPr>
      <w:bookmarkStart w:id="0" w:name="_Toc344816509"/>
      <w:r>
        <w:rPr>
          <w:rFonts w:hint="eastAsia" w:ascii="宋体" w:hAnsi="宋体" w:eastAsia="宋体" w:cs="微软雅黑"/>
          <w:b/>
          <w:bCs/>
          <w:kern w:val="44"/>
          <w:sz w:val="30"/>
          <w:szCs w:val="30"/>
        </w:rPr>
        <w:t>柳州市</w:t>
      </w:r>
      <w:r>
        <w:rPr>
          <w:rFonts w:ascii="宋体" w:hAnsi="宋体" w:eastAsia="宋体" w:cs="微软雅黑"/>
          <w:b/>
          <w:bCs/>
          <w:kern w:val="44"/>
          <w:sz w:val="30"/>
          <w:szCs w:val="30"/>
        </w:rPr>
        <w:t>工人医院</w:t>
      </w:r>
      <w:bookmarkStart w:id="1" w:name="OLE_LINK2"/>
      <w:bookmarkStart w:id="2" w:name="OLE_LINK1"/>
      <w:r>
        <w:rPr>
          <w:rFonts w:ascii="宋体" w:hAnsi="宋体" w:eastAsia="宋体" w:cs="微软雅黑"/>
          <w:b/>
          <w:bCs/>
          <w:kern w:val="44"/>
          <w:sz w:val="30"/>
          <w:szCs w:val="30"/>
        </w:rPr>
        <w:t>医保智能审核系统</w:t>
      </w:r>
      <w:r>
        <w:rPr>
          <w:rFonts w:hint="eastAsia" w:ascii="宋体" w:hAnsi="宋体" w:eastAsia="宋体" w:cs="微软雅黑"/>
          <w:b/>
          <w:bCs/>
          <w:kern w:val="44"/>
          <w:sz w:val="30"/>
          <w:szCs w:val="30"/>
        </w:rPr>
        <w:t>项目</w:t>
      </w:r>
      <w:bookmarkEnd w:id="1"/>
      <w:bookmarkEnd w:id="2"/>
      <w:r>
        <w:rPr>
          <w:rFonts w:hint="eastAsia" w:ascii="宋体" w:hAnsi="宋体" w:eastAsia="宋体" w:cs="微软雅黑"/>
          <w:b/>
          <w:bCs/>
          <w:kern w:val="44"/>
          <w:sz w:val="30"/>
          <w:szCs w:val="30"/>
        </w:rPr>
        <w:t>技术参数要求</w:t>
      </w:r>
    </w:p>
    <w:p w14:paraId="04434DC2">
      <w:pPr>
        <w:keepNext/>
        <w:keepLines/>
        <w:spacing w:line="312" w:lineRule="auto"/>
        <w:ind w:left="420" w:leftChars="200"/>
        <w:jc w:val="left"/>
        <w:rPr>
          <w:rFonts w:ascii="宋体" w:hAnsi="宋体" w:eastAsia="宋体" w:cs="微软雅黑"/>
          <w:b/>
          <w:bCs/>
          <w:color w:val="auto"/>
          <w:kern w:val="44"/>
          <w:sz w:val="24"/>
          <w:szCs w:val="24"/>
        </w:rPr>
      </w:pPr>
    </w:p>
    <w:bookmarkEnd w:id="0"/>
    <w:p w14:paraId="250AB331">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一、项目背景</w:t>
      </w:r>
    </w:p>
    <w:p w14:paraId="26891C9E">
      <w:pPr>
        <w:spacing w:line="312" w:lineRule="auto"/>
        <w:ind w:firstLine="480" w:firstLineChars="200"/>
        <w:rPr>
          <w:rFonts w:ascii="宋体" w:hAnsi="宋体" w:eastAsia="宋体"/>
          <w:sz w:val="24"/>
          <w:szCs w:val="24"/>
        </w:rPr>
      </w:pPr>
      <w:r>
        <w:rPr>
          <w:rFonts w:ascii="宋体" w:hAnsi="宋体" w:eastAsia="宋体"/>
          <w:sz w:val="24"/>
          <w:szCs w:val="24"/>
        </w:rPr>
        <w:t>本系统核心用于医院医保费用全流程审核、违规收费精准拦截及违规数据统计分析，聚焦超出医保政策范围的违规收费行为管控，核心目标是防范医保基金违规使用、规范医院收费行为、降低医保拒付风险、实现医保基金精细化管理，严格符合《医疗保障基金智能审核和监控知识库、规则库管理办法</w:t>
      </w:r>
      <w:r>
        <w:rPr>
          <w:rFonts w:hint="eastAsia" w:ascii="宋体" w:hAnsi="宋体" w:eastAsia="宋体"/>
          <w:sz w:val="24"/>
          <w:szCs w:val="24"/>
        </w:rPr>
        <w:t>（</w:t>
      </w:r>
      <w:r>
        <w:rPr>
          <w:rFonts w:ascii="宋体" w:hAnsi="宋体" w:eastAsia="宋体"/>
          <w:sz w:val="24"/>
          <w:szCs w:val="24"/>
        </w:rPr>
        <w:t>试行</w:t>
      </w:r>
      <w:r>
        <w:rPr>
          <w:rFonts w:hint="eastAsia" w:ascii="宋体" w:hAnsi="宋体" w:eastAsia="宋体"/>
          <w:sz w:val="24"/>
          <w:szCs w:val="24"/>
        </w:rPr>
        <w:t>）</w:t>
      </w:r>
      <w:r>
        <w:rPr>
          <w:rFonts w:ascii="宋体" w:hAnsi="宋体" w:eastAsia="宋体"/>
          <w:sz w:val="24"/>
          <w:szCs w:val="24"/>
        </w:rPr>
        <w:t>》要求及国家、地方医保最新政策规定，适配医保飞检重点核查需求，可直接支撑医院医保自查自纠工作</w:t>
      </w:r>
      <w:r>
        <w:rPr>
          <w:rFonts w:hint="eastAsia" w:ascii="宋体" w:hAnsi="宋体" w:eastAsia="宋体"/>
          <w:sz w:val="24"/>
          <w:szCs w:val="24"/>
        </w:rPr>
        <w:t>。</w:t>
      </w:r>
    </w:p>
    <w:p w14:paraId="751BAD9D">
      <w:pPr>
        <w:spacing w:line="312" w:lineRule="auto"/>
        <w:rPr>
          <w:rFonts w:ascii="宋体" w:hAnsi="宋体" w:eastAsia="宋体"/>
          <w:color w:val="auto"/>
          <w:sz w:val="24"/>
          <w:szCs w:val="24"/>
        </w:rPr>
      </w:pPr>
    </w:p>
    <w:p w14:paraId="41E06688">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二、项目建设内容及要求</w:t>
      </w:r>
    </w:p>
    <w:p w14:paraId="58CA4B0B">
      <w:pPr>
        <w:spacing w:line="312" w:lineRule="auto"/>
        <w:ind w:firstLine="480" w:firstLineChars="200"/>
        <w:rPr>
          <w:rFonts w:ascii="宋体" w:hAnsi="宋体" w:eastAsia="宋体"/>
          <w:sz w:val="24"/>
          <w:szCs w:val="24"/>
        </w:rPr>
      </w:pPr>
      <w:r>
        <w:rPr>
          <w:rFonts w:hint="eastAsia" w:ascii="宋体" w:hAnsi="宋体" w:eastAsia="宋体"/>
          <w:sz w:val="24"/>
          <w:szCs w:val="24"/>
        </w:rPr>
        <w:t>系统架构基于AI技术，能调取费用明细和全病历，包括病案首页、入院记录、首次病程记录、日常病程记录、上级医师查房记录、术前讨论记录、抢救记录、手术记录、会诊记录、出院记录、转科记录、药敏记录、细菌培养报告、死亡记录、护理记录单、医嘱、辅助检查、化验结果等资料实现智能审核。</w:t>
      </w:r>
    </w:p>
    <w:p w14:paraId="63ADC474">
      <w:pPr>
        <w:spacing w:line="360" w:lineRule="auto"/>
        <w:outlineLvl w:val="2"/>
        <w:rPr>
          <w:rFonts w:ascii="宋体" w:hAnsi="宋体" w:cs="宋体"/>
          <w:b/>
          <w:bCs/>
          <w:sz w:val="24"/>
          <w:szCs w:val="24"/>
        </w:rPr>
      </w:pPr>
      <w:r>
        <w:rPr>
          <w:rFonts w:hint="eastAsia" w:ascii="宋体" w:hAnsi="宋体" w:cs="宋体"/>
          <w:b/>
          <w:bCs/>
          <w:sz w:val="24"/>
          <w:szCs w:val="24"/>
        </w:rPr>
        <w:t>2.1软件功能</w:t>
      </w:r>
    </w:p>
    <w:tbl>
      <w:tblPr>
        <w:tblStyle w:val="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324"/>
        <w:gridCol w:w="1134"/>
        <w:gridCol w:w="5182"/>
      </w:tblGrid>
      <w:tr w14:paraId="7EC4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Align w:val="center"/>
          </w:tcPr>
          <w:p w14:paraId="1C567FB8">
            <w:pPr>
              <w:pStyle w:val="4"/>
              <w:rPr>
                <w:lang w:val="en-US"/>
              </w:rPr>
            </w:pPr>
            <w:r>
              <w:rPr>
                <w:rFonts w:hint="eastAsia"/>
                <w:lang w:val="en-US"/>
              </w:rPr>
              <w:t>序号</w:t>
            </w:r>
          </w:p>
        </w:tc>
        <w:tc>
          <w:tcPr>
            <w:tcW w:w="1324" w:type="dxa"/>
            <w:vAlign w:val="center"/>
          </w:tcPr>
          <w:p w14:paraId="3D6E66B3">
            <w:pPr>
              <w:pStyle w:val="4"/>
              <w:rPr>
                <w:lang w:val="en-US"/>
              </w:rPr>
            </w:pPr>
            <w:r>
              <w:rPr>
                <w:rFonts w:hint="eastAsia"/>
                <w:lang w:val="en-US"/>
              </w:rPr>
              <w:t>模块</w:t>
            </w:r>
          </w:p>
        </w:tc>
        <w:tc>
          <w:tcPr>
            <w:tcW w:w="1134" w:type="dxa"/>
            <w:vAlign w:val="center"/>
          </w:tcPr>
          <w:p w14:paraId="4F66A4FD">
            <w:pPr>
              <w:pStyle w:val="4"/>
              <w:rPr>
                <w:lang w:val="en-US"/>
              </w:rPr>
            </w:pPr>
            <w:r>
              <w:rPr>
                <w:rFonts w:hint="eastAsia"/>
                <w:lang w:val="en-US"/>
              </w:rPr>
              <w:t>功能</w:t>
            </w:r>
          </w:p>
        </w:tc>
        <w:tc>
          <w:tcPr>
            <w:tcW w:w="5182" w:type="dxa"/>
            <w:vAlign w:val="center"/>
          </w:tcPr>
          <w:p w14:paraId="2FD44E16">
            <w:pPr>
              <w:pStyle w:val="4"/>
              <w:rPr>
                <w:lang w:val="en-US"/>
              </w:rPr>
            </w:pPr>
            <w:r>
              <w:rPr>
                <w:rFonts w:hint="eastAsia"/>
                <w:lang w:val="en-US"/>
              </w:rPr>
              <w:t>内涵描述</w:t>
            </w:r>
          </w:p>
        </w:tc>
      </w:tr>
      <w:tr w14:paraId="1A89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4F1AD6BA">
            <w:pPr>
              <w:pStyle w:val="4"/>
              <w:rPr>
                <w:lang w:val="en-US"/>
              </w:rPr>
            </w:pPr>
            <w:r>
              <w:rPr>
                <w:lang w:val="en-US"/>
              </w:rPr>
              <w:t>1</w:t>
            </w:r>
          </w:p>
        </w:tc>
        <w:tc>
          <w:tcPr>
            <w:tcW w:w="1324" w:type="dxa"/>
            <w:vMerge w:val="restart"/>
            <w:vAlign w:val="center"/>
          </w:tcPr>
          <w:p w14:paraId="53AC8831">
            <w:pPr>
              <w:pStyle w:val="4"/>
              <w:rPr>
                <w:lang w:val="en-US"/>
              </w:rPr>
            </w:pPr>
            <w:r>
              <w:rPr>
                <w:rFonts w:hint="eastAsia"/>
                <w:b/>
                <w:bCs/>
                <w:lang w:val="en-US"/>
              </w:rPr>
              <w:t>智能审核与违规拦截功能</w:t>
            </w:r>
          </w:p>
        </w:tc>
        <w:tc>
          <w:tcPr>
            <w:tcW w:w="1134" w:type="dxa"/>
            <w:tcBorders>
              <w:top w:val="single" w:color="auto" w:sz="4" w:space="0"/>
              <w:left w:val="single" w:color="auto" w:sz="4" w:space="0"/>
              <w:bottom w:val="single" w:color="auto" w:sz="4" w:space="0"/>
              <w:right w:val="single" w:color="auto" w:sz="4" w:space="0"/>
            </w:tcBorders>
            <w:vAlign w:val="center"/>
          </w:tcPr>
          <w:p w14:paraId="1CF1ABDA">
            <w:pPr>
              <w:pStyle w:val="4"/>
              <w:jc w:val="left"/>
              <w:rPr>
                <w:lang w:val="en-US"/>
              </w:rPr>
            </w:pPr>
            <w:r>
              <w:rPr>
                <w:rFonts w:hint="eastAsia"/>
                <w:b/>
                <w:lang w:val="en-US"/>
              </w:rPr>
              <w:t>审核范围</w:t>
            </w:r>
          </w:p>
        </w:tc>
        <w:tc>
          <w:tcPr>
            <w:tcW w:w="5182" w:type="dxa"/>
            <w:tcBorders>
              <w:top w:val="single" w:color="auto" w:sz="4" w:space="0"/>
              <w:left w:val="single" w:color="auto" w:sz="4" w:space="0"/>
              <w:bottom w:val="single" w:color="auto" w:sz="4" w:space="0"/>
              <w:right w:val="single" w:color="auto" w:sz="4" w:space="0"/>
            </w:tcBorders>
            <w:vAlign w:val="center"/>
          </w:tcPr>
          <w:p w14:paraId="7E5A7AD2">
            <w:pPr>
              <w:pStyle w:val="4"/>
              <w:rPr>
                <w:lang w:val="en-US"/>
              </w:rPr>
            </w:pPr>
            <w:r>
              <w:rPr>
                <w:rFonts w:hint="eastAsia"/>
                <w:lang w:val="en-US"/>
              </w:rPr>
              <w:t>全面覆盖门诊、住院、急诊、体检、康复、护理、检查、检验、药品、耗材、诊疗项目、医用材料、手术麻醉、康复治疗等所有医保报销相关收费项目，覆盖医保三目录（药品、诊疗项目、医用耗材）条目，重点针对超出医保政策范围的违规收费行为开展审核，涵盖医保三目录相关限制、各类违规收费行为及诊疗合规类问题，实现审核无死角、无遗漏、无盲区。</w:t>
            </w:r>
          </w:p>
        </w:tc>
      </w:tr>
      <w:tr w14:paraId="0B1C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7902855">
            <w:pPr>
              <w:pStyle w:val="4"/>
              <w:rPr>
                <w:lang w:val="en-US"/>
              </w:rPr>
            </w:pPr>
          </w:p>
        </w:tc>
        <w:tc>
          <w:tcPr>
            <w:tcW w:w="1324" w:type="dxa"/>
            <w:vMerge w:val="continue"/>
            <w:vAlign w:val="center"/>
          </w:tcPr>
          <w:p w14:paraId="606803F8">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16D18B0">
            <w:pPr>
              <w:pStyle w:val="4"/>
              <w:jc w:val="left"/>
              <w:rPr>
                <w:b/>
                <w:color w:val="auto"/>
                <w:lang w:val="en-US"/>
              </w:rPr>
            </w:pPr>
            <w:r>
              <w:rPr>
                <w:rFonts w:hint="eastAsia"/>
                <w:b/>
                <w:color w:val="auto"/>
                <w:lang w:val="en-US"/>
              </w:rPr>
              <w:t>审核模式</w:t>
            </w:r>
          </w:p>
        </w:tc>
        <w:tc>
          <w:tcPr>
            <w:tcW w:w="5182" w:type="dxa"/>
            <w:tcBorders>
              <w:top w:val="single" w:color="auto" w:sz="4" w:space="0"/>
              <w:left w:val="single" w:color="auto" w:sz="4" w:space="0"/>
              <w:bottom w:val="single" w:color="auto" w:sz="4" w:space="0"/>
              <w:right w:val="single" w:color="auto" w:sz="4" w:space="0"/>
            </w:tcBorders>
            <w:vAlign w:val="center"/>
          </w:tcPr>
          <w:p w14:paraId="2158D861">
            <w:pPr>
              <w:pStyle w:val="4"/>
              <w:rPr>
                <w:color w:val="auto"/>
                <w:lang w:val="en-US"/>
              </w:rPr>
            </w:pPr>
            <w:r>
              <w:rPr>
                <w:rFonts w:hint="eastAsia"/>
                <w:color w:val="auto"/>
                <w:lang w:val="en-US"/>
              </w:rPr>
              <w:t>支持事前提醒、事中拦截、自查自纠，全流程审核，精准管控违规收费行为：</w:t>
            </w:r>
          </w:p>
          <w:p w14:paraId="6871BCCE">
            <w:pPr>
              <w:pStyle w:val="4"/>
              <w:rPr>
                <w:color w:val="auto"/>
                <w:lang w:val="en-US"/>
              </w:rPr>
            </w:pPr>
            <w:r>
              <w:rPr>
                <w:color w:val="auto"/>
                <w:lang w:val="en-US"/>
              </w:rPr>
              <w:t>1.</w:t>
            </w:r>
            <w:r>
              <w:rPr>
                <w:rFonts w:hint="eastAsia"/>
                <w:color w:val="auto"/>
                <w:lang w:val="en-US"/>
              </w:rPr>
              <w:t>事前提醒：在医生开具处方、护士录入收费项目时，实时弹窗提醒超出医保范围的违规风险（如超医保限定、重复收费、超标准收费、超说明书用药、过度诊疗等），引导医护人员规范操作，主动规避违规收费风险。提醒内容明确标注违规类型、政策依据、风险等级、修改建议。</w:t>
            </w:r>
          </w:p>
          <w:p w14:paraId="6E65142F">
            <w:pPr>
              <w:pStyle w:val="4"/>
              <w:rPr>
                <w:color w:val="auto"/>
                <w:lang w:val="en-US"/>
              </w:rPr>
            </w:pPr>
            <w:r>
              <w:rPr>
                <w:color w:val="auto"/>
                <w:lang w:val="en-US"/>
              </w:rPr>
              <w:t>2.</w:t>
            </w:r>
            <w:r>
              <w:rPr>
                <w:rFonts w:hint="eastAsia"/>
                <w:color w:val="auto"/>
                <w:lang w:val="en-US"/>
              </w:rPr>
              <w:t>事中拦截：对明确超出医保政策范围、违规收费的项目（如超出医保支付标准、重复收费、分解收费、过度检查、不在医保目录内、与诊断不符的诊疗项目等）可设定强、中、弱拦截，支持人工干预申诉（需留存完整干预记录），可灵活配置违规项目执行权限，允许临床根据病情特殊情况申请并留存详细记录，兼顾合规性与临床灵活性。拦截记录不可删除、不可篡改，全程留痕可追溯。夜间闲时能对在院医嘱进行定期质控，患者出院结算时再次对患者整个住院过程收费进行质控，及时发现违规收费问题。</w:t>
            </w:r>
          </w:p>
          <w:p w14:paraId="36C437C0">
            <w:pPr>
              <w:pStyle w:val="4"/>
              <w:rPr>
                <w:color w:val="auto"/>
                <w:lang w:val="en-US"/>
              </w:rPr>
            </w:pPr>
            <w:r>
              <w:rPr>
                <w:color w:val="auto"/>
                <w:lang w:val="en-US"/>
              </w:rPr>
              <w:t>3.</w:t>
            </w:r>
            <w:r>
              <w:rPr>
                <w:rFonts w:hint="eastAsia"/>
                <w:color w:val="auto"/>
                <w:lang w:val="en-US"/>
              </w:rPr>
              <w:t>自查自纠：可自主选定审核规则与目标病历创建自查任务，自主设定核查时间段、核查范围，实现模拟飞检，并能导出核查结果，包括违规科室、医生、项目、数量、金额、医嘱时间等关键信息</w:t>
            </w:r>
            <w:r>
              <w:rPr>
                <w:rStyle w:val="9"/>
                <w:rFonts w:hint="eastAsia"/>
                <w:color w:val="auto"/>
                <w:sz w:val="20"/>
                <w:szCs w:val="24"/>
                <w:lang w:val="en-US"/>
              </w:rPr>
              <w:t>；同时</w:t>
            </w:r>
            <w:r>
              <w:rPr>
                <w:rFonts w:hint="eastAsia"/>
                <w:color w:val="auto"/>
                <w:lang w:val="en-US"/>
              </w:rPr>
              <w:t>经</w:t>
            </w:r>
            <w:r>
              <w:rPr>
                <w:color w:val="auto"/>
                <w:lang w:val="en-US"/>
              </w:rPr>
              <w:t>AI</w:t>
            </w:r>
            <w:r>
              <w:rPr>
                <w:rFonts w:hint="eastAsia"/>
                <w:color w:val="auto"/>
                <w:lang w:val="en-US"/>
              </w:rPr>
              <w:t>智能审查后生成标准化自查台账，清晰标注病例违规情况、违规事由、判定依据、风险等级。医保办可一键将违规结果推送至对应科室及责任人，督促其按期核实、整改、填报回执，构建“任务下发—科室处置—医保复核”的完整闭环。系统依托自查数据自动生成规范分析报告与统计报表，可直接向上级医保部门报送，提升自查自纠工作规范性与报送效率。</w:t>
            </w:r>
          </w:p>
        </w:tc>
      </w:tr>
      <w:tr w14:paraId="6836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4234A35">
            <w:pPr>
              <w:pStyle w:val="4"/>
              <w:rPr>
                <w:lang w:val="en-US"/>
              </w:rPr>
            </w:pPr>
          </w:p>
        </w:tc>
        <w:tc>
          <w:tcPr>
            <w:tcW w:w="1324" w:type="dxa"/>
            <w:vMerge w:val="continue"/>
            <w:vAlign w:val="center"/>
          </w:tcPr>
          <w:p w14:paraId="68E2BF00">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5DC6447B">
            <w:pPr>
              <w:pStyle w:val="4"/>
              <w:jc w:val="left"/>
              <w:rPr>
                <w:b/>
                <w:color w:val="auto"/>
                <w:lang w:val="en-US"/>
              </w:rPr>
            </w:pPr>
            <w:r>
              <w:rPr>
                <w:rFonts w:hint="eastAsia"/>
                <w:b/>
                <w:color w:val="auto"/>
                <w:lang w:val="en-US"/>
              </w:rPr>
              <w:t>违规识别类型</w:t>
            </w:r>
          </w:p>
        </w:tc>
        <w:tc>
          <w:tcPr>
            <w:tcW w:w="5182" w:type="dxa"/>
            <w:tcBorders>
              <w:top w:val="single" w:color="auto" w:sz="4" w:space="0"/>
              <w:left w:val="single" w:color="auto" w:sz="4" w:space="0"/>
              <w:bottom w:val="single" w:color="auto" w:sz="4" w:space="0"/>
              <w:right w:val="single" w:color="auto" w:sz="4" w:space="0"/>
            </w:tcBorders>
            <w:vAlign w:val="center"/>
          </w:tcPr>
          <w:p w14:paraId="1A3E0897">
            <w:pPr>
              <w:pStyle w:val="4"/>
              <w:rPr>
                <w:color w:val="auto"/>
                <w:lang w:val="en-US"/>
              </w:rPr>
            </w:pPr>
            <w:r>
              <w:rPr>
                <w:rFonts w:hint="eastAsia"/>
                <w:color w:val="auto"/>
                <w:lang w:val="en-US"/>
              </w:rPr>
              <w:t>识别超出医保范围的违规收费类型为基础，可根据规则库灵活扩展，覆盖医保飞检高频违规场景（协助落地后期更新规则库，同时提供规则设置交互窗口，可由院方工作人员根据自身需求设立规则，完成自查自纠工作）。</w:t>
            </w:r>
            <w:r>
              <w:rPr>
                <w:color w:val="auto"/>
                <w:lang w:val="en-US"/>
              </w:rPr>
              <w:t xml:space="preserve">     </w:t>
            </w:r>
          </w:p>
          <w:p w14:paraId="58DC3D87">
            <w:pPr>
              <w:pStyle w:val="4"/>
              <w:rPr>
                <w:color w:val="auto"/>
                <w:lang w:val="en-US"/>
              </w:rPr>
            </w:pPr>
            <w:r>
              <w:rPr>
                <w:color w:val="auto"/>
                <w:lang w:val="en-US"/>
              </w:rPr>
              <w:t>1.</w:t>
            </w:r>
            <w:r>
              <w:rPr>
                <w:rFonts w:hint="eastAsia"/>
                <w:color w:val="auto"/>
                <w:lang w:val="en-US"/>
              </w:rPr>
              <w:t>超标准收费：超出医保规定的项目收费标准、计价单位错误、价格异动、超限价收费等；</w:t>
            </w:r>
          </w:p>
          <w:p w14:paraId="1431587C">
            <w:pPr>
              <w:pStyle w:val="4"/>
              <w:rPr>
                <w:color w:val="auto"/>
                <w:lang w:val="en-US"/>
              </w:rPr>
            </w:pPr>
            <w:r>
              <w:rPr>
                <w:color w:val="auto"/>
                <w:lang w:val="en-US"/>
              </w:rPr>
              <w:t>2.</w:t>
            </w:r>
            <w:r>
              <w:rPr>
                <w:rFonts w:hint="eastAsia"/>
                <w:color w:val="auto"/>
                <w:lang w:val="en-US"/>
              </w:rPr>
              <w:t>重复收费：同一患者同一诊疗周期内，重复收取同一项目、同类项目、组合项目拆分重复收费等；</w:t>
            </w:r>
          </w:p>
          <w:p w14:paraId="441C4ADD">
            <w:pPr>
              <w:pStyle w:val="4"/>
              <w:rPr>
                <w:color w:val="auto"/>
                <w:lang w:val="en-US"/>
              </w:rPr>
            </w:pPr>
            <w:r>
              <w:rPr>
                <w:color w:val="auto"/>
                <w:lang w:val="en-US"/>
              </w:rPr>
              <w:t>3.</w:t>
            </w:r>
            <w:r>
              <w:rPr>
                <w:rFonts w:hint="eastAsia"/>
                <w:color w:val="auto"/>
                <w:lang w:val="en-US"/>
              </w:rPr>
              <w:t>超范围收费：收费项目不在医保目录内、超出医保限定适应症</w:t>
            </w:r>
            <w:r>
              <w:rPr>
                <w:color w:val="auto"/>
                <w:lang w:val="en-US"/>
              </w:rPr>
              <w:t>/</w:t>
            </w:r>
            <w:r>
              <w:rPr>
                <w:rFonts w:hint="eastAsia"/>
                <w:color w:val="auto"/>
                <w:lang w:val="en-US"/>
              </w:rPr>
              <w:t>年龄段</w:t>
            </w:r>
            <w:r>
              <w:rPr>
                <w:color w:val="auto"/>
                <w:lang w:val="en-US"/>
              </w:rPr>
              <w:t>/</w:t>
            </w:r>
            <w:r>
              <w:rPr>
                <w:rFonts w:hint="eastAsia"/>
                <w:color w:val="auto"/>
                <w:lang w:val="en-US"/>
              </w:rPr>
              <w:t>性别</w:t>
            </w:r>
            <w:r>
              <w:rPr>
                <w:color w:val="auto"/>
                <w:lang w:val="en-US"/>
              </w:rPr>
              <w:t>/</w:t>
            </w:r>
            <w:r>
              <w:rPr>
                <w:rFonts w:hint="eastAsia"/>
                <w:color w:val="auto"/>
                <w:lang w:val="en-US"/>
              </w:rPr>
              <w:t>就诊类型等范围，无指征使用药品</w:t>
            </w:r>
            <w:r>
              <w:rPr>
                <w:color w:val="auto"/>
                <w:lang w:val="en-US"/>
              </w:rPr>
              <w:t xml:space="preserve"> / </w:t>
            </w:r>
            <w:r>
              <w:rPr>
                <w:rFonts w:hint="eastAsia"/>
                <w:color w:val="auto"/>
                <w:lang w:val="en-US"/>
              </w:rPr>
              <w:t>耗材</w:t>
            </w:r>
            <w:r>
              <w:rPr>
                <w:color w:val="auto"/>
                <w:lang w:val="en-US"/>
              </w:rPr>
              <w:t xml:space="preserve"> / </w:t>
            </w:r>
            <w:r>
              <w:rPr>
                <w:rFonts w:hint="eastAsia"/>
                <w:color w:val="auto"/>
                <w:lang w:val="en-US"/>
              </w:rPr>
              <w:t>诊疗项目等；</w:t>
            </w:r>
          </w:p>
          <w:p w14:paraId="0C70D482">
            <w:pPr>
              <w:pStyle w:val="4"/>
              <w:rPr>
                <w:color w:val="auto"/>
                <w:lang w:val="en-US"/>
              </w:rPr>
            </w:pPr>
            <w:r>
              <w:rPr>
                <w:color w:val="auto"/>
                <w:lang w:val="en-US"/>
              </w:rPr>
              <w:t>4.</w:t>
            </w:r>
            <w:r>
              <w:rPr>
                <w:rFonts w:hint="eastAsia"/>
                <w:color w:val="auto"/>
                <w:lang w:val="en-US"/>
              </w:rPr>
              <w:t>分解收费：将一个收费项目分解为多个项目单独收费，变相超出医保支付范围；</w:t>
            </w:r>
          </w:p>
          <w:p w14:paraId="5F9538FF">
            <w:pPr>
              <w:pStyle w:val="4"/>
              <w:rPr>
                <w:color w:val="auto"/>
                <w:lang w:val="en-US"/>
              </w:rPr>
            </w:pPr>
            <w:r>
              <w:rPr>
                <w:color w:val="auto"/>
                <w:lang w:val="en-US"/>
              </w:rPr>
              <w:t>5.</w:t>
            </w:r>
            <w:r>
              <w:rPr>
                <w:rFonts w:hint="eastAsia"/>
                <w:color w:val="auto"/>
                <w:lang w:val="en-US"/>
              </w:rPr>
              <w:t>串换收费：将医保目录外项目串换为目录内项目收费，或高规格项目串换为低规格项目收费、低标准项目串换高标准项目收费，违规套取医保基金；</w:t>
            </w:r>
          </w:p>
          <w:p w14:paraId="7AB86A32">
            <w:pPr>
              <w:pStyle w:val="4"/>
              <w:rPr>
                <w:color w:val="auto"/>
                <w:lang w:val="en-US"/>
              </w:rPr>
            </w:pPr>
            <w:r>
              <w:rPr>
                <w:color w:val="auto"/>
                <w:lang w:val="en-US"/>
              </w:rPr>
              <w:t>6.</w:t>
            </w:r>
            <w:r>
              <w:rPr>
                <w:rFonts w:hint="eastAsia"/>
                <w:color w:val="auto"/>
                <w:lang w:val="en-US"/>
              </w:rPr>
              <w:t>无指征检验检查：缺少对应的临床病情支撑，开展检验、影像等检查项目，如套餐式常规普查、检查项目与病案诊断不匹配、无病情依据重复检查等；</w:t>
            </w:r>
          </w:p>
          <w:p w14:paraId="0FCEFF05">
            <w:pPr>
              <w:pStyle w:val="4"/>
              <w:rPr>
                <w:color w:val="auto"/>
                <w:lang w:val="en-US"/>
              </w:rPr>
            </w:pPr>
            <w:r>
              <w:rPr>
                <w:color w:val="auto"/>
                <w:lang w:val="en-US"/>
              </w:rPr>
              <w:t>7.</w:t>
            </w:r>
            <w:r>
              <w:rPr>
                <w:rFonts w:hint="eastAsia"/>
                <w:color w:val="auto"/>
                <w:lang w:val="en-US"/>
              </w:rPr>
              <w:t>分解住院：将本应一次性完成的连续诊疗过程人为拆分，患者未达到出院标准提前办理出院，短期内因同种疾病再次入院治疗；</w:t>
            </w:r>
          </w:p>
          <w:p w14:paraId="131A2A3A">
            <w:pPr>
              <w:pStyle w:val="4"/>
              <w:rPr>
                <w:color w:val="auto"/>
                <w:lang w:val="en-US"/>
              </w:rPr>
            </w:pPr>
            <w:r>
              <w:rPr>
                <w:color w:val="auto"/>
                <w:lang w:val="en-US"/>
              </w:rPr>
              <w:t>8.</w:t>
            </w:r>
            <w:r>
              <w:rPr>
                <w:rFonts w:hint="eastAsia"/>
                <w:color w:val="auto"/>
                <w:lang w:val="en-US"/>
              </w:rPr>
              <w:t>低标准入院：不符合临床入院指征，将可在门诊完成诊治的轻症、稳定慢性病、体检疗养类患者收治住院；</w:t>
            </w:r>
          </w:p>
          <w:p w14:paraId="6DD2AA84">
            <w:pPr>
              <w:pStyle w:val="4"/>
              <w:rPr>
                <w:color w:val="auto"/>
                <w:lang w:val="en-US"/>
              </w:rPr>
            </w:pPr>
            <w:r>
              <w:rPr>
                <w:color w:val="auto"/>
                <w:lang w:val="en-US"/>
              </w:rPr>
              <w:t>9.</w:t>
            </w:r>
            <w:r>
              <w:rPr>
                <w:rFonts w:hint="eastAsia"/>
                <w:color w:val="auto"/>
                <w:lang w:val="en-US"/>
              </w:rPr>
              <w:t>超限用药：药品使用超出医保限定适应症、用药疗程、剂量、支付条件等；</w:t>
            </w:r>
          </w:p>
          <w:p w14:paraId="45E473AD">
            <w:pPr>
              <w:pStyle w:val="4"/>
              <w:rPr>
                <w:color w:val="auto"/>
                <w:lang w:val="en-US"/>
              </w:rPr>
            </w:pPr>
            <w:r>
              <w:rPr>
                <w:rFonts w:hint="eastAsia"/>
                <w:color w:val="auto"/>
                <w:lang w:val="en-US"/>
              </w:rPr>
              <w:t>其他违规：如医疗服务项目无关联收费、手术项目未按规定折价收费、无医嘱收费、收费与报告单数量不符等超出医保政策要求的违规收费行为。</w:t>
            </w:r>
          </w:p>
        </w:tc>
      </w:tr>
      <w:tr w14:paraId="6242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119B56F4">
            <w:pPr>
              <w:pStyle w:val="4"/>
              <w:rPr>
                <w:lang w:val="en-US"/>
              </w:rPr>
            </w:pPr>
            <w:r>
              <w:rPr>
                <w:rFonts w:hint="eastAsia"/>
                <w:lang w:val="en-US"/>
              </w:rPr>
              <w:t>2</w:t>
            </w:r>
          </w:p>
        </w:tc>
        <w:tc>
          <w:tcPr>
            <w:tcW w:w="1324" w:type="dxa"/>
            <w:vMerge w:val="restart"/>
            <w:vAlign w:val="center"/>
          </w:tcPr>
          <w:p w14:paraId="0F639B72">
            <w:pPr>
              <w:pStyle w:val="4"/>
              <w:rPr>
                <w:lang w:val="en-US"/>
              </w:rPr>
            </w:pPr>
            <w:r>
              <w:rPr>
                <w:rFonts w:hint="eastAsia"/>
                <w:b/>
                <w:bCs/>
                <w:lang w:val="en-US"/>
              </w:rPr>
              <w:t>违规统计分析功能</w:t>
            </w:r>
          </w:p>
        </w:tc>
        <w:tc>
          <w:tcPr>
            <w:tcW w:w="1134" w:type="dxa"/>
            <w:tcBorders>
              <w:top w:val="single" w:color="auto" w:sz="4" w:space="0"/>
              <w:left w:val="single" w:color="auto" w:sz="4" w:space="0"/>
              <w:bottom w:val="single" w:color="auto" w:sz="4" w:space="0"/>
              <w:right w:val="single" w:color="auto" w:sz="4" w:space="0"/>
            </w:tcBorders>
            <w:vAlign w:val="center"/>
          </w:tcPr>
          <w:p w14:paraId="7B4F1EDB">
            <w:pPr>
              <w:pStyle w:val="4"/>
              <w:jc w:val="left"/>
              <w:rPr>
                <w:b/>
                <w:lang w:val="en-US"/>
              </w:rPr>
            </w:pPr>
            <w:r>
              <w:rPr>
                <w:rFonts w:hint="eastAsia"/>
                <w:b/>
                <w:lang w:val="en-US"/>
              </w:rPr>
              <w:t>违规统计</w:t>
            </w:r>
          </w:p>
        </w:tc>
        <w:tc>
          <w:tcPr>
            <w:tcW w:w="5182" w:type="dxa"/>
            <w:tcBorders>
              <w:top w:val="single" w:color="auto" w:sz="4" w:space="0"/>
              <w:left w:val="single" w:color="auto" w:sz="4" w:space="0"/>
              <w:bottom w:val="single" w:color="auto" w:sz="4" w:space="0"/>
              <w:right w:val="single" w:color="auto" w:sz="4" w:space="0"/>
            </w:tcBorders>
            <w:vAlign w:val="center"/>
          </w:tcPr>
          <w:p w14:paraId="255FAB7A">
            <w:pPr>
              <w:pStyle w:val="4"/>
              <w:rPr>
                <w:lang w:val="en-US"/>
              </w:rPr>
            </w:pPr>
            <w:r>
              <w:rPr>
                <w:rFonts w:hint="eastAsia"/>
                <w:lang w:val="en-US"/>
              </w:rPr>
              <w:t>按违规类型、违规金额、违规次数、涉及科室、涉及医生、患者类型等维度统计，精准呈现各科室、各医生超出医保范围的违规收费情况。</w:t>
            </w:r>
          </w:p>
        </w:tc>
      </w:tr>
      <w:tr w14:paraId="62E4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D0AD5C9">
            <w:pPr>
              <w:pStyle w:val="4"/>
              <w:rPr>
                <w:lang w:val="en-US"/>
              </w:rPr>
            </w:pPr>
          </w:p>
        </w:tc>
        <w:tc>
          <w:tcPr>
            <w:tcW w:w="1324" w:type="dxa"/>
            <w:vMerge w:val="continue"/>
            <w:vAlign w:val="center"/>
          </w:tcPr>
          <w:p w14:paraId="43B8330C">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C8B2197">
            <w:pPr>
              <w:pStyle w:val="4"/>
              <w:jc w:val="left"/>
              <w:rPr>
                <w:b/>
                <w:color w:val="auto"/>
                <w:lang w:val="en-US"/>
              </w:rPr>
            </w:pPr>
            <w:r>
              <w:rPr>
                <w:rFonts w:hint="eastAsia"/>
                <w:b/>
                <w:color w:val="auto"/>
                <w:lang w:val="en-US"/>
              </w:rPr>
              <w:t>审核统计</w:t>
            </w:r>
          </w:p>
        </w:tc>
        <w:tc>
          <w:tcPr>
            <w:tcW w:w="5182" w:type="dxa"/>
            <w:tcBorders>
              <w:top w:val="single" w:color="auto" w:sz="4" w:space="0"/>
              <w:left w:val="single" w:color="auto" w:sz="4" w:space="0"/>
              <w:bottom w:val="single" w:color="auto" w:sz="4" w:space="0"/>
              <w:right w:val="single" w:color="auto" w:sz="4" w:space="0"/>
            </w:tcBorders>
            <w:vAlign w:val="center"/>
          </w:tcPr>
          <w:p w14:paraId="5094433E">
            <w:pPr>
              <w:pStyle w:val="4"/>
              <w:rPr>
                <w:color w:val="auto"/>
                <w:lang w:val="en-US"/>
              </w:rPr>
            </w:pPr>
            <w:r>
              <w:rPr>
                <w:rFonts w:hint="eastAsia"/>
                <w:color w:val="auto"/>
                <w:lang w:val="en-US"/>
              </w:rPr>
              <w:t>按审核批次、审核数量、通过数量、违规数量、审核通过率等维度统计，全面掌握医保审核工作成效。</w:t>
            </w:r>
          </w:p>
        </w:tc>
      </w:tr>
      <w:tr w14:paraId="264F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609662A">
            <w:pPr>
              <w:pStyle w:val="4"/>
              <w:rPr>
                <w:lang w:val="en-US"/>
              </w:rPr>
            </w:pPr>
          </w:p>
        </w:tc>
        <w:tc>
          <w:tcPr>
            <w:tcW w:w="1324" w:type="dxa"/>
            <w:vMerge w:val="continue"/>
            <w:vAlign w:val="center"/>
          </w:tcPr>
          <w:p w14:paraId="61A15423">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525BEBA">
            <w:pPr>
              <w:pStyle w:val="4"/>
              <w:jc w:val="left"/>
              <w:rPr>
                <w:b/>
                <w:color w:val="auto"/>
                <w:lang w:val="en-US"/>
              </w:rPr>
            </w:pPr>
            <w:r>
              <w:rPr>
                <w:rFonts w:hint="eastAsia"/>
                <w:b/>
                <w:color w:val="auto"/>
                <w:lang w:val="en-US"/>
              </w:rPr>
              <w:t>趋势统计</w:t>
            </w:r>
          </w:p>
        </w:tc>
        <w:tc>
          <w:tcPr>
            <w:tcW w:w="5182" w:type="dxa"/>
            <w:tcBorders>
              <w:top w:val="single" w:color="auto" w:sz="4" w:space="0"/>
              <w:left w:val="single" w:color="auto" w:sz="4" w:space="0"/>
              <w:bottom w:val="single" w:color="auto" w:sz="4" w:space="0"/>
              <w:right w:val="single" w:color="auto" w:sz="4" w:space="0"/>
            </w:tcBorders>
            <w:vAlign w:val="center"/>
          </w:tcPr>
          <w:p w14:paraId="14128A4A">
            <w:pPr>
              <w:pStyle w:val="4"/>
              <w:rPr>
                <w:color w:val="auto"/>
                <w:lang w:val="en-US"/>
              </w:rPr>
            </w:pPr>
            <w:r>
              <w:rPr>
                <w:rFonts w:hint="eastAsia"/>
                <w:color w:val="auto"/>
                <w:lang w:val="en-US"/>
              </w:rPr>
              <w:t>按日、周、月、季度、年度统计违规金额、违规次数变化趋势，支持同比、环比分析，直观呈现管控效果。</w:t>
            </w:r>
          </w:p>
        </w:tc>
      </w:tr>
      <w:tr w14:paraId="1A47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33116D5">
            <w:pPr>
              <w:pStyle w:val="4"/>
              <w:rPr>
                <w:lang w:val="en-US"/>
              </w:rPr>
            </w:pPr>
          </w:p>
        </w:tc>
        <w:tc>
          <w:tcPr>
            <w:tcW w:w="1324" w:type="dxa"/>
            <w:vMerge w:val="continue"/>
            <w:vAlign w:val="center"/>
          </w:tcPr>
          <w:p w14:paraId="6D45E0E3">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CD159CE">
            <w:pPr>
              <w:pStyle w:val="4"/>
              <w:jc w:val="left"/>
              <w:rPr>
                <w:b/>
                <w:color w:val="auto"/>
                <w:lang w:val="en-US"/>
              </w:rPr>
            </w:pPr>
            <w:r>
              <w:rPr>
                <w:rFonts w:hint="eastAsia"/>
                <w:b/>
                <w:color w:val="auto"/>
                <w:lang w:val="en-US"/>
              </w:rPr>
              <w:t>科室</w:t>
            </w:r>
            <w:r>
              <w:rPr>
                <w:b/>
                <w:color w:val="auto"/>
                <w:lang w:val="en-US"/>
              </w:rPr>
              <w:t>/</w:t>
            </w:r>
            <w:r>
              <w:rPr>
                <w:rFonts w:hint="eastAsia"/>
                <w:b/>
                <w:color w:val="auto"/>
                <w:lang w:val="en-US"/>
              </w:rPr>
              <w:t>医生统计</w:t>
            </w:r>
          </w:p>
        </w:tc>
        <w:tc>
          <w:tcPr>
            <w:tcW w:w="5182" w:type="dxa"/>
            <w:tcBorders>
              <w:top w:val="single" w:color="auto" w:sz="4" w:space="0"/>
              <w:left w:val="single" w:color="auto" w:sz="4" w:space="0"/>
              <w:bottom w:val="single" w:color="auto" w:sz="4" w:space="0"/>
              <w:right w:val="single" w:color="auto" w:sz="4" w:space="0"/>
            </w:tcBorders>
            <w:vAlign w:val="center"/>
          </w:tcPr>
          <w:p w14:paraId="766EF8B1">
            <w:pPr>
              <w:pStyle w:val="4"/>
              <w:rPr>
                <w:color w:val="auto"/>
                <w:lang w:val="en-US"/>
              </w:rPr>
            </w:pPr>
            <w:r>
              <w:rPr>
                <w:rFonts w:hint="eastAsia"/>
                <w:color w:val="auto"/>
                <w:lang w:val="en-US"/>
              </w:rPr>
              <w:t>按科室、医生统计违规情况，生成排名报表，明确整改重点对象，助力医院精准管控超出医保范围的违规收费行为。</w:t>
            </w:r>
          </w:p>
        </w:tc>
      </w:tr>
      <w:tr w14:paraId="596C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82E3178">
            <w:pPr>
              <w:pStyle w:val="4"/>
              <w:rPr>
                <w:lang w:val="en-US"/>
              </w:rPr>
            </w:pPr>
          </w:p>
        </w:tc>
        <w:tc>
          <w:tcPr>
            <w:tcW w:w="1324" w:type="dxa"/>
            <w:vMerge w:val="continue"/>
            <w:vAlign w:val="center"/>
          </w:tcPr>
          <w:p w14:paraId="2F2CAEF2">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0405866">
            <w:pPr>
              <w:pStyle w:val="4"/>
              <w:jc w:val="left"/>
              <w:rPr>
                <w:b/>
                <w:color w:val="auto"/>
                <w:lang w:val="en-US"/>
              </w:rPr>
            </w:pPr>
            <w:r>
              <w:rPr>
                <w:rFonts w:hint="eastAsia"/>
                <w:b/>
                <w:color w:val="auto"/>
                <w:lang w:val="en-US"/>
              </w:rPr>
              <w:t>报表生成</w:t>
            </w:r>
          </w:p>
        </w:tc>
        <w:tc>
          <w:tcPr>
            <w:tcW w:w="5182" w:type="dxa"/>
            <w:tcBorders>
              <w:top w:val="single" w:color="auto" w:sz="4" w:space="0"/>
              <w:left w:val="single" w:color="auto" w:sz="4" w:space="0"/>
              <w:bottom w:val="single" w:color="auto" w:sz="4" w:space="0"/>
              <w:right w:val="single" w:color="auto" w:sz="4" w:space="0"/>
            </w:tcBorders>
            <w:vAlign w:val="center"/>
          </w:tcPr>
          <w:p w14:paraId="1F8C1CC5">
            <w:pPr>
              <w:pStyle w:val="4"/>
              <w:rPr>
                <w:lang w:val="en-US"/>
              </w:rPr>
            </w:pPr>
            <w:r>
              <w:rPr>
                <w:rFonts w:hint="eastAsia"/>
                <w:color w:val="auto"/>
                <w:lang w:val="en-US"/>
              </w:rPr>
              <w:t>支持自动生成各类统计报表（如违规收费统计报表、审核情况汇总报表、科室整改报表等），</w:t>
            </w:r>
            <w:r>
              <w:rPr>
                <w:rFonts w:hint="eastAsia"/>
                <w:lang w:val="en-US"/>
              </w:rPr>
              <w:t>并可自行选择报表字段，支持</w:t>
            </w:r>
            <w:r>
              <w:rPr>
                <w:lang w:val="en-US"/>
              </w:rPr>
              <w:t>Excel</w:t>
            </w:r>
            <w:r>
              <w:rPr>
                <w:rFonts w:hint="eastAsia"/>
                <w:lang w:val="en-US"/>
              </w:rPr>
              <w:t>格式导出，直观展示各科室违规率、医生违规排名、各类违规行为占比等信息，助力医院医保管理部门精准追溯违规问题根源，针对性制定整改措施、开展专项培训，提升医保基金使用效益。</w:t>
            </w:r>
            <w:r>
              <w:rPr>
                <w:lang w:val="en-US"/>
              </w:rPr>
              <w:t xml:space="preserve">  </w:t>
            </w:r>
          </w:p>
        </w:tc>
      </w:tr>
      <w:tr w14:paraId="432D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21F7F25">
            <w:pPr>
              <w:pStyle w:val="4"/>
              <w:rPr>
                <w:lang w:val="en-US"/>
              </w:rPr>
            </w:pPr>
          </w:p>
        </w:tc>
        <w:tc>
          <w:tcPr>
            <w:tcW w:w="1324" w:type="dxa"/>
            <w:vMerge w:val="continue"/>
            <w:vAlign w:val="center"/>
          </w:tcPr>
          <w:p w14:paraId="2D5D6EE2">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4738FAB">
            <w:pPr>
              <w:pStyle w:val="4"/>
              <w:jc w:val="left"/>
              <w:rPr>
                <w:b/>
                <w:lang w:val="en-US"/>
              </w:rPr>
            </w:pPr>
            <w:r>
              <w:rPr>
                <w:rFonts w:hint="eastAsia"/>
                <w:b/>
                <w:lang w:val="en-US"/>
              </w:rPr>
              <w:t>住院</w:t>
            </w:r>
            <w:r>
              <w:rPr>
                <w:b/>
                <w:lang w:val="en-US"/>
              </w:rPr>
              <w:t>/</w:t>
            </w:r>
            <w:r>
              <w:rPr>
                <w:rFonts w:hint="eastAsia"/>
                <w:b/>
                <w:lang w:val="en-US"/>
              </w:rPr>
              <w:t>门诊疑似违规统计分析</w:t>
            </w:r>
          </w:p>
        </w:tc>
        <w:tc>
          <w:tcPr>
            <w:tcW w:w="5182" w:type="dxa"/>
            <w:tcBorders>
              <w:top w:val="single" w:color="auto" w:sz="4" w:space="0"/>
              <w:left w:val="single" w:color="auto" w:sz="4" w:space="0"/>
              <w:bottom w:val="single" w:color="auto" w:sz="4" w:space="0"/>
              <w:right w:val="single" w:color="auto" w:sz="4" w:space="0"/>
            </w:tcBorders>
            <w:vAlign w:val="center"/>
          </w:tcPr>
          <w:p w14:paraId="105B7C79">
            <w:pPr>
              <w:pStyle w:val="4"/>
              <w:rPr>
                <w:lang w:val="en-US"/>
              </w:rPr>
            </w:pPr>
            <w:r>
              <w:rPr>
                <w:lang w:val="en-US"/>
              </w:rPr>
              <w:t>1.</w:t>
            </w:r>
            <w:r>
              <w:rPr>
                <w:rFonts w:hint="eastAsia"/>
                <w:lang w:val="en-US"/>
              </w:rPr>
              <w:t>可按照住院</w:t>
            </w:r>
            <w:r>
              <w:rPr>
                <w:lang w:val="en-US"/>
              </w:rPr>
              <w:t>/</w:t>
            </w:r>
            <w:r>
              <w:rPr>
                <w:rFonts w:hint="eastAsia"/>
                <w:lang w:val="en-US"/>
              </w:rPr>
              <w:t>门诊患者维度展示智能审结果，包括患者列表和智审详情，智审详情需要展示所有的智审明细，患者列表支持多维度查询。并对历史数据进行趋势分析，可查看对应规则下违规数量，可按违规数量进行排序。</w:t>
            </w:r>
          </w:p>
          <w:p w14:paraId="20C2F06C">
            <w:pPr>
              <w:pStyle w:val="4"/>
              <w:rPr>
                <w:lang w:val="en-US"/>
              </w:rPr>
            </w:pPr>
            <w:r>
              <w:rPr>
                <w:lang w:val="en-US"/>
              </w:rPr>
              <w:t>2.</w:t>
            </w:r>
            <w:r>
              <w:rPr>
                <w:rFonts w:hint="eastAsia"/>
                <w:lang w:val="en-US"/>
              </w:rPr>
              <w:t>可按规则类型－科室－医生－规则维度，展示疑似违规数据，可进行报表下钻，方便用户快速查看和分析疑似违规数据。</w:t>
            </w:r>
          </w:p>
          <w:p w14:paraId="718E1721">
            <w:pPr>
              <w:pStyle w:val="4"/>
              <w:rPr>
                <w:lang w:val="en-US"/>
              </w:rPr>
            </w:pPr>
            <w:r>
              <w:rPr>
                <w:lang w:val="en-US"/>
              </w:rPr>
              <w:t>3.</w:t>
            </w:r>
            <w:r>
              <w:rPr>
                <w:rFonts w:hint="eastAsia"/>
                <w:lang w:val="en-US"/>
              </w:rPr>
              <w:t>按科室维度统计违规次数、违规金额，计算同比及环比分析结果；</w:t>
            </w:r>
          </w:p>
          <w:p w14:paraId="731A3A28">
            <w:pPr>
              <w:pStyle w:val="4"/>
              <w:rPr>
                <w:lang w:val="en-US"/>
              </w:rPr>
            </w:pPr>
            <w:r>
              <w:rPr>
                <w:rFonts w:hint="eastAsia"/>
                <w:lang w:val="en-US"/>
              </w:rPr>
              <w:t>按医生维度统计违规次数、违规金额，计算同比及环比分析结果。</w:t>
            </w:r>
          </w:p>
          <w:p w14:paraId="50360365">
            <w:pPr>
              <w:pStyle w:val="4"/>
              <w:rPr>
                <w:lang w:val="en-US"/>
              </w:rPr>
            </w:pPr>
            <w:r>
              <w:rPr>
                <w:lang w:val="en-US"/>
              </w:rPr>
              <w:t>4.</w:t>
            </w:r>
            <w:r>
              <w:rPr>
                <w:rFonts w:hint="eastAsia"/>
                <w:lang w:val="en-US"/>
              </w:rPr>
              <w:t>分析疑似违规诊疗项目的使用情况，统计药品、医疗服务、耗材的使用数量、金额、人次等，以及各科室的使用详情。</w:t>
            </w:r>
          </w:p>
        </w:tc>
      </w:tr>
      <w:tr w14:paraId="2458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5F3BBD1">
            <w:pPr>
              <w:pStyle w:val="4"/>
              <w:rPr>
                <w:lang w:val="en-US"/>
              </w:rPr>
            </w:pPr>
          </w:p>
        </w:tc>
        <w:tc>
          <w:tcPr>
            <w:tcW w:w="1324" w:type="dxa"/>
            <w:vMerge w:val="continue"/>
            <w:vAlign w:val="center"/>
          </w:tcPr>
          <w:p w14:paraId="62791512">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5A2A2CB4">
            <w:pPr>
              <w:pStyle w:val="4"/>
              <w:jc w:val="left"/>
              <w:rPr>
                <w:b/>
                <w:lang w:val="en-US"/>
              </w:rPr>
            </w:pPr>
            <w:r>
              <w:rPr>
                <w:rFonts w:hint="eastAsia"/>
                <w:b/>
              </w:rPr>
              <w:t>实时预警整改分析</w:t>
            </w:r>
          </w:p>
        </w:tc>
        <w:tc>
          <w:tcPr>
            <w:tcW w:w="5182" w:type="dxa"/>
            <w:tcBorders>
              <w:top w:val="single" w:color="auto" w:sz="4" w:space="0"/>
              <w:left w:val="single" w:color="auto" w:sz="4" w:space="0"/>
              <w:bottom w:val="single" w:color="auto" w:sz="4" w:space="0"/>
              <w:right w:val="single" w:color="auto" w:sz="4" w:space="0"/>
            </w:tcBorders>
            <w:vAlign w:val="center"/>
          </w:tcPr>
          <w:p w14:paraId="1F01D514">
            <w:pPr>
              <w:pStyle w:val="4"/>
              <w:rPr>
                <w:lang w:val="en-US"/>
              </w:rPr>
            </w:pPr>
            <w:r>
              <w:rPr>
                <w:rFonts w:hint="eastAsia" w:ascii="宋体" w:hAnsi="宋体" w:eastAsia="宋体" w:cs="宋体"/>
                <w:szCs w:val="20"/>
                <w:lang w:bidi="ar"/>
              </w:rPr>
              <w:t>对实时场景预提醒的医生整改情况进行统计分析，了解医生的认同率、不认同率，分析不认同的主要原因</w:t>
            </w:r>
          </w:p>
        </w:tc>
      </w:tr>
      <w:tr w14:paraId="595C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1B814AB">
            <w:pPr>
              <w:pStyle w:val="4"/>
              <w:rPr>
                <w:lang w:val="en-US"/>
              </w:rPr>
            </w:pPr>
          </w:p>
        </w:tc>
        <w:tc>
          <w:tcPr>
            <w:tcW w:w="1324" w:type="dxa"/>
            <w:vMerge w:val="continue"/>
            <w:vAlign w:val="center"/>
          </w:tcPr>
          <w:p w14:paraId="6DFDCF91">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3D10D9A6">
            <w:pPr>
              <w:pStyle w:val="4"/>
              <w:jc w:val="left"/>
              <w:rPr>
                <w:b/>
                <w:lang w:val="en-US"/>
              </w:rPr>
            </w:pPr>
            <w:r>
              <w:rPr>
                <w:rFonts w:hint="eastAsia"/>
                <w:b/>
              </w:rPr>
              <w:t>审核成效分析</w:t>
            </w:r>
          </w:p>
        </w:tc>
        <w:tc>
          <w:tcPr>
            <w:tcW w:w="5182" w:type="dxa"/>
            <w:tcBorders>
              <w:top w:val="single" w:color="auto" w:sz="4" w:space="0"/>
              <w:left w:val="single" w:color="auto" w:sz="4" w:space="0"/>
              <w:bottom w:val="single" w:color="auto" w:sz="4" w:space="0"/>
              <w:right w:val="single" w:color="auto" w:sz="4" w:space="0"/>
            </w:tcBorders>
            <w:vAlign w:val="center"/>
          </w:tcPr>
          <w:p w14:paraId="4A7A8567">
            <w:pPr>
              <w:pStyle w:val="4"/>
              <w:rPr>
                <w:lang w:val="en-US"/>
              </w:rPr>
            </w:pPr>
            <w:r>
              <w:rPr>
                <w:rFonts w:hint="eastAsia" w:ascii="宋体" w:hAnsi="宋体" w:eastAsia="宋体" w:cs="宋体"/>
                <w:szCs w:val="20"/>
                <w:lang w:bidi="ar"/>
              </w:rPr>
              <w:t>对审核结果进行全过程监督，根据事前事中事后整改情况，呈现医保智能审核产品成效</w:t>
            </w:r>
          </w:p>
        </w:tc>
      </w:tr>
      <w:tr w14:paraId="5FC8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1967C23">
            <w:pPr>
              <w:pStyle w:val="4"/>
              <w:rPr>
                <w:lang w:val="en-US"/>
              </w:rPr>
            </w:pPr>
          </w:p>
        </w:tc>
        <w:tc>
          <w:tcPr>
            <w:tcW w:w="1324" w:type="dxa"/>
            <w:vMerge w:val="continue"/>
            <w:vAlign w:val="center"/>
          </w:tcPr>
          <w:p w14:paraId="152534F7">
            <w:pPr>
              <w:pStyle w:val="4"/>
              <w:rPr>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F6DB0EF">
            <w:pPr>
              <w:pStyle w:val="4"/>
              <w:jc w:val="left"/>
              <w:rPr>
                <w:b/>
                <w:color w:val="auto"/>
                <w:lang w:val="en-US"/>
              </w:rPr>
            </w:pPr>
            <w:r>
              <w:rPr>
                <w:rFonts w:hint="eastAsia"/>
                <w:b/>
                <w:color w:val="auto"/>
                <w:lang w:val="en-US"/>
              </w:rPr>
              <w:t>大屏展示</w:t>
            </w:r>
          </w:p>
        </w:tc>
        <w:tc>
          <w:tcPr>
            <w:tcW w:w="5182" w:type="dxa"/>
            <w:tcBorders>
              <w:top w:val="single" w:color="auto" w:sz="4" w:space="0"/>
              <w:left w:val="single" w:color="auto" w:sz="4" w:space="0"/>
              <w:bottom w:val="single" w:color="auto" w:sz="4" w:space="0"/>
              <w:right w:val="single" w:color="auto" w:sz="4" w:space="0"/>
            </w:tcBorders>
            <w:vAlign w:val="center"/>
          </w:tcPr>
          <w:p w14:paraId="3E29AC6C">
            <w:pPr>
              <w:pStyle w:val="4"/>
              <w:rPr>
                <w:color w:val="auto"/>
                <w:lang w:val="en-US"/>
              </w:rPr>
            </w:pPr>
            <w:r>
              <w:rPr>
                <w:rFonts w:hint="eastAsia"/>
                <w:color w:val="auto"/>
                <w:lang w:val="en-US"/>
              </w:rPr>
              <w:t>支持医保审核违规数据可视化大屏展示，实时展示全院违规概况、科室排名、趋势变化、重点问题，便于管理层实时监控。</w:t>
            </w:r>
          </w:p>
        </w:tc>
      </w:tr>
      <w:tr w14:paraId="501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29B48670">
            <w:pPr>
              <w:pStyle w:val="4"/>
              <w:rPr>
                <w:lang w:val="en-US"/>
              </w:rPr>
            </w:pPr>
            <w:r>
              <w:rPr>
                <w:lang w:val="en-US"/>
              </w:rPr>
              <w:t>3</w:t>
            </w:r>
          </w:p>
        </w:tc>
        <w:tc>
          <w:tcPr>
            <w:tcW w:w="1324" w:type="dxa"/>
            <w:vMerge w:val="restart"/>
            <w:vAlign w:val="center"/>
          </w:tcPr>
          <w:p w14:paraId="0D9650FB">
            <w:pPr>
              <w:pStyle w:val="4"/>
              <w:rPr>
                <w:b/>
                <w:bCs/>
                <w:lang w:val="en-US"/>
              </w:rPr>
            </w:pPr>
            <w:r>
              <w:rPr>
                <w:rFonts w:hint="eastAsia"/>
                <w:b/>
                <w:bCs/>
                <w:lang w:val="en-US"/>
              </w:rPr>
              <w:t>规则库管理功能</w:t>
            </w:r>
          </w:p>
        </w:tc>
        <w:tc>
          <w:tcPr>
            <w:tcW w:w="1134" w:type="dxa"/>
            <w:tcBorders>
              <w:top w:val="single" w:color="auto" w:sz="4" w:space="0"/>
              <w:left w:val="single" w:color="auto" w:sz="4" w:space="0"/>
              <w:bottom w:val="single" w:color="auto" w:sz="4" w:space="0"/>
              <w:right w:val="single" w:color="auto" w:sz="4" w:space="0"/>
            </w:tcBorders>
            <w:vAlign w:val="center"/>
          </w:tcPr>
          <w:p w14:paraId="5AAD5BF0">
            <w:pPr>
              <w:pStyle w:val="4"/>
              <w:jc w:val="left"/>
              <w:rPr>
                <w:b/>
                <w:lang w:val="en-US"/>
              </w:rPr>
            </w:pPr>
            <w:r>
              <w:rPr>
                <w:rFonts w:hint="eastAsia"/>
                <w:b/>
                <w:lang w:val="en-US"/>
              </w:rPr>
              <w:t>医保</w:t>
            </w:r>
            <w:r>
              <w:rPr>
                <w:b/>
                <w:lang w:val="en-US"/>
              </w:rPr>
              <w:t>AI</w:t>
            </w:r>
            <w:r>
              <w:rPr>
                <w:rFonts w:hint="eastAsia"/>
                <w:b/>
                <w:lang w:val="en-US"/>
              </w:rPr>
              <w:t>模型中心</w:t>
            </w:r>
          </w:p>
        </w:tc>
        <w:tc>
          <w:tcPr>
            <w:tcW w:w="5182" w:type="dxa"/>
            <w:tcBorders>
              <w:top w:val="single" w:color="auto" w:sz="4" w:space="0"/>
              <w:left w:val="single" w:color="auto" w:sz="4" w:space="0"/>
              <w:bottom w:val="single" w:color="auto" w:sz="4" w:space="0"/>
              <w:right w:val="single" w:color="auto" w:sz="4" w:space="0"/>
            </w:tcBorders>
            <w:vAlign w:val="center"/>
          </w:tcPr>
          <w:p w14:paraId="47ACED37">
            <w:pPr>
              <w:pStyle w:val="4"/>
              <w:rPr>
                <w:lang w:val="en-US"/>
              </w:rPr>
            </w:pPr>
            <w:r>
              <w:rPr>
                <w:rFonts w:hint="eastAsia"/>
                <w:lang w:val="en-US"/>
              </w:rPr>
              <w:t>自定义规则引擎为</w:t>
            </w:r>
            <w:r>
              <w:rPr>
                <w:lang w:val="en-US"/>
              </w:rPr>
              <w:t>AI</w:t>
            </w:r>
            <w:r>
              <w:rPr>
                <w:rFonts w:hint="eastAsia"/>
                <w:lang w:val="en-US"/>
              </w:rPr>
              <w:t>智能审核提供底层配置能力，能够快速创建并验证系统当前未覆盖的通用规则和医院个性化规则，支撑医保审核规则的灵活配置、精细化管控与政策同步更新。</w:t>
            </w:r>
          </w:p>
        </w:tc>
      </w:tr>
      <w:tr w14:paraId="37A1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6976A20">
            <w:pPr>
              <w:pStyle w:val="4"/>
              <w:rPr>
                <w:lang w:val="en-US"/>
              </w:rPr>
            </w:pPr>
          </w:p>
        </w:tc>
        <w:tc>
          <w:tcPr>
            <w:tcW w:w="1324" w:type="dxa"/>
            <w:vMerge w:val="continue"/>
            <w:vAlign w:val="center"/>
          </w:tcPr>
          <w:p w14:paraId="09CF376D">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D8E165A">
            <w:pPr>
              <w:pStyle w:val="4"/>
              <w:jc w:val="left"/>
              <w:rPr>
                <w:b/>
                <w:color w:val="auto"/>
                <w:lang w:val="en-US"/>
              </w:rPr>
            </w:pPr>
            <w:r>
              <w:rPr>
                <w:rFonts w:hint="eastAsia"/>
                <w:b/>
                <w:color w:val="auto"/>
                <w:lang w:val="en-US"/>
              </w:rPr>
              <w:t>规则库基础要求</w:t>
            </w:r>
          </w:p>
        </w:tc>
        <w:tc>
          <w:tcPr>
            <w:tcW w:w="5182" w:type="dxa"/>
            <w:tcBorders>
              <w:top w:val="single" w:color="auto" w:sz="4" w:space="0"/>
              <w:left w:val="single" w:color="auto" w:sz="4" w:space="0"/>
              <w:bottom w:val="single" w:color="auto" w:sz="4" w:space="0"/>
              <w:right w:val="single" w:color="auto" w:sz="4" w:space="0"/>
            </w:tcBorders>
            <w:vAlign w:val="center"/>
          </w:tcPr>
          <w:p w14:paraId="7EFC7F04">
            <w:pPr>
              <w:pStyle w:val="4"/>
              <w:rPr>
                <w:color w:val="auto"/>
                <w:lang w:val="en-US"/>
              </w:rPr>
            </w:pPr>
            <w:r>
              <w:rPr>
                <w:rFonts w:hint="eastAsia"/>
                <w:color w:val="auto"/>
                <w:lang w:val="en-US"/>
              </w:rPr>
              <w:t>内置完整的医保审核规则库，严格遵循国家医保局要求，涵盖政策类、医疗类、管理类三大类规则，包含至少</w:t>
            </w:r>
            <w:r>
              <w:rPr>
                <w:color w:val="auto"/>
                <w:lang w:val="en-US"/>
              </w:rPr>
              <w:t>1000</w:t>
            </w:r>
            <w:r>
              <w:rPr>
                <w:rFonts w:hint="eastAsia"/>
                <w:color w:val="auto"/>
                <w:lang w:val="en-US"/>
              </w:rPr>
              <w:t>条基础规则，全面覆盖国家、地方医保最新政策及飞检重点核查规则，涵盖分解住院、门诊费用违规转移至住院、过度检查治疗等高频违规场景，可直接投入使用，无需医院额外搭建基础规则。同时支持结合本地医保政策及医院实际，增补本地化规则，适配区域医保管理要求。</w:t>
            </w:r>
          </w:p>
        </w:tc>
      </w:tr>
      <w:tr w14:paraId="60B6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18D5943">
            <w:pPr>
              <w:pStyle w:val="4"/>
              <w:rPr>
                <w:lang w:val="en-US"/>
              </w:rPr>
            </w:pPr>
          </w:p>
        </w:tc>
        <w:tc>
          <w:tcPr>
            <w:tcW w:w="1324" w:type="dxa"/>
            <w:vMerge w:val="continue"/>
            <w:vAlign w:val="center"/>
          </w:tcPr>
          <w:p w14:paraId="36A640E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3147E10">
            <w:pPr>
              <w:pStyle w:val="4"/>
              <w:jc w:val="left"/>
              <w:rPr>
                <w:b/>
                <w:color w:val="auto"/>
                <w:lang w:val="en-US"/>
              </w:rPr>
            </w:pPr>
            <w:r>
              <w:rPr>
                <w:rFonts w:hint="eastAsia"/>
                <w:b/>
                <w:color w:val="auto"/>
                <w:lang w:val="en-US"/>
              </w:rPr>
              <w:t>前端自主维护功能</w:t>
            </w:r>
          </w:p>
        </w:tc>
        <w:tc>
          <w:tcPr>
            <w:tcW w:w="5182" w:type="dxa"/>
            <w:tcBorders>
              <w:top w:val="single" w:color="auto" w:sz="4" w:space="0"/>
              <w:left w:val="single" w:color="auto" w:sz="4" w:space="0"/>
              <w:bottom w:val="single" w:color="auto" w:sz="4" w:space="0"/>
              <w:right w:val="single" w:color="auto" w:sz="4" w:space="0"/>
            </w:tcBorders>
            <w:vAlign w:val="center"/>
          </w:tcPr>
          <w:p w14:paraId="643502BA">
            <w:pPr>
              <w:pStyle w:val="4"/>
              <w:rPr>
                <w:color w:val="auto"/>
                <w:lang w:val="en-US"/>
              </w:rPr>
            </w:pPr>
            <w:r>
              <w:rPr>
                <w:rFonts w:hint="eastAsia"/>
                <w:color w:val="auto"/>
                <w:lang w:val="en-US"/>
              </w:rPr>
              <w:t>配置规则编辑交互窗口，支持医院医保管理员在系统前端自主维护规则，无需技术人员干预，操作界面简洁易懂、流程便捷，支持图形化操作，无需编写代码，具体支持以下操作</w:t>
            </w:r>
          </w:p>
        </w:tc>
      </w:tr>
      <w:tr w14:paraId="4D31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6812642">
            <w:pPr>
              <w:pStyle w:val="4"/>
              <w:rPr>
                <w:lang w:val="en-US"/>
              </w:rPr>
            </w:pPr>
          </w:p>
        </w:tc>
        <w:tc>
          <w:tcPr>
            <w:tcW w:w="1324" w:type="dxa"/>
            <w:vMerge w:val="continue"/>
            <w:vAlign w:val="center"/>
          </w:tcPr>
          <w:p w14:paraId="33A597F4">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2C34DA5">
            <w:pPr>
              <w:pStyle w:val="4"/>
              <w:jc w:val="left"/>
              <w:rPr>
                <w:b/>
                <w:color w:val="auto"/>
                <w:lang w:val="en-US"/>
              </w:rPr>
            </w:pPr>
            <w:r>
              <w:rPr>
                <w:rFonts w:hint="eastAsia"/>
                <w:b/>
                <w:color w:val="auto"/>
                <w:lang w:val="en-US"/>
              </w:rPr>
              <w:t>规则新增</w:t>
            </w:r>
          </w:p>
        </w:tc>
        <w:tc>
          <w:tcPr>
            <w:tcW w:w="5182" w:type="dxa"/>
            <w:tcBorders>
              <w:top w:val="single" w:color="auto" w:sz="4" w:space="0"/>
              <w:left w:val="single" w:color="auto" w:sz="4" w:space="0"/>
              <w:bottom w:val="single" w:color="auto" w:sz="4" w:space="0"/>
              <w:right w:val="single" w:color="auto" w:sz="4" w:space="0"/>
            </w:tcBorders>
            <w:vAlign w:val="center"/>
          </w:tcPr>
          <w:p w14:paraId="4986A342">
            <w:pPr>
              <w:pStyle w:val="4"/>
              <w:rPr>
                <w:color w:val="auto"/>
                <w:lang w:val="en-US"/>
              </w:rPr>
            </w:pPr>
            <w:r>
              <w:rPr>
                <w:rFonts w:hint="eastAsia"/>
                <w:color w:val="auto"/>
                <w:lang w:val="en-US"/>
              </w:rPr>
              <w:t>可自定义违规类型、审核条件（如收费标准、医保目录范围、诊疗逻辑、患者信息等）、拦截级别、违规依据（可关联医保政策条款），快速新增超出医保范围的违规收费审核规则。</w:t>
            </w:r>
          </w:p>
        </w:tc>
      </w:tr>
      <w:tr w14:paraId="34F8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227B4FA">
            <w:pPr>
              <w:pStyle w:val="4"/>
              <w:rPr>
                <w:lang w:val="en-US"/>
              </w:rPr>
            </w:pPr>
          </w:p>
        </w:tc>
        <w:tc>
          <w:tcPr>
            <w:tcW w:w="1324" w:type="dxa"/>
            <w:vMerge w:val="continue"/>
            <w:vAlign w:val="center"/>
          </w:tcPr>
          <w:p w14:paraId="1856A23B">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E9A68E1">
            <w:pPr>
              <w:pStyle w:val="4"/>
              <w:jc w:val="left"/>
              <w:rPr>
                <w:b/>
                <w:color w:val="auto"/>
                <w:lang w:val="en-US"/>
              </w:rPr>
            </w:pPr>
            <w:r>
              <w:rPr>
                <w:rFonts w:hint="eastAsia"/>
                <w:b/>
                <w:color w:val="auto"/>
                <w:lang w:val="en-US"/>
              </w:rPr>
              <w:t>三级拦截</w:t>
            </w:r>
          </w:p>
        </w:tc>
        <w:tc>
          <w:tcPr>
            <w:tcW w:w="5182" w:type="dxa"/>
            <w:tcBorders>
              <w:top w:val="single" w:color="auto" w:sz="4" w:space="0"/>
              <w:left w:val="single" w:color="auto" w:sz="4" w:space="0"/>
              <w:bottom w:val="single" w:color="auto" w:sz="4" w:space="0"/>
              <w:right w:val="single" w:color="auto" w:sz="4" w:space="0"/>
            </w:tcBorders>
            <w:vAlign w:val="center"/>
          </w:tcPr>
          <w:p w14:paraId="14B66977">
            <w:pPr>
              <w:pStyle w:val="4"/>
              <w:rPr>
                <w:color w:val="auto"/>
                <w:lang w:val="en-US"/>
              </w:rPr>
            </w:pPr>
            <w:r>
              <w:rPr>
                <w:rFonts w:hint="eastAsia"/>
                <w:color w:val="auto"/>
                <w:lang w:val="en-US"/>
              </w:rPr>
              <w:t>拦截级别可设置为三级，一级拦截为高危阻断、强制拦截，二级拦截为弹窗强提醒（需备案后通过），三级拦截为弱提醒，仅弹窗提示并记录行为。</w:t>
            </w:r>
            <w:r>
              <w:rPr>
                <w:color w:val="auto"/>
                <w:lang w:val="en-US"/>
              </w:rPr>
              <w:tab/>
            </w:r>
          </w:p>
        </w:tc>
      </w:tr>
      <w:tr w14:paraId="7985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656" w:type="dxa"/>
            <w:vMerge w:val="continue"/>
            <w:vAlign w:val="center"/>
          </w:tcPr>
          <w:p w14:paraId="44DED6E6">
            <w:pPr>
              <w:pStyle w:val="4"/>
              <w:rPr>
                <w:lang w:val="en-US"/>
              </w:rPr>
            </w:pPr>
          </w:p>
        </w:tc>
        <w:tc>
          <w:tcPr>
            <w:tcW w:w="1324" w:type="dxa"/>
            <w:vMerge w:val="continue"/>
            <w:vAlign w:val="center"/>
          </w:tcPr>
          <w:p w14:paraId="33E7067A">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0F056C1">
            <w:pPr>
              <w:pStyle w:val="4"/>
              <w:jc w:val="left"/>
              <w:rPr>
                <w:b/>
                <w:color w:val="auto"/>
                <w:lang w:val="en-US"/>
              </w:rPr>
            </w:pPr>
            <w:r>
              <w:rPr>
                <w:rFonts w:hint="eastAsia"/>
                <w:b/>
                <w:color w:val="auto"/>
                <w:lang w:val="en-US"/>
              </w:rPr>
              <w:t>规则编辑</w:t>
            </w:r>
          </w:p>
        </w:tc>
        <w:tc>
          <w:tcPr>
            <w:tcW w:w="5182" w:type="dxa"/>
            <w:tcBorders>
              <w:top w:val="single" w:color="auto" w:sz="4" w:space="0"/>
              <w:left w:val="single" w:color="auto" w:sz="4" w:space="0"/>
              <w:bottom w:val="single" w:color="auto" w:sz="4" w:space="0"/>
              <w:right w:val="single" w:color="auto" w:sz="4" w:space="0"/>
            </w:tcBorders>
            <w:vAlign w:val="center"/>
          </w:tcPr>
          <w:p w14:paraId="5F3CFB2F">
            <w:pPr>
              <w:pStyle w:val="4"/>
              <w:rPr>
                <w:color w:val="auto"/>
                <w:lang w:val="en-US"/>
              </w:rPr>
            </w:pPr>
            <w:r>
              <w:rPr>
                <w:rFonts w:hint="eastAsia"/>
                <w:color w:val="auto"/>
                <w:lang w:val="en-US"/>
              </w:rPr>
              <w:t>可由院端医保管理人员灵活编辑规则库，修改现有规则的审核条件、拦截级别、违规说明等参数，支持规则复制、批量编辑，提升规则维护效率，适配医保政策动态调整需求，可随时查询规则库并由院方自主设置规则。</w:t>
            </w:r>
          </w:p>
        </w:tc>
      </w:tr>
      <w:tr w14:paraId="414C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DB047A5">
            <w:pPr>
              <w:pStyle w:val="4"/>
              <w:rPr>
                <w:lang w:val="en-US"/>
              </w:rPr>
            </w:pPr>
          </w:p>
        </w:tc>
        <w:tc>
          <w:tcPr>
            <w:tcW w:w="1324" w:type="dxa"/>
            <w:vMerge w:val="continue"/>
            <w:vAlign w:val="center"/>
          </w:tcPr>
          <w:p w14:paraId="3EB946CE">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4DE19B6">
            <w:pPr>
              <w:pStyle w:val="4"/>
              <w:jc w:val="left"/>
              <w:rPr>
                <w:b/>
                <w:color w:val="auto"/>
                <w:lang w:val="en-US"/>
              </w:rPr>
            </w:pPr>
            <w:r>
              <w:rPr>
                <w:rFonts w:hint="eastAsia"/>
                <w:b/>
                <w:color w:val="auto"/>
                <w:lang w:val="en-US"/>
              </w:rPr>
              <w:t>规则启用</w:t>
            </w:r>
            <w:r>
              <w:rPr>
                <w:b/>
                <w:color w:val="auto"/>
                <w:lang w:val="en-US"/>
              </w:rPr>
              <w:t>/</w:t>
            </w:r>
            <w:r>
              <w:rPr>
                <w:rFonts w:hint="eastAsia"/>
                <w:b/>
                <w:color w:val="auto"/>
                <w:lang w:val="en-US"/>
              </w:rPr>
              <w:t>停用</w:t>
            </w:r>
          </w:p>
        </w:tc>
        <w:tc>
          <w:tcPr>
            <w:tcW w:w="5182" w:type="dxa"/>
            <w:tcBorders>
              <w:top w:val="single" w:color="auto" w:sz="4" w:space="0"/>
              <w:left w:val="single" w:color="auto" w:sz="4" w:space="0"/>
              <w:bottom w:val="single" w:color="auto" w:sz="4" w:space="0"/>
              <w:right w:val="single" w:color="auto" w:sz="4" w:space="0"/>
            </w:tcBorders>
            <w:vAlign w:val="center"/>
          </w:tcPr>
          <w:p w14:paraId="378D42E5">
            <w:pPr>
              <w:pStyle w:val="4"/>
              <w:rPr>
                <w:color w:val="auto"/>
                <w:lang w:val="en-US"/>
              </w:rPr>
            </w:pPr>
            <w:r>
              <w:rPr>
                <w:rFonts w:hint="eastAsia"/>
                <w:color w:val="auto"/>
                <w:lang w:val="en-US"/>
              </w:rPr>
              <w:t>可根据医保政策调整、医院管理需求，灵活开启或关闭指定规则，设置生效时间段，支持批量启用</w:t>
            </w:r>
            <w:r>
              <w:rPr>
                <w:color w:val="auto"/>
                <w:lang w:val="en-US"/>
              </w:rPr>
              <w:t>/</w:t>
            </w:r>
            <w:r>
              <w:rPr>
                <w:rFonts w:hint="eastAsia"/>
                <w:color w:val="auto"/>
                <w:lang w:val="en-US"/>
              </w:rPr>
              <w:t>停用，规则状态实时生效，确保审核规则与最新医保政策保持一致。</w:t>
            </w:r>
          </w:p>
        </w:tc>
      </w:tr>
      <w:tr w14:paraId="0000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EBFF1E7">
            <w:pPr>
              <w:pStyle w:val="4"/>
              <w:rPr>
                <w:lang w:val="en-US"/>
              </w:rPr>
            </w:pPr>
          </w:p>
        </w:tc>
        <w:tc>
          <w:tcPr>
            <w:tcW w:w="1324" w:type="dxa"/>
            <w:vMerge w:val="continue"/>
            <w:vAlign w:val="center"/>
          </w:tcPr>
          <w:p w14:paraId="44AFF21A">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CE7985A">
            <w:pPr>
              <w:pStyle w:val="4"/>
              <w:jc w:val="left"/>
              <w:rPr>
                <w:b/>
                <w:color w:val="auto"/>
                <w:lang w:val="en-US"/>
              </w:rPr>
            </w:pPr>
            <w:r>
              <w:rPr>
                <w:rFonts w:hint="eastAsia"/>
                <w:b/>
                <w:color w:val="auto"/>
                <w:lang w:val="en-US"/>
              </w:rPr>
              <w:t>规则查询</w:t>
            </w:r>
            <w:r>
              <w:rPr>
                <w:b/>
                <w:color w:val="auto"/>
                <w:lang w:val="en-US"/>
              </w:rPr>
              <w:t>/</w:t>
            </w:r>
            <w:r>
              <w:rPr>
                <w:rFonts w:hint="eastAsia"/>
                <w:b/>
                <w:color w:val="auto"/>
                <w:lang w:val="en-US"/>
              </w:rPr>
              <w:t>筛选</w:t>
            </w:r>
          </w:p>
        </w:tc>
        <w:tc>
          <w:tcPr>
            <w:tcW w:w="5182" w:type="dxa"/>
            <w:tcBorders>
              <w:top w:val="single" w:color="auto" w:sz="4" w:space="0"/>
              <w:left w:val="single" w:color="auto" w:sz="4" w:space="0"/>
              <w:bottom w:val="single" w:color="auto" w:sz="4" w:space="0"/>
              <w:right w:val="single" w:color="auto" w:sz="4" w:space="0"/>
            </w:tcBorders>
            <w:vAlign w:val="center"/>
          </w:tcPr>
          <w:p w14:paraId="4BCC846B">
            <w:pPr>
              <w:pStyle w:val="4"/>
              <w:rPr>
                <w:color w:val="auto"/>
                <w:lang w:val="en-US"/>
              </w:rPr>
            </w:pPr>
            <w:r>
              <w:rPr>
                <w:rFonts w:hint="eastAsia"/>
                <w:color w:val="auto"/>
                <w:lang w:val="en-US"/>
              </w:rPr>
              <w:t>支持按规则类型、违规类型、生效状态、创建时间等多维度查询、筛选规则，支持关键词搜索，快速定位目标规则，便于规则管理与核查。</w:t>
            </w:r>
          </w:p>
        </w:tc>
      </w:tr>
      <w:tr w14:paraId="5A74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CC0C434">
            <w:pPr>
              <w:pStyle w:val="4"/>
              <w:rPr>
                <w:lang w:val="en-US"/>
              </w:rPr>
            </w:pPr>
          </w:p>
        </w:tc>
        <w:tc>
          <w:tcPr>
            <w:tcW w:w="1324" w:type="dxa"/>
            <w:vMerge w:val="continue"/>
            <w:vAlign w:val="center"/>
          </w:tcPr>
          <w:p w14:paraId="4A33C0E7">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3E7C4685">
            <w:pPr>
              <w:pStyle w:val="4"/>
              <w:jc w:val="left"/>
              <w:rPr>
                <w:b/>
                <w:color w:val="auto"/>
                <w:lang w:val="en-US"/>
              </w:rPr>
            </w:pPr>
            <w:r>
              <w:rPr>
                <w:rFonts w:hint="eastAsia"/>
                <w:b/>
                <w:color w:val="auto"/>
                <w:lang w:val="en-US"/>
              </w:rPr>
              <w:t>规则版本管理</w:t>
            </w:r>
          </w:p>
        </w:tc>
        <w:tc>
          <w:tcPr>
            <w:tcW w:w="5182" w:type="dxa"/>
            <w:tcBorders>
              <w:top w:val="single" w:color="auto" w:sz="4" w:space="0"/>
              <w:left w:val="single" w:color="auto" w:sz="4" w:space="0"/>
              <w:bottom w:val="single" w:color="auto" w:sz="4" w:space="0"/>
              <w:right w:val="single" w:color="auto" w:sz="4" w:space="0"/>
            </w:tcBorders>
            <w:vAlign w:val="center"/>
          </w:tcPr>
          <w:p w14:paraId="40AA25AC">
            <w:pPr>
              <w:pStyle w:val="4"/>
              <w:rPr>
                <w:color w:val="auto"/>
                <w:lang w:val="en-US"/>
              </w:rPr>
            </w:pPr>
            <w:r>
              <w:rPr>
                <w:rFonts w:hint="eastAsia"/>
                <w:color w:val="auto"/>
                <w:lang w:val="en-US"/>
              </w:rPr>
              <w:t>规则修改后自动留存版本记录，支持版本回溯，可查看历史版本差异、修改人、修改时间、修改内容，便于规则优化、审计核查，符合</w:t>
            </w:r>
            <w:r>
              <w:rPr>
                <w:color w:val="auto"/>
                <w:lang w:val="en-US"/>
              </w:rPr>
              <w:t xml:space="preserve"> </w:t>
            </w:r>
            <w:r>
              <w:rPr>
                <w:rFonts w:hint="eastAsia"/>
                <w:color w:val="auto"/>
                <w:lang w:val="en-US"/>
              </w:rPr>
              <w:t>“两库”</w:t>
            </w:r>
            <w:r>
              <w:rPr>
                <w:color w:val="auto"/>
                <w:lang w:val="en-US"/>
              </w:rPr>
              <w:t xml:space="preserve"> </w:t>
            </w:r>
            <w:r>
              <w:rPr>
                <w:rFonts w:hint="eastAsia"/>
                <w:color w:val="auto"/>
                <w:lang w:val="en-US"/>
              </w:rPr>
              <w:t>动态调整、全程留痕要求。</w:t>
            </w:r>
          </w:p>
        </w:tc>
      </w:tr>
      <w:tr w14:paraId="0565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0C99A56">
            <w:pPr>
              <w:pStyle w:val="4"/>
              <w:rPr>
                <w:lang w:val="en-US"/>
              </w:rPr>
            </w:pPr>
          </w:p>
        </w:tc>
        <w:tc>
          <w:tcPr>
            <w:tcW w:w="1324" w:type="dxa"/>
            <w:vMerge w:val="continue"/>
            <w:vAlign w:val="center"/>
          </w:tcPr>
          <w:p w14:paraId="41329DC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DDB882D">
            <w:pPr>
              <w:pStyle w:val="4"/>
              <w:jc w:val="left"/>
              <w:rPr>
                <w:b/>
                <w:color w:val="auto"/>
                <w:lang w:val="en-US"/>
              </w:rPr>
            </w:pPr>
            <w:r>
              <w:rPr>
                <w:rFonts w:hint="eastAsia"/>
                <w:b/>
                <w:color w:val="auto"/>
                <w:lang w:val="en-US"/>
              </w:rPr>
              <w:t>规则更新</w:t>
            </w:r>
          </w:p>
        </w:tc>
        <w:tc>
          <w:tcPr>
            <w:tcW w:w="5182" w:type="dxa"/>
            <w:tcBorders>
              <w:top w:val="single" w:color="auto" w:sz="4" w:space="0"/>
              <w:left w:val="single" w:color="auto" w:sz="4" w:space="0"/>
              <w:bottom w:val="single" w:color="auto" w:sz="4" w:space="0"/>
              <w:right w:val="single" w:color="auto" w:sz="4" w:space="0"/>
            </w:tcBorders>
            <w:vAlign w:val="center"/>
          </w:tcPr>
          <w:p w14:paraId="7A03F89E">
            <w:pPr>
              <w:pStyle w:val="4"/>
              <w:rPr>
                <w:color w:val="auto"/>
                <w:lang w:val="en-US"/>
              </w:rPr>
            </w:pPr>
            <w:r>
              <w:rPr>
                <w:rFonts w:hint="eastAsia"/>
                <w:color w:val="auto"/>
                <w:lang w:val="en-US"/>
              </w:rPr>
              <w:t>系统支持定期同步国家、地方医保政策调整信息，定期更新规则库（每月至少</w:t>
            </w:r>
            <w:r>
              <w:rPr>
                <w:color w:val="auto"/>
                <w:lang w:val="en-US"/>
              </w:rPr>
              <w:t>1</w:t>
            </w:r>
            <w:r>
              <w:rPr>
                <w:rFonts w:hint="eastAsia"/>
                <w:color w:val="auto"/>
                <w:lang w:val="en-US"/>
              </w:rPr>
              <w:t>次），重大政策调整</w:t>
            </w:r>
            <w:r>
              <w:rPr>
                <w:color w:val="auto"/>
                <w:lang w:val="en-US"/>
              </w:rPr>
              <w:t>24</w:t>
            </w:r>
            <w:r>
              <w:rPr>
                <w:rFonts w:hint="eastAsia"/>
                <w:color w:val="auto"/>
                <w:lang w:val="en-US"/>
              </w:rPr>
              <w:t>小时内完成规则更新，确保规则与最新医保政策一致，及时覆盖新增的超出医保范围的违规收费场景。</w:t>
            </w:r>
          </w:p>
        </w:tc>
      </w:tr>
      <w:tr w14:paraId="26C1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9245BAE">
            <w:pPr>
              <w:pStyle w:val="4"/>
              <w:rPr>
                <w:lang w:val="en-US"/>
              </w:rPr>
            </w:pPr>
          </w:p>
        </w:tc>
        <w:tc>
          <w:tcPr>
            <w:tcW w:w="1324" w:type="dxa"/>
            <w:vMerge w:val="continue"/>
            <w:vAlign w:val="center"/>
          </w:tcPr>
          <w:p w14:paraId="72DDF7ED">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87D3782">
            <w:pPr>
              <w:pStyle w:val="4"/>
              <w:jc w:val="left"/>
              <w:rPr>
                <w:b/>
                <w:color w:val="auto"/>
                <w:lang w:val="en-US"/>
              </w:rPr>
            </w:pPr>
            <w:r>
              <w:rPr>
                <w:rFonts w:hint="eastAsia"/>
                <w:b/>
                <w:color w:val="auto"/>
                <w:lang w:val="en-US"/>
              </w:rPr>
              <w:t>手动更新</w:t>
            </w:r>
          </w:p>
        </w:tc>
        <w:tc>
          <w:tcPr>
            <w:tcW w:w="5182" w:type="dxa"/>
            <w:tcBorders>
              <w:top w:val="single" w:color="auto" w:sz="4" w:space="0"/>
              <w:left w:val="single" w:color="auto" w:sz="4" w:space="0"/>
              <w:bottom w:val="single" w:color="auto" w:sz="4" w:space="0"/>
              <w:right w:val="single" w:color="auto" w:sz="4" w:space="0"/>
            </w:tcBorders>
            <w:vAlign w:val="center"/>
          </w:tcPr>
          <w:p w14:paraId="06C74C2C">
            <w:pPr>
              <w:pStyle w:val="4"/>
              <w:rPr>
                <w:color w:val="auto"/>
                <w:lang w:val="en-US"/>
              </w:rPr>
            </w:pPr>
            <w:r>
              <w:rPr>
                <w:rFonts w:hint="eastAsia"/>
                <w:color w:val="auto"/>
                <w:lang w:val="en-US"/>
              </w:rPr>
              <w:t>支持管理员手动导入规则（</w:t>
            </w:r>
            <w:r>
              <w:rPr>
                <w:color w:val="auto"/>
                <w:lang w:val="en-US"/>
              </w:rPr>
              <w:t>Excel</w:t>
            </w:r>
            <w:r>
              <w:rPr>
                <w:rFonts w:hint="eastAsia"/>
                <w:color w:val="auto"/>
                <w:lang w:val="en-US"/>
              </w:rPr>
              <w:t>格式），批量更新规则库，适配医院个性化管理需求及地方医保政策增补要求，可依据地方性法规、政府规章及医院实际情况，快速增补本地化违规收费审核规则。</w:t>
            </w:r>
          </w:p>
        </w:tc>
      </w:tr>
      <w:tr w14:paraId="6AF5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9D074E7">
            <w:pPr>
              <w:pStyle w:val="4"/>
              <w:rPr>
                <w:lang w:val="en-US"/>
              </w:rPr>
            </w:pPr>
          </w:p>
        </w:tc>
        <w:tc>
          <w:tcPr>
            <w:tcW w:w="1324" w:type="dxa"/>
            <w:vMerge w:val="continue"/>
            <w:vAlign w:val="center"/>
          </w:tcPr>
          <w:p w14:paraId="4D21C963">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437C464">
            <w:pPr>
              <w:pStyle w:val="4"/>
              <w:jc w:val="left"/>
              <w:rPr>
                <w:b/>
                <w:color w:val="auto"/>
                <w:lang w:val="en-US"/>
              </w:rPr>
            </w:pPr>
            <w:r>
              <w:rPr>
                <w:rFonts w:hint="eastAsia"/>
                <w:b/>
                <w:color w:val="auto"/>
                <w:lang w:val="en-US"/>
              </w:rPr>
              <w:t>规则测试</w:t>
            </w:r>
          </w:p>
        </w:tc>
        <w:tc>
          <w:tcPr>
            <w:tcW w:w="5182" w:type="dxa"/>
            <w:tcBorders>
              <w:top w:val="single" w:color="auto" w:sz="4" w:space="0"/>
              <w:left w:val="single" w:color="auto" w:sz="4" w:space="0"/>
              <w:bottom w:val="single" w:color="auto" w:sz="4" w:space="0"/>
              <w:right w:val="single" w:color="auto" w:sz="4" w:space="0"/>
            </w:tcBorders>
            <w:vAlign w:val="center"/>
          </w:tcPr>
          <w:p w14:paraId="0A75F99D">
            <w:pPr>
              <w:pStyle w:val="4"/>
              <w:rPr>
                <w:color w:val="auto"/>
                <w:lang w:val="en-US"/>
              </w:rPr>
            </w:pPr>
            <w:r>
              <w:rPr>
                <w:rFonts w:hint="eastAsia"/>
                <w:color w:val="auto"/>
                <w:lang w:val="en-US"/>
              </w:rPr>
              <w:t>支持规则新增</w:t>
            </w:r>
            <w:r>
              <w:rPr>
                <w:color w:val="auto"/>
                <w:lang w:val="en-US"/>
              </w:rPr>
              <w:t>/</w:t>
            </w:r>
            <w:r>
              <w:rPr>
                <w:rFonts w:hint="eastAsia"/>
                <w:color w:val="auto"/>
                <w:lang w:val="en-US"/>
              </w:rPr>
              <w:t>修改后进行模拟测试，模拟实际审核场景，查看审核结果，验证规则有效性，避免无效规则投入使用，确保规则逻辑严谨、审核精准，有效拦截超出医保范围的违规收费行为。</w:t>
            </w:r>
            <w:r>
              <w:rPr>
                <w:color w:val="auto"/>
                <w:lang w:val="en-US"/>
              </w:rPr>
              <w:t xml:space="preserve">   </w:t>
            </w:r>
          </w:p>
        </w:tc>
      </w:tr>
      <w:tr w14:paraId="5206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6C4FDDCC">
            <w:pPr>
              <w:pStyle w:val="4"/>
              <w:rPr>
                <w:lang w:val="en-US"/>
              </w:rPr>
            </w:pPr>
            <w:r>
              <w:rPr>
                <w:rFonts w:hint="eastAsia"/>
                <w:lang w:val="en-US"/>
              </w:rPr>
              <w:t>4</w:t>
            </w:r>
          </w:p>
        </w:tc>
        <w:tc>
          <w:tcPr>
            <w:tcW w:w="1324" w:type="dxa"/>
            <w:vMerge w:val="restart"/>
            <w:vAlign w:val="center"/>
          </w:tcPr>
          <w:p w14:paraId="4EFCC9A1">
            <w:pPr>
              <w:pStyle w:val="4"/>
              <w:rPr>
                <w:b/>
                <w:bCs/>
                <w:lang w:val="en-US"/>
              </w:rPr>
            </w:pPr>
            <w:r>
              <w:rPr>
                <w:b/>
                <w:bCs/>
                <w:lang w:val="en-US"/>
              </w:rPr>
              <w:t>AI</w:t>
            </w:r>
            <w:r>
              <w:rPr>
                <w:rFonts w:hint="eastAsia"/>
                <w:b/>
                <w:bCs/>
                <w:lang w:val="en-US"/>
              </w:rPr>
              <w:t>医保审核能力</w:t>
            </w:r>
          </w:p>
          <w:p w14:paraId="52CFFC54">
            <w:pPr>
              <w:pStyle w:val="4"/>
              <w:rPr>
                <w:b/>
                <w:bCs/>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010105D">
            <w:pPr>
              <w:pStyle w:val="4"/>
              <w:jc w:val="left"/>
              <w:rPr>
                <w:b/>
                <w:lang w:val="en-US"/>
              </w:rPr>
            </w:pPr>
            <w:r>
              <w:rPr>
                <w:rFonts w:hint="eastAsia"/>
                <w:b/>
                <w:lang w:val="en-US"/>
              </w:rPr>
              <w:t>药品超医保限定范围审核模型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53507E33">
            <w:pPr>
              <w:pStyle w:val="4"/>
              <w:rPr>
                <w:lang w:val="en-US"/>
              </w:rPr>
            </w:pPr>
            <w:r>
              <w:rPr>
                <w:rFonts w:hint="eastAsia"/>
                <w:lang w:val="en-US"/>
              </w:rPr>
              <w:t>结合药品目录备注中的限定条件，以结算清单和费用明细为基础，结合入院记录、病程、医嘱、检查、检验、手术记录等全病历信息构建超医保限定范围用药审核模型，精准判断药品使用是否符合医保支付限定条件中诊断、症状、检查检验指标、二线用药等要素。</w:t>
            </w:r>
          </w:p>
        </w:tc>
      </w:tr>
      <w:tr w14:paraId="23F9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73CE784">
            <w:pPr>
              <w:pStyle w:val="4"/>
              <w:rPr>
                <w:lang w:val="en-US"/>
              </w:rPr>
            </w:pPr>
          </w:p>
        </w:tc>
        <w:tc>
          <w:tcPr>
            <w:tcW w:w="1324" w:type="dxa"/>
            <w:vMerge w:val="continue"/>
            <w:vAlign w:val="center"/>
          </w:tcPr>
          <w:p w14:paraId="568A9183">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CFD3146">
            <w:pPr>
              <w:pStyle w:val="4"/>
              <w:jc w:val="left"/>
              <w:rPr>
                <w:b/>
                <w:lang w:val="en-US"/>
              </w:rPr>
            </w:pPr>
            <w:r>
              <w:rPr>
                <w:rFonts w:hint="eastAsia"/>
                <w:b/>
                <w:lang w:val="en-US"/>
              </w:rPr>
              <w:t>药品合理使用类审核模型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38580660">
            <w:pPr>
              <w:pStyle w:val="4"/>
              <w:rPr>
                <w:lang w:val="en-US"/>
              </w:rPr>
            </w:pPr>
            <w:r>
              <w:rPr>
                <w:rFonts w:hint="eastAsia"/>
                <w:lang w:val="en-US"/>
              </w:rPr>
              <w:t>以费用明细为基础，结合入院记录、病程、医嘱、检查、检验、手术记录等信息构建药品合理使用类审核模型，主要针对医保药品使用说明书适应症用药、禁忌症审核。</w:t>
            </w:r>
          </w:p>
        </w:tc>
      </w:tr>
      <w:tr w14:paraId="4868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E8BEDAD">
            <w:pPr>
              <w:pStyle w:val="4"/>
              <w:rPr>
                <w:lang w:val="en-US"/>
              </w:rPr>
            </w:pPr>
          </w:p>
        </w:tc>
        <w:tc>
          <w:tcPr>
            <w:tcW w:w="1324" w:type="dxa"/>
            <w:vMerge w:val="continue"/>
            <w:vAlign w:val="center"/>
          </w:tcPr>
          <w:p w14:paraId="4929D80B">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55201CC">
            <w:pPr>
              <w:pStyle w:val="4"/>
              <w:jc w:val="left"/>
              <w:rPr>
                <w:b/>
                <w:lang w:val="en-US"/>
              </w:rPr>
            </w:pPr>
            <w:r>
              <w:rPr>
                <w:rFonts w:hint="eastAsia"/>
                <w:b/>
                <w:lang w:val="en-US"/>
              </w:rPr>
              <w:t>超量开药审核模型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161BED37">
            <w:pPr>
              <w:pStyle w:val="4"/>
              <w:rPr>
                <w:lang w:val="en-US"/>
              </w:rPr>
            </w:pPr>
            <w:r>
              <w:rPr>
                <w:rFonts w:hint="eastAsia"/>
                <w:lang w:val="en-US"/>
              </w:rPr>
              <w:t>结合当地监管政策和违规行为关键特征，开展数据训练和模型调优，对于医生在单次门诊或急诊中，为患者开具超过合理用量的药品处方进行异常识别。一是通过对处方的药品、用法用量、规格以及药品总量进行分析，计算出药品可服用天数；二是通过计算上次开相同药品日期到当前日期的药品剩余药量，结合当次开药总量求和进行联合判断。</w:t>
            </w:r>
          </w:p>
        </w:tc>
      </w:tr>
      <w:tr w14:paraId="2549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E6DEDBF">
            <w:pPr>
              <w:pStyle w:val="4"/>
              <w:rPr>
                <w:lang w:val="en-US"/>
              </w:rPr>
            </w:pPr>
          </w:p>
        </w:tc>
        <w:tc>
          <w:tcPr>
            <w:tcW w:w="1324" w:type="dxa"/>
            <w:vMerge w:val="continue"/>
            <w:vAlign w:val="center"/>
          </w:tcPr>
          <w:p w14:paraId="3A46A27C">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2D450AE">
            <w:pPr>
              <w:pStyle w:val="4"/>
              <w:jc w:val="left"/>
              <w:rPr>
                <w:b/>
                <w:lang w:val="en-US"/>
              </w:rPr>
            </w:pPr>
            <w:r>
              <w:rPr>
                <w:rFonts w:hint="eastAsia"/>
                <w:b/>
                <w:lang w:val="en-US"/>
              </w:rPr>
              <w:t>医疗服务项目限定支付范围审核模型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6627F0AF">
            <w:pPr>
              <w:pStyle w:val="4"/>
              <w:rPr>
                <w:lang w:val="en-US"/>
              </w:rPr>
            </w:pPr>
            <w:r>
              <w:rPr>
                <w:rFonts w:hint="eastAsia"/>
                <w:lang w:val="en-US"/>
              </w:rPr>
              <w:t>结合医疗服务项目目录中备注中的医保限定支付范围条件，以结算清单和费用明细为基础，结合入院记录、病程、医嘱、检查、检验、手术记录等全病历信息构建医疗服务限定支付范围审核模型，深度判断医疗服务项目使用是否符合医保支付限定条件中疾病、症状、阴性</w:t>
            </w:r>
            <w:r>
              <w:rPr>
                <w:lang w:val="en-US"/>
              </w:rPr>
              <w:t>/</w:t>
            </w:r>
            <w:r>
              <w:rPr>
                <w:rFonts w:hint="eastAsia"/>
                <w:lang w:val="en-US"/>
              </w:rPr>
              <w:t>阳性等要素。</w:t>
            </w:r>
          </w:p>
        </w:tc>
      </w:tr>
      <w:tr w14:paraId="22B6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B5D9520">
            <w:pPr>
              <w:pStyle w:val="4"/>
              <w:rPr>
                <w:lang w:val="en-US"/>
              </w:rPr>
            </w:pPr>
          </w:p>
        </w:tc>
        <w:tc>
          <w:tcPr>
            <w:tcW w:w="1324" w:type="dxa"/>
            <w:vMerge w:val="continue"/>
            <w:vAlign w:val="center"/>
          </w:tcPr>
          <w:p w14:paraId="202EA366">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383F516D">
            <w:pPr>
              <w:pStyle w:val="4"/>
              <w:jc w:val="left"/>
              <w:rPr>
                <w:b/>
                <w:lang w:val="en-US"/>
              </w:rPr>
            </w:pPr>
            <w:r>
              <w:rPr>
                <w:rFonts w:hint="eastAsia"/>
                <w:b/>
                <w:lang w:val="en-US"/>
              </w:rPr>
              <w:t>医疗服务项目合理使用类审核模型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7023A679">
            <w:pPr>
              <w:pStyle w:val="4"/>
              <w:rPr>
                <w:lang w:val="en-US"/>
              </w:rPr>
            </w:pPr>
            <w:r>
              <w:rPr>
                <w:rFonts w:hint="eastAsia"/>
                <w:lang w:val="en-US"/>
              </w:rPr>
              <w:t>以病案首页</w:t>
            </w:r>
            <w:r>
              <w:rPr>
                <w:lang w:val="en-US"/>
              </w:rPr>
              <w:t>/</w:t>
            </w:r>
            <w:r>
              <w:rPr>
                <w:rFonts w:hint="eastAsia"/>
                <w:lang w:val="en-US"/>
              </w:rPr>
              <w:t>结算清单费用明细为基础，结合入院记录、病程、医嘱、检查、检验、手术记录等全病历信息构建医疗服务项目合理使用类审核模型，涵盖常见无指征检查、检验的违规情形。</w:t>
            </w:r>
          </w:p>
        </w:tc>
      </w:tr>
      <w:tr w14:paraId="0174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CB47E29">
            <w:pPr>
              <w:pStyle w:val="4"/>
              <w:rPr>
                <w:lang w:val="en-US"/>
              </w:rPr>
            </w:pPr>
          </w:p>
        </w:tc>
        <w:tc>
          <w:tcPr>
            <w:tcW w:w="1324" w:type="dxa"/>
            <w:vMerge w:val="continue"/>
            <w:vAlign w:val="center"/>
          </w:tcPr>
          <w:p w14:paraId="4358C4F5">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3F88D195">
            <w:pPr>
              <w:pStyle w:val="4"/>
              <w:jc w:val="left"/>
              <w:rPr>
                <w:b/>
                <w:lang w:val="en-US"/>
              </w:rPr>
            </w:pPr>
            <w:r>
              <w:rPr>
                <w:rFonts w:hint="eastAsia"/>
                <w:b/>
                <w:lang w:val="en-US"/>
              </w:rPr>
              <w:t>诊疗行为合理性审核模型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7EDD0E27">
            <w:pPr>
              <w:pStyle w:val="4"/>
              <w:rPr>
                <w:lang w:val="en-US"/>
              </w:rPr>
            </w:pPr>
            <w:r>
              <w:rPr>
                <w:rFonts w:hint="eastAsia"/>
                <w:lang w:val="en-US"/>
              </w:rPr>
              <w:t>结合历史诊疗行为对参保人在非特殊情况下，在同一家医疗机构相邻的两次住院间隔异常情形结合上次的出院诊断和治疗结局和本次入院诊断进行判断是否存在分解住院；对参保人本次入院的不满足住院标准但发生住院行为判断是否存在低标准入院。</w:t>
            </w:r>
          </w:p>
        </w:tc>
      </w:tr>
      <w:tr w14:paraId="7E4C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C57165C">
            <w:pPr>
              <w:pStyle w:val="4"/>
              <w:rPr>
                <w:lang w:val="en-US"/>
              </w:rPr>
            </w:pPr>
          </w:p>
        </w:tc>
        <w:tc>
          <w:tcPr>
            <w:tcW w:w="1324" w:type="dxa"/>
            <w:vMerge w:val="continue"/>
            <w:vAlign w:val="center"/>
          </w:tcPr>
          <w:p w14:paraId="3401CFA5">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487B47F">
            <w:pPr>
              <w:pStyle w:val="4"/>
              <w:jc w:val="left"/>
              <w:rPr>
                <w:b/>
                <w:lang w:val="en-US"/>
              </w:rPr>
            </w:pPr>
            <w:r>
              <w:rPr>
                <w:b/>
                <w:lang w:val="en-US"/>
              </w:rPr>
              <w:t>DRG</w:t>
            </w:r>
            <w:r>
              <w:rPr>
                <w:rFonts w:hint="eastAsia"/>
                <w:b/>
                <w:lang w:val="en-US"/>
              </w:rPr>
              <w:t>违规审核模型</w:t>
            </w:r>
          </w:p>
        </w:tc>
        <w:tc>
          <w:tcPr>
            <w:tcW w:w="5182" w:type="dxa"/>
            <w:tcBorders>
              <w:top w:val="single" w:color="auto" w:sz="4" w:space="0"/>
              <w:left w:val="single" w:color="auto" w:sz="4" w:space="0"/>
              <w:bottom w:val="single" w:color="auto" w:sz="4" w:space="0"/>
              <w:right w:val="single" w:color="auto" w:sz="4" w:space="0"/>
            </w:tcBorders>
            <w:vAlign w:val="center"/>
          </w:tcPr>
          <w:p w14:paraId="252457E3">
            <w:pPr>
              <w:pStyle w:val="4"/>
              <w:rPr>
                <w:lang w:val="en-US"/>
              </w:rPr>
            </w:pPr>
            <w:r>
              <w:rPr>
                <w:rFonts w:hint="eastAsia"/>
                <w:lang w:val="en-US"/>
              </w:rPr>
              <w:t>基于临床诊疗规范和临床诊疗指南，并结合海量历史数据和临床经验，构建</w:t>
            </w:r>
            <w:r>
              <w:rPr>
                <w:lang w:val="en-US"/>
              </w:rPr>
              <w:t>DRG</w:t>
            </w:r>
            <w:r>
              <w:rPr>
                <w:rFonts w:hint="eastAsia"/>
                <w:lang w:val="en-US"/>
              </w:rPr>
              <w:t>病组审核模型。针对入院记录、病程记录、手术记录、出院记录、检查检验报告、医嘱和收费明细等多源异构临床数据，通过自然语言处理构建该病历的知识图谱，结合推理模型，判定是否存在低码高编、高码低编、低标准入院或分解入院等疑似违规行为。</w:t>
            </w:r>
          </w:p>
        </w:tc>
      </w:tr>
      <w:tr w14:paraId="3224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523BEC08">
            <w:pPr>
              <w:pStyle w:val="4"/>
              <w:rPr>
                <w:lang w:val="en-US"/>
              </w:rPr>
            </w:pPr>
            <w:r>
              <w:rPr>
                <w:rFonts w:hint="eastAsia"/>
                <w:b/>
                <w:bCs/>
                <w:lang w:val="en-US"/>
              </w:rPr>
              <w:t>5</w:t>
            </w:r>
          </w:p>
        </w:tc>
        <w:tc>
          <w:tcPr>
            <w:tcW w:w="1324" w:type="dxa"/>
            <w:vMerge w:val="restart"/>
            <w:vAlign w:val="center"/>
          </w:tcPr>
          <w:p w14:paraId="5FDAC9F1">
            <w:pPr>
              <w:pStyle w:val="4"/>
              <w:rPr>
                <w:b/>
                <w:bCs/>
                <w:lang w:val="en-US"/>
              </w:rPr>
            </w:pPr>
            <w:r>
              <w:rPr>
                <w:rFonts w:hint="eastAsia"/>
                <w:b/>
                <w:bCs/>
                <w:lang w:val="en-US"/>
              </w:rPr>
              <w:t>事前、事中审核覆盖场景</w:t>
            </w:r>
          </w:p>
        </w:tc>
        <w:tc>
          <w:tcPr>
            <w:tcW w:w="1134" w:type="dxa"/>
            <w:tcBorders>
              <w:top w:val="single" w:color="auto" w:sz="4" w:space="0"/>
              <w:left w:val="single" w:color="auto" w:sz="4" w:space="0"/>
              <w:bottom w:val="single" w:color="auto" w:sz="4" w:space="0"/>
              <w:right w:val="single" w:color="auto" w:sz="4" w:space="0"/>
            </w:tcBorders>
            <w:vAlign w:val="center"/>
          </w:tcPr>
          <w:p w14:paraId="678216FD">
            <w:pPr>
              <w:widowControl/>
              <w:jc w:val="left"/>
              <w:rPr>
                <w:b/>
                <w:bCs/>
                <w:sz w:val="20"/>
                <w:szCs w:val="20"/>
              </w:rPr>
            </w:pPr>
            <w:r>
              <w:rPr>
                <w:rFonts w:hint="eastAsia" w:ascii="宋体" w:hAnsi="宋体" w:eastAsia="宋体" w:cs="宋体"/>
                <w:b/>
                <w:bCs/>
                <w:kern w:val="0"/>
                <w:sz w:val="20"/>
                <w:szCs w:val="20"/>
                <w:lang w:bidi="ar"/>
              </w:rPr>
              <w:t>门诊处方实时审核</w:t>
            </w:r>
          </w:p>
        </w:tc>
        <w:tc>
          <w:tcPr>
            <w:tcW w:w="5182" w:type="dxa"/>
            <w:tcBorders>
              <w:top w:val="single" w:color="auto" w:sz="4" w:space="0"/>
              <w:left w:val="single" w:color="auto" w:sz="4" w:space="0"/>
              <w:bottom w:val="single" w:color="auto" w:sz="4" w:space="0"/>
              <w:right w:val="single" w:color="auto" w:sz="4" w:space="0"/>
            </w:tcBorders>
            <w:vAlign w:val="center"/>
          </w:tcPr>
          <w:p w14:paraId="04B8CC18">
            <w:pPr>
              <w:widowControl/>
              <w:jc w:val="left"/>
              <w:rPr>
                <w:sz w:val="20"/>
                <w:szCs w:val="20"/>
              </w:rPr>
            </w:pPr>
            <w:r>
              <w:rPr>
                <w:rFonts w:hint="eastAsia" w:ascii="宋体" w:hAnsi="宋体" w:eastAsia="宋体" w:cs="宋体"/>
                <w:kern w:val="0"/>
                <w:sz w:val="20"/>
                <w:szCs w:val="20"/>
                <w:lang w:bidi="ar"/>
              </w:rPr>
              <w:t>在医师开具门诊处方时自动对处方进行实时审核，如：限儿童、限性别、限价格、中药饮片或配方颗粒不予支付、</w:t>
            </w:r>
            <w:r>
              <w:rPr>
                <w:rFonts w:ascii="宋体" w:hAnsi="宋体" w:eastAsia="宋体" w:cs="宋体"/>
                <w:kern w:val="0"/>
                <w:sz w:val="20"/>
                <w:szCs w:val="20"/>
                <w:lang w:bidi="ar"/>
              </w:rPr>
              <w:t xml:space="preserve"> </w:t>
            </w:r>
          </w:p>
          <w:p w14:paraId="407A6293">
            <w:pPr>
              <w:widowControl/>
              <w:jc w:val="left"/>
              <w:rPr>
                <w:sz w:val="20"/>
                <w:szCs w:val="20"/>
              </w:rPr>
            </w:pPr>
            <w:r>
              <w:rPr>
                <w:rFonts w:hint="eastAsia" w:ascii="宋体" w:hAnsi="宋体" w:eastAsia="宋体" w:cs="宋体"/>
                <w:kern w:val="0"/>
                <w:sz w:val="20"/>
                <w:szCs w:val="20"/>
                <w:lang w:bidi="ar"/>
              </w:rPr>
              <w:t>中药饮片单味拒付、限就诊方式、超限用药等，筛查出可疑违规项目后及时通过客户端提醒医师进行处理，提供申诉意见填写等处理方式。</w:t>
            </w:r>
          </w:p>
        </w:tc>
      </w:tr>
      <w:tr w14:paraId="078A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D8A4055">
            <w:pPr>
              <w:pStyle w:val="4"/>
              <w:rPr>
                <w:lang w:val="en-US"/>
              </w:rPr>
            </w:pPr>
          </w:p>
        </w:tc>
        <w:tc>
          <w:tcPr>
            <w:tcW w:w="1324" w:type="dxa"/>
            <w:vMerge w:val="continue"/>
            <w:vAlign w:val="center"/>
          </w:tcPr>
          <w:p w14:paraId="7BD2D55E">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25064D7">
            <w:pPr>
              <w:widowControl/>
              <w:jc w:val="left"/>
              <w:rPr>
                <w:b/>
                <w:bCs/>
                <w:color w:val="auto"/>
                <w:sz w:val="20"/>
                <w:szCs w:val="20"/>
              </w:rPr>
            </w:pPr>
            <w:r>
              <w:rPr>
                <w:rFonts w:hint="eastAsia" w:ascii="宋体" w:hAnsi="宋体" w:eastAsia="宋体" w:cs="宋体"/>
                <w:b/>
                <w:bCs/>
                <w:color w:val="auto"/>
                <w:kern w:val="0"/>
                <w:sz w:val="20"/>
                <w:szCs w:val="20"/>
                <w:lang w:bidi="ar"/>
              </w:rPr>
              <w:t>门诊慢特病处方实时审核</w:t>
            </w:r>
          </w:p>
        </w:tc>
        <w:tc>
          <w:tcPr>
            <w:tcW w:w="5182" w:type="dxa"/>
            <w:tcBorders>
              <w:top w:val="single" w:color="auto" w:sz="4" w:space="0"/>
              <w:left w:val="single" w:color="auto" w:sz="4" w:space="0"/>
              <w:bottom w:val="single" w:color="auto" w:sz="4" w:space="0"/>
              <w:right w:val="single" w:color="auto" w:sz="4" w:space="0"/>
            </w:tcBorders>
            <w:vAlign w:val="center"/>
          </w:tcPr>
          <w:p w14:paraId="41398950">
            <w:pPr>
              <w:widowControl/>
              <w:jc w:val="left"/>
              <w:rPr>
                <w:color w:val="auto"/>
                <w:sz w:val="20"/>
                <w:szCs w:val="20"/>
              </w:rPr>
            </w:pPr>
            <w:r>
              <w:rPr>
                <w:rFonts w:hint="eastAsia" w:ascii="宋体" w:hAnsi="宋体" w:eastAsia="宋体" w:cs="宋体"/>
                <w:color w:val="auto"/>
                <w:kern w:val="0"/>
                <w:sz w:val="20"/>
                <w:szCs w:val="20"/>
                <w:lang w:bidi="ar"/>
              </w:rPr>
              <w:t>在医师开具门诊慢特病处方时自动对慢特病处方进行实时审核，根据患者慢特病病种、用药范围和数量、检验检</w:t>
            </w:r>
            <w:r>
              <w:rPr>
                <w:rFonts w:ascii="宋体" w:hAnsi="宋体" w:eastAsia="宋体" w:cs="宋体"/>
                <w:color w:val="auto"/>
                <w:kern w:val="0"/>
                <w:sz w:val="20"/>
                <w:szCs w:val="20"/>
                <w:lang w:bidi="ar"/>
              </w:rPr>
              <w:t xml:space="preserve"> </w:t>
            </w:r>
          </w:p>
          <w:p w14:paraId="5755898B">
            <w:pPr>
              <w:widowControl/>
              <w:jc w:val="left"/>
              <w:rPr>
                <w:color w:val="auto"/>
                <w:sz w:val="20"/>
                <w:szCs w:val="20"/>
              </w:rPr>
            </w:pPr>
            <w:r>
              <w:rPr>
                <w:rFonts w:hint="eastAsia" w:ascii="宋体" w:hAnsi="宋体" w:eastAsia="宋体" w:cs="宋体"/>
                <w:color w:val="auto"/>
                <w:kern w:val="0"/>
                <w:sz w:val="20"/>
                <w:szCs w:val="20"/>
                <w:lang w:bidi="ar"/>
              </w:rPr>
              <w:t>查范围等规则，筛查出可疑违规明细后及时通过客户端提醒医师进行处理，提供申诉意见填写等处理方式。</w:t>
            </w:r>
          </w:p>
        </w:tc>
      </w:tr>
      <w:tr w14:paraId="0A02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71B2908">
            <w:pPr>
              <w:pStyle w:val="4"/>
              <w:rPr>
                <w:lang w:val="en-US"/>
              </w:rPr>
            </w:pPr>
          </w:p>
        </w:tc>
        <w:tc>
          <w:tcPr>
            <w:tcW w:w="1324" w:type="dxa"/>
            <w:vMerge w:val="continue"/>
            <w:vAlign w:val="center"/>
          </w:tcPr>
          <w:p w14:paraId="1801FD70">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F6469E3">
            <w:pPr>
              <w:widowControl/>
              <w:jc w:val="left"/>
              <w:rPr>
                <w:b/>
                <w:bCs/>
                <w:color w:val="auto"/>
                <w:sz w:val="20"/>
                <w:szCs w:val="20"/>
              </w:rPr>
            </w:pPr>
            <w:r>
              <w:rPr>
                <w:rFonts w:hint="eastAsia" w:ascii="宋体" w:hAnsi="宋体" w:eastAsia="宋体" w:cs="宋体"/>
                <w:b/>
                <w:bCs/>
                <w:color w:val="auto"/>
                <w:kern w:val="0"/>
                <w:sz w:val="20"/>
                <w:szCs w:val="20"/>
                <w:lang w:bidi="ar"/>
              </w:rPr>
              <w:t>入院登记实时审核</w:t>
            </w:r>
          </w:p>
        </w:tc>
        <w:tc>
          <w:tcPr>
            <w:tcW w:w="5182" w:type="dxa"/>
            <w:tcBorders>
              <w:top w:val="single" w:color="auto" w:sz="4" w:space="0"/>
              <w:left w:val="single" w:color="auto" w:sz="4" w:space="0"/>
              <w:bottom w:val="single" w:color="auto" w:sz="4" w:space="0"/>
              <w:right w:val="single" w:color="auto" w:sz="4" w:space="0"/>
            </w:tcBorders>
            <w:vAlign w:val="center"/>
          </w:tcPr>
          <w:p w14:paraId="6A3EE5C8">
            <w:pPr>
              <w:widowControl/>
              <w:jc w:val="left"/>
              <w:rPr>
                <w:color w:val="auto"/>
                <w:sz w:val="20"/>
                <w:szCs w:val="20"/>
              </w:rPr>
            </w:pPr>
            <w:r>
              <w:rPr>
                <w:rFonts w:hint="eastAsia" w:ascii="宋体" w:hAnsi="宋体" w:eastAsia="宋体" w:cs="宋体"/>
                <w:color w:val="auto"/>
                <w:kern w:val="0"/>
                <w:sz w:val="20"/>
                <w:szCs w:val="20"/>
                <w:lang w:bidi="ar"/>
              </w:rPr>
              <w:t>在为患者办理入院过程中，根据患者的入院情况、结合前次出院信息进行分解入院、低标入院审核，及时提醒入院办理工作人员相关风险。</w:t>
            </w:r>
          </w:p>
        </w:tc>
      </w:tr>
      <w:tr w14:paraId="3042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B91C233">
            <w:pPr>
              <w:pStyle w:val="4"/>
              <w:rPr>
                <w:lang w:val="en-US"/>
              </w:rPr>
            </w:pPr>
          </w:p>
        </w:tc>
        <w:tc>
          <w:tcPr>
            <w:tcW w:w="1324" w:type="dxa"/>
            <w:vMerge w:val="continue"/>
            <w:vAlign w:val="center"/>
          </w:tcPr>
          <w:p w14:paraId="71D3CC3B">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54EEBFE">
            <w:pPr>
              <w:widowControl/>
              <w:jc w:val="left"/>
              <w:rPr>
                <w:b/>
                <w:bCs/>
                <w:color w:val="auto"/>
                <w:sz w:val="20"/>
                <w:szCs w:val="20"/>
              </w:rPr>
            </w:pPr>
            <w:r>
              <w:rPr>
                <w:rFonts w:hint="eastAsia" w:ascii="宋体" w:hAnsi="宋体" w:eastAsia="宋体" w:cs="宋体"/>
                <w:b/>
                <w:bCs/>
                <w:color w:val="auto"/>
                <w:kern w:val="0"/>
                <w:sz w:val="20"/>
                <w:szCs w:val="20"/>
                <w:lang w:bidi="ar"/>
              </w:rPr>
              <w:t>住院医嘱实时审核</w:t>
            </w:r>
          </w:p>
        </w:tc>
        <w:tc>
          <w:tcPr>
            <w:tcW w:w="5182" w:type="dxa"/>
            <w:tcBorders>
              <w:top w:val="single" w:color="auto" w:sz="4" w:space="0"/>
              <w:left w:val="single" w:color="auto" w:sz="4" w:space="0"/>
              <w:bottom w:val="single" w:color="auto" w:sz="4" w:space="0"/>
              <w:right w:val="single" w:color="auto" w:sz="4" w:space="0"/>
            </w:tcBorders>
            <w:vAlign w:val="center"/>
          </w:tcPr>
          <w:p w14:paraId="1FC05328">
            <w:pPr>
              <w:widowControl/>
              <w:jc w:val="left"/>
              <w:rPr>
                <w:color w:val="auto"/>
                <w:sz w:val="20"/>
                <w:szCs w:val="20"/>
              </w:rPr>
            </w:pPr>
            <w:r>
              <w:rPr>
                <w:rFonts w:hint="eastAsia" w:ascii="宋体" w:hAnsi="宋体" w:eastAsia="宋体" w:cs="宋体"/>
                <w:color w:val="auto"/>
                <w:kern w:val="0"/>
                <w:sz w:val="20"/>
                <w:szCs w:val="20"/>
                <w:lang w:bidi="ar"/>
              </w:rPr>
              <w:t>在医生诊疗过程中，结合医嘱信息、医保管理规定，调用常规医保合规性审核能力，将审核前置到医生端，实时提示违规。提供独立客户端展示疑似违规类型、说明、依据、涉及金额。提供申诉意见填写等处理方式。</w:t>
            </w:r>
          </w:p>
        </w:tc>
      </w:tr>
      <w:tr w14:paraId="05EF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046CAFF">
            <w:pPr>
              <w:pStyle w:val="4"/>
              <w:rPr>
                <w:lang w:val="en-US"/>
              </w:rPr>
            </w:pPr>
          </w:p>
        </w:tc>
        <w:tc>
          <w:tcPr>
            <w:tcW w:w="1324" w:type="dxa"/>
            <w:vMerge w:val="continue"/>
            <w:vAlign w:val="center"/>
          </w:tcPr>
          <w:p w14:paraId="06E64C57">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C0B65D2">
            <w:pPr>
              <w:widowControl/>
              <w:jc w:val="left"/>
              <w:rPr>
                <w:b/>
                <w:bCs/>
                <w:color w:val="auto"/>
                <w:sz w:val="20"/>
                <w:szCs w:val="20"/>
              </w:rPr>
            </w:pPr>
            <w:r>
              <w:rPr>
                <w:rFonts w:hint="eastAsia" w:ascii="宋体" w:hAnsi="宋体" w:eastAsia="宋体" w:cs="宋体"/>
                <w:b/>
                <w:bCs/>
                <w:color w:val="auto"/>
                <w:kern w:val="0"/>
                <w:sz w:val="20"/>
                <w:szCs w:val="20"/>
                <w:lang w:bidi="ar"/>
              </w:rPr>
              <w:t>住院计费实时审核</w:t>
            </w:r>
          </w:p>
        </w:tc>
        <w:tc>
          <w:tcPr>
            <w:tcW w:w="5182" w:type="dxa"/>
            <w:tcBorders>
              <w:top w:val="single" w:color="auto" w:sz="4" w:space="0"/>
              <w:left w:val="single" w:color="auto" w:sz="4" w:space="0"/>
              <w:bottom w:val="single" w:color="auto" w:sz="4" w:space="0"/>
              <w:right w:val="single" w:color="auto" w:sz="4" w:space="0"/>
            </w:tcBorders>
            <w:vAlign w:val="center"/>
          </w:tcPr>
          <w:p w14:paraId="6C4DF650">
            <w:pPr>
              <w:widowControl/>
              <w:jc w:val="left"/>
              <w:rPr>
                <w:color w:val="auto"/>
                <w:sz w:val="20"/>
                <w:szCs w:val="20"/>
              </w:rPr>
            </w:pPr>
            <w:r>
              <w:rPr>
                <w:rFonts w:ascii="宋体" w:hAnsi="宋体" w:eastAsia="宋体" w:cs="宋体"/>
                <w:color w:val="auto"/>
                <w:kern w:val="0"/>
                <w:sz w:val="20"/>
                <w:szCs w:val="20"/>
                <w:lang w:bidi="ar"/>
              </w:rPr>
              <w:t xml:space="preserve">HIS </w:t>
            </w:r>
            <w:r>
              <w:rPr>
                <w:rFonts w:hint="eastAsia" w:ascii="宋体" w:hAnsi="宋体" w:eastAsia="宋体" w:cs="宋体"/>
                <w:color w:val="auto"/>
                <w:kern w:val="0"/>
                <w:sz w:val="20"/>
                <w:szCs w:val="20"/>
                <w:lang w:bidi="ar"/>
              </w:rPr>
              <w:t>可在医护人员计费场景下，通过实时调用医保审核能力接口，自动对计费项目进行实时审核，如重复收费、超标准收费等，筛查出可疑违规项目后及时提醒医护人员进行处理，解决物价收费问题。</w:t>
            </w:r>
          </w:p>
        </w:tc>
      </w:tr>
      <w:tr w14:paraId="5DE5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8FAA38E">
            <w:pPr>
              <w:pStyle w:val="4"/>
              <w:rPr>
                <w:lang w:val="en-US"/>
              </w:rPr>
            </w:pPr>
          </w:p>
        </w:tc>
        <w:tc>
          <w:tcPr>
            <w:tcW w:w="1324" w:type="dxa"/>
            <w:vMerge w:val="continue"/>
            <w:vAlign w:val="center"/>
          </w:tcPr>
          <w:p w14:paraId="52616071">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CBDB16E">
            <w:pPr>
              <w:widowControl/>
              <w:jc w:val="left"/>
              <w:rPr>
                <w:b/>
                <w:bCs/>
                <w:color w:val="auto"/>
                <w:sz w:val="20"/>
                <w:szCs w:val="20"/>
              </w:rPr>
            </w:pPr>
            <w:r>
              <w:rPr>
                <w:rFonts w:hint="eastAsia" w:ascii="宋体" w:hAnsi="宋体" w:eastAsia="宋体" w:cs="宋体"/>
                <w:b/>
                <w:bCs/>
                <w:color w:val="auto"/>
                <w:kern w:val="0"/>
                <w:sz w:val="20"/>
                <w:szCs w:val="20"/>
                <w:lang w:bidi="ar"/>
              </w:rPr>
              <w:t>每日审核</w:t>
            </w:r>
          </w:p>
        </w:tc>
        <w:tc>
          <w:tcPr>
            <w:tcW w:w="5182" w:type="dxa"/>
            <w:tcBorders>
              <w:top w:val="single" w:color="auto" w:sz="4" w:space="0"/>
              <w:left w:val="single" w:color="auto" w:sz="4" w:space="0"/>
              <w:bottom w:val="single" w:color="auto" w:sz="4" w:space="0"/>
              <w:right w:val="single" w:color="auto" w:sz="4" w:space="0"/>
            </w:tcBorders>
            <w:vAlign w:val="center"/>
          </w:tcPr>
          <w:p w14:paraId="144CB5C3">
            <w:pPr>
              <w:widowControl/>
              <w:jc w:val="left"/>
              <w:rPr>
                <w:color w:val="auto"/>
                <w:sz w:val="20"/>
                <w:szCs w:val="20"/>
              </w:rPr>
            </w:pPr>
            <w:r>
              <w:rPr>
                <w:rFonts w:hint="eastAsia" w:ascii="宋体" w:hAnsi="宋体" w:eastAsia="宋体" w:cs="宋体"/>
                <w:color w:val="auto"/>
                <w:kern w:val="0"/>
                <w:sz w:val="20"/>
                <w:szCs w:val="20"/>
                <w:lang w:bidi="ar"/>
              </w:rPr>
              <w:t>每天定时从</w:t>
            </w:r>
            <w:r>
              <w:rPr>
                <w:rFonts w:ascii="宋体" w:hAnsi="宋体" w:eastAsia="宋体" w:cs="宋体"/>
                <w:color w:val="auto"/>
                <w:kern w:val="0"/>
                <w:sz w:val="20"/>
                <w:szCs w:val="20"/>
                <w:lang w:bidi="ar"/>
              </w:rPr>
              <w:t xml:space="preserve"> HIS </w:t>
            </w:r>
            <w:r>
              <w:rPr>
                <w:rFonts w:hint="eastAsia" w:ascii="宋体" w:hAnsi="宋体" w:eastAsia="宋体" w:cs="宋体"/>
                <w:color w:val="auto"/>
                <w:kern w:val="0"/>
                <w:sz w:val="20"/>
                <w:szCs w:val="20"/>
                <w:lang w:bidi="ar"/>
              </w:rPr>
              <w:t>中获取在院患者费用信息和全病历信息，调用基于全病历内涵的</w:t>
            </w:r>
            <w:r>
              <w:rPr>
                <w:rFonts w:ascii="宋体" w:hAnsi="宋体" w:eastAsia="宋体" w:cs="宋体"/>
                <w:color w:val="auto"/>
                <w:kern w:val="0"/>
                <w:sz w:val="20"/>
                <w:szCs w:val="20"/>
                <w:lang w:bidi="ar"/>
              </w:rPr>
              <w:t xml:space="preserve"> AI </w:t>
            </w:r>
            <w:r>
              <w:rPr>
                <w:rFonts w:hint="eastAsia" w:ascii="宋体" w:hAnsi="宋体" w:eastAsia="宋体" w:cs="宋体"/>
                <w:color w:val="auto"/>
                <w:kern w:val="0"/>
                <w:sz w:val="20"/>
                <w:szCs w:val="20"/>
                <w:lang w:bidi="ar"/>
              </w:rPr>
              <w:t>医保审核能力进行全方位审核，筛选出当前在院全部就诊数据的违规疑点，质检规则包括：医保超限用药、无指征检查检验、无医嘱收费，在管理端展示问题病例列表，分数据权限给科主任、医保审核人员等。支持按病例展示疑似违规列表，包括患者电子病历信息、疑似规则类型、说明、涉及金额、依据和解释。</w:t>
            </w:r>
          </w:p>
        </w:tc>
      </w:tr>
      <w:tr w14:paraId="7F98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DBB5F2B">
            <w:pPr>
              <w:pStyle w:val="4"/>
              <w:rPr>
                <w:lang w:val="en-US"/>
              </w:rPr>
            </w:pPr>
          </w:p>
        </w:tc>
        <w:tc>
          <w:tcPr>
            <w:tcW w:w="1324" w:type="dxa"/>
            <w:vMerge w:val="continue"/>
            <w:vAlign w:val="center"/>
          </w:tcPr>
          <w:p w14:paraId="283ED4E8">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D7A8B6C">
            <w:pPr>
              <w:widowControl/>
              <w:jc w:val="left"/>
              <w:rPr>
                <w:b/>
                <w:bCs/>
                <w:color w:val="auto"/>
                <w:sz w:val="20"/>
                <w:szCs w:val="20"/>
              </w:rPr>
            </w:pPr>
            <w:r>
              <w:rPr>
                <w:rFonts w:hint="eastAsia" w:ascii="宋体" w:hAnsi="宋体" w:eastAsia="宋体" w:cs="宋体"/>
                <w:b/>
                <w:bCs/>
                <w:color w:val="auto"/>
                <w:kern w:val="0"/>
                <w:sz w:val="20"/>
                <w:szCs w:val="20"/>
                <w:lang w:bidi="ar"/>
              </w:rPr>
              <w:t>预结算审核</w:t>
            </w:r>
          </w:p>
        </w:tc>
        <w:tc>
          <w:tcPr>
            <w:tcW w:w="5182" w:type="dxa"/>
            <w:tcBorders>
              <w:top w:val="single" w:color="auto" w:sz="4" w:space="0"/>
              <w:left w:val="single" w:color="auto" w:sz="4" w:space="0"/>
              <w:bottom w:val="single" w:color="auto" w:sz="4" w:space="0"/>
              <w:right w:val="single" w:color="auto" w:sz="4" w:space="0"/>
            </w:tcBorders>
            <w:vAlign w:val="center"/>
          </w:tcPr>
          <w:p w14:paraId="3143581F">
            <w:pPr>
              <w:widowControl/>
              <w:jc w:val="left"/>
              <w:rPr>
                <w:color w:val="auto"/>
                <w:sz w:val="20"/>
                <w:szCs w:val="20"/>
              </w:rPr>
            </w:pPr>
            <w:r>
              <w:rPr>
                <w:rFonts w:hint="eastAsia" w:ascii="宋体" w:hAnsi="宋体" w:eastAsia="宋体" w:cs="宋体"/>
                <w:color w:val="auto"/>
                <w:kern w:val="0"/>
                <w:sz w:val="20"/>
                <w:szCs w:val="20"/>
                <w:lang w:bidi="ar"/>
              </w:rPr>
              <w:t>结合病例数据，在进行患者办理出院预结算时对费用明细进行智能审核，给出疑似违规数据，包括违规信息及违规明细，让操作人员了解患者本次结算的全部违规，及违规产生的原因，提醒工作人员及时进行及时处理。</w:t>
            </w:r>
          </w:p>
        </w:tc>
      </w:tr>
      <w:tr w14:paraId="7F45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474B0C5">
            <w:pPr>
              <w:pStyle w:val="4"/>
              <w:rPr>
                <w:lang w:val="en-US"/>
              </w:rPr>
            </w:pPr>
          </w:p>
        </w:tc>
        <w:tc>
          <w:tcPr>
            <w:tcW w:w="1324" w:type="dxa"/>
            <w:vMerge w:val="continue"/>
            <w:vAlign w:val="center"/>
          </w:tcPr>
          <w:p w14:paraId="5BAE3A4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5FE7EEC">
            <w:pPr>
              <w:widowControl/>
              <w:jc w:val="left"/>
              <w:rPr>
                <w:b/>
                <w:bCs/>
                <w:color w:val="auto"/>
                <w:sz w:val="20"/>
                <w:szCs w:val="20"/>
              </w:rPr>
            </w:pPr>
            <w:r>
              <w:rPr>
                <w:rFonts w:hint="eastAsia" w:ascii="宋体" w:hAnsi="宋体" w:eastAsia="宋体" w:cs="宋体"/>
                <w:b/>
                <w:bCs/>
                <w:color w:val="auto"/>
                <w:kern w:val="0"/>
                <w:sz w:val="20"/>
                <w:szCs w:val="20"/>
                <w:lang w:bidi="ar"/>
              </w:rPr>
              <w:t>审核规则管理</w:t>
            </w:r>
          </w:p>
        </w:tc>
        <w:tc>
          <w:tcPr>
            <w:tcW w:w="5182" w:type="dxa"/>
            <w:tcBorders>
              <w:top w:val="single" w:color="auto" w:sz="4" w:space="0"/>
              <w:left w:val="single" w:color="auto" w:sz="4" w:space="0"/>
              <w:bottom w:val="single" w:color="auto" w:sz="4" w:space="0"/>
              <w:right w:val="single" w:color="auto" w:sz="4" w:space="0"/>
            </w:tcBorders>
            <w:vAlign w:val="center"/>
          </w:tcPr>
          <w:p w14:paraId="4F58085D">
            <w:pPr>
              <w:widowControl/>
              <w:jc w:val="left"/>
              <w:rPr>
                <w:color w:val="auto"/>
                <w:sz w:val="20"/>
                <w:szCs w:val="20"/>
              </w:rPr>
            </w:pPr>
            <w:r>
              <w:rPr>
                <w:rFonts w:hint="eastAsia" w:ascii="宋体" w:hAnsi="宋体" w:eastAsia="宋体" w:cs="宋体"/>
                <w:color w:val="auto"/>
                <w:kern w:val="0"/>
                <w:sz w:val="20"/>
                <w:szCs w:val="20"/>
                <w:lang w:bidi="ar"/>
              </w:rPr>
              <w:t>系统预置当地医保审核规则知识库，提供医保费用审核规则，为临床医师提供医保费用审核规则。可按多种条件查询并配置本院所有已启用的规则，可配置规则配置开启或关闭、使用场景、审核环节、扣减级别等、并保存规则变更记录等信息。</w:t>
            </w:r>
          </w:p>
        </w:tc>
      </w:tr>
      <w:tr w14:paraId="175A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Align w:val="center"/>
          </w:tcPr>
          <w:p w14:paraId="2F68BC8C">
            <w:pPr>
              <w:pStyle w:val="4"/>
              <w:rPr>
                <w:lang w:val="en-US"/>
              </w:rPr>
            </w:pPr>
            <w:r>
              <w:rPr>
                <w:b/>
                <w:bCs/>
                <w:lang w:val="en-US"/>
              </w:rPr>
              <w:t>6</w:t>
            </w:r>
          </w:p>
        </w:tc>
        <w:tc>
          <w:tcPr>
            <w:tcW w:w="1324" w:type="dxa"/>
            <w:vAlign w:val="center"/>
          </w:tcPr>
          <w:p w14:paraId="601624BE">
            <w:pPr>
              <w:pStyle w:val="4"/>
              <w:rPr>
                <w:b/>
                <w:bCs/>
                <w:lang w:val="en-US"/>
              </w:rPr>
            </w:pPr>
            <w:r>
              <w:rPr>
                <w:b/>
                <w:bCs/>
                <w:lang w:val="en-US"/>
              </w:rPr>
              <w:t>AI</w:t>
            </w:r>
            <w:r>
              <w:rPr>
                <w:rFonts w:hint="eastAsia"/>
                <w:b/>
                <w:bCs/>
                <w:lang w:val="en-US"/>
              </w:rPr>
              <w:t>智能审核风险报告</w:t>
            </w:r>
          </w:p>
        </w:tc>
        <w:tc>
          <w:tcPr>
            <w:tcW w:w="1134" w:type="dxa"/>
            <w:tcBorders>
              <w:top w:val="single" w:color="auto" w:sz="4" w:space="0"/>
              <w:left w:val="single" w:color="auto" w:sz="4" w:space="0"/>
              <w:bottom w:val="single" w:color="auto" w:sz="4" w:space="0"/>
              <w:right w:val="single" w:color="auto" w:sz="4" w:space="0"/>
            </w:tcBorders>
            <w:vAlign w:val="center"/>
          </w:tcPr>
          <w:p w14:paraId="4C8C7DB7">
            <w:pPr>
              <w:pStyle w:val="4"/>
              <w:jc w:val="left"/>
              <w:rPr>
                <w:b/>
                <w:lang w:val="en-US"/>
              </w:rPr>
            </w:pPr>
            <w:r>
              <w:rPr>
                <w:rFonts w:hint="eastAsia"/>
                <w:b/>
                <w:lang w:val="en-US"/>
              </w:rPr>
              <w:t>“一科一策”风险防控报告</w:t>
            </w:r>
          </w:p>
        </w:tc>
        <w:tc>
          <w:tcPr>
            <w:tcW w:w="5182" w:type="dxa"/>
            <w:tcBorders>
              <w:top w:val="single" w:color="auto" w:sz="4" w:space="0"/>
              <w:left w:val="single" w:color="auto" w:sz="4" w:space="0"/>
              <w:bottom w:val="single" w:color="auto" w:sz="4" w:space="0"/>
              <w:right w:val="single" w:color="auto" w:sz="4" w:space="0"/>
            </w:tcBorders>
            <w:vAlign w:val="center"/>
          </w:tcPr>
          <w:p w14:paraId="44BFB683">
            <w:r>
              <w:rPr>
                <w:rFonts w:hint="eastAsia"/>
                <w:sz w:val="20"/>
                <w:szCs w:val="21"/>
              </w:rPr>
              <w:t>结合审核情况，每月按医疗机构临床科室维度自动归集对应科室的违规风险数据，结合历史监管记录、科室诊疗特性生成科室专属风险画像，最终自动输出结构化的医保基金监管风险防控报告，实现「一科一策」精准管理，报告需包含风险点明细、风险等级判定、问题成因分析、防控建议四个核心模块，支持导出</w:t>
            </w:r>
            <w:r>
              <w:rPr>
                <w:sz w:val="20"/>
                <w:szCs w:val="21"/>
              </w:rPr>
              <w:t>PDF</w:t>
            </w:r>
            <w:r>
              <w:rPr>
                <w:rFonts w:hint="eastAsia"/>
                <w:sz w:val="20"/>
                <w:szCs w:val="21"/>
              </w:rPr>
              <w:t>、</w:t>
            </w:r>
            <w:r>
              <w:rPr>
                <w:sz w:val="20"/>
                <w:szCs w:val="21"/>
              </w:rPr>
              <w:t>Word</w:t>
            </w:r>
            <w:r>
              <w:rPr>
                <w:rFonts w:hint="eastAsia"/>
                <w:sz w:val="20"/>
                <w:szCs w:val="21"/>
              </w:rPr>
              <w:t>格式，支持在线编辑调整。</w:t>
            </w:r>
          </w:p>
        </w:tc>
      </w:tr>
      <w:tr w14:paraId="15A4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0417CBAC">
            <w:pPr>
              <w:pStyle w:val="4"/>
              <w:rPr>
                <w:lang w:val="en-US"/>
              </w:rPr>
            </w:pPr>
            <w:r>
              <w:rPr>
                <w:b/>
                <w:bCs/>
                <w:lang w:val="en-US"/>
              </w:rPr>
              <w:t>7</w:t>
            </w:r>
          </w:p>
        </w:tc>
        <w:tc>
          <w:tcPr>
            <w:tcW w:w="1324" w:type="dxa"/>
            <w:vMerge w:val="restart"/>
            <w:vAlign w:val="center"/>
          </w:tcPr>
          <w:p w14:paraId="1FED3212">
            <w:pPr>
              <w:pStyle w:val="4"/>
              <w:jc w:val="center"/>
              <w:rPr>
                <w:b/>
                <w:bCs/>
                <w:lang w:val="en-US"/>
              </w:rPr>
            </w:pPr>
            <w:r>
              <w:rPr>
                <w:rFonts w:hint="eastAsia"/>
                <w:b/>
                <w:bCs/>
                <w:lang w:val="en-US"/>
              </w:rPr>
              <w:t>医保知识库</w:t>
            </w:r>
          </w:p>
        </w:tc>
        <w:tc>
          <w:tcPr>
            <w:tcW w:w="1134" w:type="dxa"/>
            <w:tcBorders>
              <w:top w:val="single" w:color="auto" w:sz="4" w:space="0"/>
              <w:left w:val="single" w:color="auto" w:sz="4" w:space="0"/>
              <w:bottom w:val="single" w:color="auto" w:sz="4" w:space="0"/>
              <w:right w:val="single" w:color="auto" w:sz="4" w:space="0"/>
            </w:tcBorders>
            <w:vAlign w:val="center"/>
          </w:tcPr>
          <w:p w14:paraId="69A692EF">
            <w:pPr>
              <w:pStyle w:val="4"/>
              <w:jc w:val="left"/>
              <w:rPr>
                <w:b/>
                <w:lang w:val="en-US"/>
              </w:rPr>
            </w:pPr>
            <w:r>
              <w:rPr>
                <w:rFonts w:hint="eastAsia"/>
                <w:b/>
                <w:lang w:val="en-US"/>
              </w:rPr>
              <w:t>飞检案例库管理</w:t>
            </w:r>
          </w:p>
        </w:tc>
        <w:tc>
          <w:tcPr>
            <w:tcW w:w="5182" w:type="dxa"/>
            <w:tcBorders>
              <w:top w:val="single" w:color="auto" w:sz="4" w:space="0"/>
              <w:left w:val="single" w:color="auto" w:sz="4" w:space="0"/>
              <w:bottom w:val="single" w:color="auto" w:sz="4" w:space="0"/>
              <w:right w:val="single" w:color="auto" w:sz="4" w:space="0"/>
            </w:tcBorders>
            <w:vAlign w:val="center"/>
          </w:tcPr>
          <w:p w14:paraId="365FD615">
            <w:pPr>
              <w:widowControl/>
              <w:jc w:val="left"/>
              <w:rPr>
                <w:sz w:val="20"/>
                <w:szCs w:val="21"/>
              </w:rPr>
            </w:pPr>
            <w:r>
              <w:rPr>
                <w:rFonts w:hint="eastAsia"/>
                <w:sz w:val="20"/>
                <w:szCs w:val="21"/>
              </w:rPr>
              <w:t>系统内置飞检案例库，支持根据案例来源、涉及通报单位、所属地区、审查途径等多种查询条件，展示案例库列表和详情。详情支持显示具体违规行为，对应审核功能、涉及违规金额。</w:t>
            </w:r>
          </w:p>
        </w:tc>
      </w:tr>
      <w:tr w14:paraId="3378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ADD6395">
            <w:pPr>
              <w:pStyle w:val="4"/>
              <w:rPr>
                <w:lang w:val="en-US"/>
              </w:rPr>
            </w:pPr>
          </w:p>
        </w:tc>
        <w:tc>
          <w:tcPr>
            <w:tcW w:w="1324" w:type="dxa"/>
            <w:vMerge w:val="continue"/>
            <w:vAlign w:val="center"/>
          </w:tcPr>
          <w:p w14:paraId="4A424D5B">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C9E6A35">
            <w:pPr>
              <w:widowControl/>
              <w:jc w:val="left"/>
              <w:rPr>
                <w:rFonts w:ascii="宋体" w:hAnsi="宋体" w:eastAsia="宋体" w:cs="宋体"/>
                <w:b/>
                <w:bCs/>
                <w:color w:val="auto"/>
                <w:kern w:val="0"/>
                <w:sz w:val="20"/>
                <w:szCs w:val="20"/>
                <w:lang w:bidi="ar"/>
              </w:rPr>
            </w:pPr>
            <w:r>
              <w:rPr>
                <w:rFonts w:hint="eastAsia" w:ascii="宋体" w:hAnsi="宋体" w:eastAsia="宋体" w:cs="宋体"/>
                <w:b/>
                <w:bCs/>
                <w:color w:val="auto"/>
                <w:kern w:val="0"/>
                <w:sz w:val="20"/>
                <w:szCs w:val="20"/>
                <w:lang w:bidi="ar"/>
              </w:rPr>
              <w:t>医保药品</w:t>
            </w:r>
            <w:r>
              <w:rPr>
                <w:rFonts w:ascii="宋体" w:hAnsi="宋体" w:eastAsia="宋体" w:cs="宋体"/>
                <w:b/>
                <w:bCs/>
                <w:color w:val="auto"/>
                <w:kern w:val="0"/>
                <w:sz w:val="20"/>
                <w:szCs w:val="20"/>
                <w:lang w:bidi="ar"/>
              </w:rPr>
              <w:t>/耗材目录管理</w:t>
            </w:r>
          </w:p>
        </w:tc>
        <w:tc>
          <w:tcPr>
            <w:tcW w:w="5182" w:type="dxa"/>
            <w:tcBorders>
              <w:top w:val="single" w:color="auto" w:sz="4" w:space="0"/>
              <w:left w:val="single" w:color="auto" w:sz="4" w:space="0"/>
              <w:bottom w:val="single" w:color="auto" w:sz="4" w:space="0"/>
              <w:right w:val="single" w:color="auto" w:sz="4" w:space="0"/>
            </w:tcBorders>
            <w:vAlign w:val="center"/>
          </w:tcPr>
          <w:p w14:paraId="145D5E68">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药品信息管理可以查询当地医保药品目录的基本信息，包括药品编码，药品名称，收费类别，收费项目等级，限制支付条件，其中药品名称和限制支付条件支持模糊查询。</w:t>
            </w:r>
          </w:p>
          <w:p w14:paraId="5CFB65AA">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支持当地耗材目录基本信息和详细信息查看，包括分类代码、收费类别、材质、规格等信息，支持多条件组合搜索，支持对耗材审核状态进行灵活开启关闭。</w:t>
            </w:r>
          </w:p>
        </w:tc>
      </w:tr>
      <w:tr w14:paraId="65B0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16BAFB1">
            <w:pPr>
              <w:pStyle w:val="4"/>
              <w:rPr>
                <w:lang w:val="en-US"/>
              </w:rPr>
            </w:pPr>
          </w:p>
        </w:tc>
        <w:tc>
          <w:tcPr>
            <w:tcW w:w="1324" w:type="dxa"/>
            <w:vMerge w:val="continue"/>
            <w:vAlign w:val="center"/>
          </w:tcPr>
          <w:p w14:paraId="3B3FDDF0">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C32025A">
            <w:pPr>
              <w:widowControl/>
              <w:jc w:val="left"/>
              <w:rPr>
                <w:rFonts w:ascii="宋体" w:hAnsi="宋体" w:eastAsia="宋体" w:cs="宋体"/>
                <w:b/>
                <w:bCs/>
                <w:color w:val="auto"/>
                <w:kern w:val="0"/>
                <w:sz w:val="20"/>
                <w:szCs w:val="20"/>
                <w:lang w:bidi="ar"/>
              </w:rPr>
            </w:pPr>
            <w:r>
              <w:rPr>
                <w:rFonts w:hint="eastAsia" w:ascii="宋体" w:hAnsi="宋体" w:eastAsia="宋体" w:cs="宋体"/>
                <w:b/>
                <w:bCs/>
                <w:color w:val="auto"/>
                <w:kern w:val="0"/>
                <w:sz w:val="20"/>
                <w:szCs w:val="20"/>
                <w:lang w:bidi="ar"/>
              </w:rPr>
              <w:t>医保诊疗目录管理</w:t>
            </w:r>
          </w:p>
        </w:tc>
        <w:tc>
          <w:tcPr>
            <w:tcW w:w="5182" w:type="dxa"/>
            <w:tcBorders>
              <w:top w:val="single" w:color="auto" w:sz="4" w:space="0"/>
              <w:left w:val="single" w:color="auto" w:sz="4" w:space="0"/>
              <w:bottom w:val="single" w:color="auto" w:sz="4" w:space="0"/>
              <w:right w:val="single" w:color="auto" w:sz="4" w:space="0"/>
            </w:tcBorders>
            <w:vAlign w:val="center"/>
          </w:tcPr>
          <w:p w14:paraId="4590F915">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诊疗项目信息管理可以查询当地医保诊疗项目的基本信息，包括项目编码，项目名称，收费类别，收费项目等级，限制支付条件，其中项目名称和限制支付条件支持模糊查询。</w:t>
            </w:r>
          </w:p>
        </w:tc>
      </w:tr>
      <w:tr w14:paraId="1B3B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3D0F35AA">
            <w:pPr>
              <w:pStyle w:val="4"/>
              <w:rPr>
                <w:lang w:val="en-US"/>
              </w:rPr>
            </w:pPr>
            <w:r>
              <w:rPr>
                <w:lang w:val="en-US"/>
              </w:rPr>
              <w:t>8</w:t>
            </w:r>
          </w:p>
        </w:tc>
        <w:tc>
          <w:tcPr>
            <w:tcW w:w="1324" w:type="dxa"/>
            <w:vMerge w:val="restart"/>
            <w:vAlign w:val="center"/>
          </w:tcPr>
          <w:p w14:paraId="0B8A86D0">
            <w:pPr>
              <w:pStyle w:val="4"/>
              <w:rPr>
                <w:b/>
                <w:bCs/>
                <w:lang w:val="en-US"/>
              </w:rPr>
            </w:pPr>
            <w:r>
              <w:rPr>
                <w:rFonts w:hint="eastAsia"/>
                <w:b/>
                <w:bCs/>
                <w:lang w:val="en-US"/>
              </w:rPr>
              <w:t>申诉管理功能</w:t>
            </w:r>
          </w:p>
        </w:tc>
        <w:tc>
          <w:tcPr>
            <w:tcW w:w="1134" w:type="dxa"/>
            <w:tcBorders>
              <w:top w:val="single" w:color="auto" w:sz="4" w:space="0"/>
              <w:left w:val="single" w:color="auto" w:sz="4" w:space="0"/>
              <w:bottom w:val="single" w:color="auto" w:sz="4" w:space="0"/>
              <w:right w:val="single" w:color="auto" w:sz="4" w:space="0"/>
            </w:tcBorders>
            <w:vAlign w:val="center"/>
          </w:tcPr>
          <w:p w14:paraId="5C629B0C">
            <w:pPr>
              <w:pStyle w:val="4"/>
              <w:jc w:val="left"/>
              <w:rPr>
                <w:b/>
                <w:lang w:val="en-US"/>
              </w:rPr>
            </w:pPr>
            <w:r>
              <w:rPr>
                <w:rFonts w:hint="eastAsia"/>
                <w:b/>
                <w:lang w:val="en-US"/>
              </w:rPr>
              <w:t>文件导入</w:t>
            </w:r>
          </w:p>
        </w:tc>
        <w:tc>
          <w:tcPr>
            <w:tcW w:w="5182" w:type="dxa"/>
            <w:tcBorders>
              <w:top w:val="single" w:color="auto" w:sz="4" w:space="0"/>
              <w:left w:val="single" w:color="auto" w:sz="4" w:space="0"/>
              <w:bottom w:val="single" w:color="auto" w:sz="4" w:space="0"/>
              <w:right w:val="single" w:color="auto" w:sz="4" w:space="0"/>
            </w:tcBorders>
            <w:vAlign w:val="center"/>
          </w:tcPr>
          <w:p w14:paraId="4DE3121F">
            <w:pPr>
              <w:pStyle w:val="4"/>
              <w:rPr>
                <w:lang w:val="en-US"/>
              </w:rPr>
            </w:pPr>
            <w:r>
              <w:rPr>
                <w:rFonts w:hint="eastAsia"/>
                <w:lang w:val="en-US"/>
              </w:rPr>
              <w:t>支持按月份导入医保局下发的项目付费违规单，兼容</w:t>
            </w:r>
            <w:r>
              <w:rPr>
                <w:lang w:val="en-US"/>
              </w:rPr>
              <w:t>Excel</w:t>
            </w:r>
            <w:r>
              <w:rPr>
                <w:rFonts w:hint="eastAsia"/>
                <w:lang w:val="en-US"/>
              </w:rPr>
              <w:t>等常用格式，导入后系统自动匹配违规项目对应的接诊医生，完成违规单精准推送，重点对接超出医保范围的违规收费申诉工作；</w:t>
            </w:r>
          </w:p>
        </w:tc>
      </w:tr>
      <w:tr w14:paraId="4AFF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24662B7">
            <w:pPr>
              <w:pStyle w:val="4"/>
              <w:rPr>
                <w:lang w:val="en-US"/>
              </w:rPr>
            </w:pPr>
          </w:p>
        </w:tc>
        <w:tc>
          <w:tcPr>
            <w:tcW w:w="1324" w:type="dxa"/>
            <w:vMerge w:val="continue"/>
            <w:vAlign w:val="center"/>
          </w:tcPr>
          <w:p w14:paraId="2145CBDE">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DAABEC5">
            <w:pPr>
              <w:pStyle w:val="4"/>
              <w:jc w:val="left"/>
              <w:rPr>
                <w:b/>
                <w:color w:val="auto"/>
                <w:lang w:val="en-US"/>
              </w:rPr>
            </w:pPr>
            <w:r>
              <w:rPr>
                <w:rFonts w:hint="eastAsia"/>
                <w:b/>
                <w:color w:val="auto"/>
                <w:lang w:val="en-US"/>
              </w:rPr>
              <w:t>申诉提醒</w:t>
            </w:r>
          </w:p>
        </w:tc>
        <w:tc>
          <w:tcPr>
            <w:tcW w:w="5182" w:type="dxa"/>
            <w:tcBorders>
              <w:top w:val="single" w:color="auto" w:sz="4" w:space="0"/>
              <w:left w:val="single" w:color="auto" w:sz="4" w:space="0"/>
              <w:bottom w:val="single" w:color="auto" w:sz="4" w:space="0"/>
              <w:right w:val="single" w:color="auto" w:sz="4" w:space="0"/>
            </w:tcBorders>
            <w:vAlign w:val="center"/>
          </w:tcPr>
          <w:p w14:paraId="6A654B1A">
            <w:pPr>
              <w:pStyle w:val="4"/>
              <w:rPr>
                <w:lang w:val="en-US"/>
              </w:rPr>
            </w:pPr>
            <w:r>
              <w:rPr>
                <w:rFonts w:hint="eastAsia"/>
                <w:lang w:val="en-US"/>
              </w:rPr>
              <w:t>可设置申诉截止时间，系统自动对临近截止、已超截止的申诉项目进行提醒，保障申诉工作按时完成；支持违规单重新导入功能，便于应对医保局违规单补充、调整的场景；</w:t>
            </w:r>
          </w:p>
        </w:tc>
      </w:tr>
      <w:tr w14:paraId="500E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95BC3E8">
            <w:pPr>
              <w:pStyle w:val="4"/>
              <w:rPr>
                <w:lang w:val="en-US"/>
              </w:rPr>
            </w:pPr>
          </w:p>
        </w:tc>
        <w:tc>
          <w:tcPr>
            <w:tcW w:w="1324" w:type="dxa"/>
            <w:vMerge w:val="continue"/>
            <w:vAlign w:val="center"/>
          </w:tcPr>
          <w:p w14:paraId="10777F77">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5361A616">
            <w:pPr>
              <w:pStyle w:val="4"/>
              <w:jc w:val="left"/>
              <w:rPr>
                <w:b/>
                <w:color w:val="auto"/>
                <w:lang w:val="en-US"/>
              </w:rPr>
            </w:pPr>
            <w:r>
              <w:rPr>
                <w:rFonts w:hint="eastAsia"/>
                <w:b/>
                <w:color w:val="auto"/>
                <w:lang w:val="en-US"/>
              </w:rPr>
              <w:t>智能辅助申诉</w:t>
            </w:r>
          </w:p>
        </w:tc>
        <w:tc>
          <w:tcPr>
            <w:tcW w:w="5182" w:type="dxa"/>
            <w:tcBorders>
              <w:top w:val="single" w:color="auto" w:sz="4" w:space="0"/>
              <w:left w:val="single" w:color="auto" w:sz="4" w:space="0"/>
              <w:bottom w:val="single" w:color="auto" w:sz="4" w:space="0"/>
              <w:right w:val="single" w:color="auto" w:sz="4" w:space="0"/>
            </w:tcBorders>
            <w:vAlign w:val="center"/>
          </w:tcPr>
          <w:p w14:paraId="642D7A20">
            <w:pPr>
              <w:pStyle w:val="4"/>
              <w:rPr>
                <w:lang w:val="en-US"/>
              </w:rPr>
            </w:pPr>
            <w:bookmarkStart w:id="3" w:name="OLE_LINK8"/>
            <w:bookmarkStart w:id="4" w:name="OLE_LINK7"/>
            <w:r>
              <w:rPr>
                <w:rFonts w:hint="eastAsia"/>
                <w:lang w:val="en-US"/>
              </w:rPr>
              <w:t>智能AI全病历申诉</w:t>
            </w:r>
            <w:bookmarkEnd w:id="3"/>
            <w:bookmarkEnd w:id="4"/>
            <w:r>
              <w:rPr>
                <w:rFonts w:hint="eastAsia"/>
                <w:lang w:val="en-US"/>
              </w:rPr>
              <w:t>，并自动生成佐证，支持医生发起申诉，在线填写详细申诉理由，上传病历、检查报告、诊疗记录等申诉支撑材料，针对超出医保范围的违规收费申诉提供完整材料支撑；</w:t>
            </w:r>
          </w:p>
        </w:tc>
      </w:tr>
      <w:tr w14:paraId="410E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72837CB">
            <w:pPr>
              <w:pStyle w:val="4"/>
              <w:rPr>
                <w:lang w:val="en-US"/>
              </w:rPr>
            </w:pPr>
          </w:p>
        </w:tc>
        <w:tc>
          <w:tcPr>
            <w:tcW w:w="1324" w:type="dxa"/>
            <w:vMerge w:val="continue"/>
            <w:vAlign w:val="center"/>
          </w:tcPr>
          <w:p w14:paraId="3CF13D97">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DD49157">
            <w:pPr>
              <w:pStyle w:val="4"/>
              <w:jc w:val="left"/>
              <w:rPr>
                <w:b/>
                <w:color w:val="auto"/>
                <w:lang w:val="en-US"/>
              </w:rPr>
            </w:pPr>
            <w:r>
              <w:rPr>
                <w:rFonts w:hint="eastAsia"/>
                <w:b/>
                <w:color w:val="auto"/>
                <w:lang w:val="en-US"/>
              </w:rPr>
              <w:t>复核管理</w:t>
            </w:r>
          </w:p>
        </w:tc>
        <w:tc>
          <w:tcPr>
            <w:tcW w:w="5182" w:type="dxa"/>
            <w:tcBorders>
              <w:top w:val="single" w:color="auto" w:sz="4" w:space="0"/>
              <w:left w:val="single" w:color="auto" w:sz="4" w:space="0"/>
              <w:bottom w:val="single" w:color="auto" w:sz="4" w:space="0"/>
              <w:right w:val="single" w:color="auto" w:sz="4" w:space="0"/>
            </w:tcBorders>
            <w:vAlign w:val="center"/>
          </w:tcPr>
          <w:p w14:paraId="2ED87506">
            <w:pPr>
              <w:pStyle w:val="4"/>
              <w:rPr>
                <w:lang w:val="en-US"/>
              </w:rPr>
            </w:pPr>
            <w:r>
              <w:rPr>
                <w:rFonts w:hint="eastAsia"/>
                <w:lang w:val="en-US"/>
              </w:rPr>
              <w:t>支持申诉项目转交至对应科室负责人、医保管理员复核，同时支持下载导出全机构申诉材料，便于汇总上报医保局；</w:t>
            </w:r>
          </w:p>
        </w:tc>
      </w:tr>
      <w:tr w14:paraId="1FE5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6E4BC66">
            <w:pPr>
              <w:pStyle w:val="4"/>
              <w:rPr>
                <w:lang w:val="en-US"/>
              </w:rPr>
            </w:pPr>
          </w:p>
        </w:tc>
        <w:tc>
          <w:tcPr>
            <w:tcW w:w="1324" w:type="dxa"/>
            <w:vMerge w:val="continue"/>
            <w:vAlign w:val="center"/>
          </w:tcPr>
          <w:p w14:paraId="201C739E">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E8C30B6">
            <w:pPr>
              <w:pStyle w:val="4"/>
              <w:jc w:val="left"/>
              <w:rPr>
                <w:b/>
                <w:color w:val="auto"/>
                <w:lang w:val="en-US"/>
              </w:rPr>
            </w:pPr>
            <w:r>
              <w:rPr>
                <w:rFonts w:hint="eastAsia"/>
                <w:b/>
                <w:color w:val="auto"/>
                <w:lang w:val="en-US"/>
              </w:rPr>
              <w:t>申诉查询</w:t>
            </w:r>
          </w:p>
        </w:tc>
        <w:tc>
          <w:tcPr>
            <w:tcW w:w="5182" w:type="dxa"/>
            <w:tcBorders>
              <w:top w:val="single" w:color="auto" w:sz="4" w:space="0"/>
              <w:left w:val="single" w:color="auto" w:sz="4" w:space="0"/>
              <w:bottom w:val="single" w:color="auto" w:sz="4" w:space="0"/>
              <w:right w:val="single" w:color="auto" w:sz="4" w:space="0"/>
            </w:tcBorders>
            <w:vAlign w:val="center"/>
          </w:tcPr>
          <w:p w14:paraId="6335BEC9">
            <w:pPr>
              <w:pStyle w:val="4"/>
              <w:rPr>
                <w:lang w:val="en-US"/>
              </w:rPr>
            </w:pPr>
            <w:r>
              <w:rPr>
                <w:rFonts w:hint="eastAsia"/>
                <w:lang w:val="en-US"/>
              </w:rPr>
              <w:t>支持扣款结果查询与联动，管理人员可按权限查看违规单扣款详情列表，通过多维度筛选快速查询扣款信息；支持按月录入违规项目的最终扣款金额，系统自动留存操作日志，便于追溯核查；针对未完成申诉或申诉有新补充材料的项目，支持补充申诉操作，同时支持下载导出扣款明细，满足财务对账、医保自查需求。</w:t>
            </w:r>
          </w:p>
        </w:tc>
      </w:tr>
      <w:tr w14:paraId="64F7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0DDFAE7">
            <w:pPr>
              <w:pStyle w:val="4"/>
              <w:rPr>
                <w:lang w:val="en-US"/>
              </w:rPr>
            </w:pPr>
          </w:p>
        </w:tc>
        <w:tc>
          <w:tcPr>
            <w:tcW w:w="1324" w:type="dxa"/>
            <w:vMerge w:val="continue"/>
            <w:vAlign w:val="center"/>
          </w:tcPr>
          <w:p w14:paraId="4EEF421D">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BC83657">
            <w:pPr>
              <w:pStyle w:val="4"/>
              <w:jc w:val="left"/>
              <w:rPr>
                <w:b/>
                <w:color w:val="auto"/>
                <w:lang w:val="en-US"/>
              </w:rPr>
            </w:pPr>
            <w:r>
              <w:rPr>
                <w:rFonts w:hint="eastAsia"/>
                <w:b/>
                <w:color w:val="auto"/>
                <w:lang w:val="en-US"/>
              </w:rPr>
              <w:t>一键批量申诉</w:t>
            </w:r>
          </w:p>
        </w:tc>
        <w:tc>
          <w:tcPr>
            <w:tcW w:w="5182" w:type="dxa"/>
            <w:tcBorders>
              <w:top w:val="single" w:color="auto" w:sz="4" w:space="0"/>
              <w:left w:val="single" w:color="auto" w:sz="4" w:space="0"/>
              <w:bottom w:val="single" w:color="auto" w:sz="4" w:space="0"/>
              <w:right w:val="single" w:color="auto" w:sz="4" w:space="0"/>
            </w:tcBorders>
            <w:vAlign w:val="center"/>
          </w:tcPr>
          <w:p w14:paraId="5AD97F58">
            <w:pPr>
              <w:pStyle w:val="4"/>
              <w:rPr>
                <w:lang w:val="en-US"/>
              </w:rPr>
            </w:pPr>
            <w:r>
              <w:rPr>
                <w:rFonts w:hint="eastAsia"/>
                <w:lang w:val="en-US"/>
              </w:rPr>
              <w:t>支持调用 AI 一键批量生成低风险病历申诉材料、申诉理由、佐证说明，辅助医保管理员批量申诉，提升申诉效率与通过率；</w:t>
            </w:r>
            <w:r>
              <w:rPr>
                <w:lang w:val="en-US"/>
              </w:rPr>
              <w:t xml:space="preserve">AI </w:t>
            </w:r>
            <w:r>
              <w:rPr>
                <w:rFonts w:hint="eastAsia"/>
                <w:lang w:val="en-US"/>
              </w:rPr>
              <w:t>生成内容可编辑、可导出、可留痕。</w:t>
            </w:r>
          </w:p>
        </w:tc>
      </w:tr>
      <w:tr w14:paraId="6632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D86C471">
            <w:pPr>
              <w:pStyle w:val="4"/>
              <w:rPr>
                <w:lang w:val="en-US"/>
              </w:rPr>
            </w:pPr>
          </w:p>
        </w:tc>
        <w:tc>
          <w:tcPr>
            <w:tcW w:w="1324" w:type="dxa"/>
            <w:vMerge w:val="continue"/>
            <w:vAlign w:val="center"/>
          </w:tcPr>
          <w:p w14:paraId="362B0D2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CA44C70">
            <w:pPr>
              <w:pStyle w:val="4"/>
              <w:jc w:val="left"/>
              <w:rPr>
                <w:b/>
                <w:color w:val="auto"/>
                <w:lang w:val="en-US"/>
              </w:rPr>
            </w:pPr>
            <w:r>
              <w:rPr>
                <w:rFonts w:hint="eastAsia"/>
                <w:b/>
                <w:color w:val="auto"/>
                <w:lang w:val="en-US"/>
              </w:rPr>
              <w:t>申诉闭环管理</w:t>
            </w:r>
          </w:p>
        </w:tc>
        <w:tc>
          <w:tcPr>
            <w:tcW w:w="5182" w:type="dxa"/>
            <w:tcBorders>
              <w:top w:val="single" w:color="auto" w:sz="4" w:space="0"/>
              <w:left w:val="single" w:color="auto" w:sz="4" w:space="0"/>
              <w:bottom w:val="single" w:color="auto" w:sz="4" w:space="0"/>
              <w:right w:val="single" w:color="auto" w:sz="4" w:space="0"/>
            </w:tcBorders>
            <w:vAlign w:val="center"/>
          </w:tcPr>
          <w:p w14:paraId="3615322A">
            <w:pPr>
              <w:pStyle w:val="4"/>
              <w:rPr>
                <w:lang w:val="en-US"/>
              </w:rPr>
            </w:pPr>
            <w:r>
              <w:rPr>
                <w:rFonts w:hint="eastAsia"/>
                <w:lang w:val="en-US"/>
              </w:rPr>
              <w:t>支持申诉状态跟踪（待申诉、申诉中、复核中、已上报、已通过、已驳回、已扣款），全程状态可查、可跟踪、可闭环。</w:t>
            </w:r>
          </w:p>
        </w:tc>
      </w:tr>
      <w:tr w14:paraId="3B03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2030FE9">
            <w:pPr>
              <w:pStyle w:val="4"/>
              <w:rPr>
                <w:lang w:val="en-US"/>
              </w:rPr>
            </w:pPr>
          </w:p>
        </w:tc>
        <w:tc>
          <w:tcPr>
            <w:tcW w:w="1324" w:type="dxa"/>
            <w:vMerge w:val="continue"/>
            <w:vAlign w:val="center"/>
          </w:tcPr>
          <w:p w14:paraId="3A863AC8">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A89DC07">
            <w:pPr>
              <w:pStyle w:val="4"/>
              <w:jc w:val="left"/>
              <w:rPr>
                <w:b/>
                <w:color w:val="auto"/>
                <w:lang w:val="en-US"/>
              </w:rPr>
            </w:pPr>
            <w:r>
              <w:rPr>
                <w:rFonts w:hint="eastAsia"/>
                <w:b/>
                <w:color w:val="auto"/>
                <w:lang w:val="en-US"/>
              </w:rPr>
              <w:t>审核规划智能体</w:t>
            </w:r>
          </w:p>
        </w:tc>
        <w:tc>
          <w:tcPr>
            <w:tcW w:w="5182" w:type="dxa"/>
            <w:tcBorders>
              <w:top w:val="single" w:color="auto" w:sz="4" w:space="0"/>
              <w:left w:val="single" w:color="auto" w:sz="4" w:space="0"/>
              <w:bottom w:val="single" w:color="auto" w:sz="4" w:space="0"/>
              <w:right w:val="single" w:color="auto" w:sz="4" w:space="0"/>
            </w:tcBorders>
            <w:vAlign w:val="center"/>
          </w:tcPr>
          <w:p w14:paraId="25CADC6D">
            <w:pPr>
              <w:pStyle w:val="4"/>
              <w:rPr>
                <w:lang w:val="en-US"/>
              </w:rPr>
            </w:pPr>
            <w:r>
              <w:rPr>
                <w:rFonts w:hint="eastAsia"/>
                <w:lang w:val="en-US"/>
              </w:rPr>
              <w:t>1</w:t>
            </w:r>
            <w:r>
              <w:rPr>
                <w:lang w:val="en-US"/>
              </w:rPr>
              <w:t>.</w:t>
            </w:r>
            <w:r>
              <w:rPr>
                <w:rFonts w:hint="eastAsia"/>
                <w:lang w:val="en-US"/>
              </w:rPr>
              <w:t>任务规划智能体：提供基于局端违规疑点的规则映射与任务编排能力，自动识别省级医保平台下发的违规疑点，将其与院内医保审核规则进行匹配，明确疑点涉及的审核事项、所需材料和判断依据，并据此形成审核任务方案。</w:t>
            </w:r>
          </w:p>
          <w:p w14:paraId="7276F9F1">
            <w:pPr>
              <w:pStyle w:val="4"/>
              <w:rPr>
                <w:lang w:val="en-US"/>
              </w:rPr>
            </w:pPr>
            <w:r>
              <w:rPr>
                <w:lang w:val="en-US"/>
              </w:rPr>
              <w:t>2.</w:t>
            </w:r>
            <w:r>
              <w:rPr>
                <w:rFonts w:hint="eastAsia"/>
                <w:lang w:val="en-US"/>
              </w:rPr>
              <w:t>全病历检索智能体：提供基于多源异构病历数据联邦与证据预路由能力，负责从患者多源病历资料中快速查找与违规疑点相关的信息，能够综合检索医嘱、费用明细、诊断记录、病程记录、手术记录及检查检验报告等临床资料，并根据具体审核事项筛选重点内容。</w:t>
            </w:r>
          </w:p>
          <w:p w14:paraId="595F832B">
            <w:pPr>
              <w:pStyle w:val="4"/>
              <w:rPr>
                <w:lang w:val="en-US"/>
              </w:rPr>
            </w:pPr>
            <w:r>
              <w:rPr>
                <w:lang w:val="en-US"/>
              </w:rPr>
              <w:t>3.</w:t>
            </w:r>
            <w:r>
              <w:rPr>
                <w:rFonts w:hint="eastAsia"/>
                <w:lang w:val="en-US"/>
              </w:rPr>
              <w:t>循证智能体：提供基于模板驱动的分块证据抽取与原文溯源能力，负责对检索到的病历资料进行分析，提取能够支持审核判断和申诉论证的关键证据，能够结合医保审核规则，对患者诊疗事实、用药依据、诊疗指征、执行记录及费用信息等进行综合研判，形成结构化证据链。</w:t>
            </w:r>
          </w:p>
          <w:p w14:paraId="4037E2C3">
            <w:pPr>
              <w:pStyle w:val="4"/>
              <w:rPr>
                <w:lang w:val="en-US"/>
              </w:rPr>
            </w:pPr>
            <w:r>
              <w:rPr>
                <w:lang w:val="en-US"/>
              </w:rPr>
              <w:t>4.</w:t>
            </w:r>
            <w:r>
              <w:rPr>
                <w:rFonts w:hint="eastAsia"/>
                <w:lang w:val="en-US"/>
              </w:rPr>
              <w:t>申诉生成智能体：提供基于要件链式推理的申诉文本生成与分级推荐能力。负责依据违规疑点、审核规则和病历证据，辅助形成规范化申诉材料，能够围绕争议事项梳理申诉依据，组织病历事实和论证内容，并根据证据充分程度提供申诉建议。</w:t>
            </w:r>
          </w:p>
        </w:tc>
      </w:tr>
      <w:tr w14:paraId="6F48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010A2117">
            <w:pPr>
              <w:pStyle w:val="4"/>
              <w:rPr>
                <w:lang w:val="en-US"/>
              </w:rPr>
            </w:pPr>
            <w:r>
              <w:rPr>
                <w:lang w:val="en-US"/>
              </w:rPr>
              <w:t>9</w:t>
            </w:r>
          </w:p>
        </w:tc>
        <w:tc>
          <w:tcPr>
            <w:tcW w:w="1324" w:type="dxa"/>
            <w:vMerge w:val="restart"/>
            <w:vAlign w:val="center"/>
          </w:tcPr>
          <w:p w14:paraId="7CA418B6">
            <w:pPr>
              <w:pStyle w:val="4"/>
              <w:rPr>
                <w:b/>
                <w:bCs/>
                <w:lang w:val="en-US"/>
              </w:rPr>
            </w:pPr>
            <w:r>
              <w:rPr>
                <w:b/>
                <w:bCs/>
                <w:lang w:val="en-US"/>
              </w:rPr>
              <w:t>DRG</w:t>
            </w:r>
            <w:r>
              <w:rPr>
                <w:rFonts w:hint="eastAsia"/>
                <w:b/>
                <w:bCs/>
                <w:lang w:val="en-US"/>
              </w:rPr>
              <w:t>功能应用</w:t>
            </w:r>
          </w:p>
        </w:tc>
        <w:tc>
          <w:tcPr>
            <w:tcW w:w="1134" w:type="dxa"/>
            <w:tcBorders>
              <w:top w:val="single" w:color="auto" w:sz="4" w:space="0"/>
              <w:left w:val="single" w:color="auto" w:sz="4" w:space="0"/>
              <w:bottom w:val="single" w:color="auto" w:sz="4" w:space="0"/>
              <w:right w:val="single" w:color="auto" w:sz="4" w:space="0"/>
            </w:tcBorders>
            <w:vAlign w:val="center"/>
          </w:tcPr>
          <w:p w14:paraId="3E550883">
            <w:pPr>
              <w:widowControl/>
              <w:jc w:val="left"/>
              <w:rPr>
                <w:rFonts w:ascii="Times New Roman" w:hAnsi="Times New Roman"/>
                <w:b/>
                <w:kern w:val="0"/>
                <w:sz w:val="20"/>
                <w:szCs w:val="24"/>
              </w:rPr>
            </w:pPr>
            <w:r>
              <w:rPr>
                <w:rFonts w:hint="eastAsia" w:ascii="Times New Roman" w:hAnsi="Times New Roman"/>
                <w:b/>
                <w:kern w:val="0"/>
                <w:sz w:val="20"/>
                <w:szCs w:val="24"/>
              </w:rPr>
              <w:t>DRG 分</w:t>
            </w:r>
            <w:r>
              <w:rPr>
                <w:rFonts w:ascii="Times New Roman" w:hAnsi="Times New Roman"/>
                <w:b/>
                <w:kern w:val="0"/>
                <w:sz w:val="20"/>
                <w:szCs w:val="24"/>
              </w:rPr>
              <w:t xml:space="preserve"> </w:t>
            </w:r>
          </w:p>
          <w:p w14:paraId="5F345B7C">
            <w:pPr>
              <w:widowControl/>
              <w:jc w:val="left"/>
              <w:rPr>
                <w:b/>
              </w:rPr>
            </w:pPr>
            <w:r>
              <w:rPr>
                <w:rFonts w:hint="eastAsia" w:ascii="Times New Roman" w:hAnsi="Times New Roman"/>
                <w:b/>
                <w:kern w:val="0"/>
                <w:sz w:val="20"/>
                <w:szCs w:val="24"/>
              </w:rPr>
              <w:t>组器</w:t>
            </w:r>
          </w:p>
        </w:tc>
        <w:tc>
          <w:tcPr>
            <w:tcW w:w="5182" w:type="dxa"/>
            <w:tcBorders>
              <w:top w:val="single" w:color="auto" w:sz="4" w:space="0"/>
              <w:left w:val="single" w:color="auto" w:sz="4" w:space="0"/>
              <w:bottom w:val="single" w:color="auto" w:sz="4" w:space="0"/>
              <w:right w:val="single" w:color="auto" w:sz="4" w:space="0"/>
            </w:tcBorders>
            <w:vAlign w:val="center"/>
          </w:tcPr>
          <w:p w14:paraId="76A69257">
            <w:pPr>
              <w:widowControl/>
              <w:jc w:val="left"/>
            </w:pPr>
            <w:r>
              <w:rPr>
                <w:rFonts w:hint="eastAsia" w:ascii="宋体" w:hAnsi="宋体" w:eastAsia="宋体" w:cs="宋体"/>
                <w:kern w:val="0"/>
                <w:sz w:val="20"/>
                <w:szCs w:val="21"/>
                <w:lang w:bidi="ar"/>
              </w:rPr>
              <w:t>系统支持</w:t>
            </w:r>
            <w:r>
              <w:rPr>
                <w:rFonts w:ascii="宋体" w:hAnsi="宋体" w:eastAsia="宋体" w:cs="宋体"/>
                <w:kern w:val="0"/>
                <w:sz w:val="20"/>
                <w:szCs w:val="21"/>
                <w:lang w:bidi="ar"/>
              </w:rPr>
              <w:t xml:space="preserve"> CHS-DRG3.0 </w:t>
            </w:r>
            <w:r>
              <w:rPr>
                <w:rFonts w:hint="eastAsia" w:ascii="宋体" w:hAnsi="宋体" w:eastAsia="宋体" w:cs="宋体"/>
                <w:kern w:val="0"/>
                <w:sz w:val="20"/>
                <w:szCs w:val="21"/>
                <w:lang w:bidi="ar"/>
              </w:rPr>
              <w:t>版，可以依据本地分组进行调整优化。满足系统自动分组功能。具备查询分组标准功能。</w:t>
            </w:r>
          </w:p>
        </w:tc>
      </w:tr>
      <w:tr w14:paraId="1E5A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DF1E754">
            <w:pPr>
              <w:pStyle w:val="4"/>
              <w:rPr>
                <w:lang w:val="en-US"/>
              </w:rPr>
            </w:pPr>
          </w:p>
        </w:tc>
        <w:tc>
          <w:tcPr>
            <w:tcW w:w="1324" w:type="dxa"/>
            <w:vMerge w:val="continue"/>
            <w:vAlign w:val="center"/>
          </w:tcPr>
          <w:p w14:paraId="2444705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0965F84">
            <w:pPr>
              <w:pStyle w:val="4"/>
              <w:jc w:val="left"/>
              <w:rPr>
                <w:b/>
                <w:lang w:val="en-US"/>
              </w:rPr>
            </w:pPr>
            <w:r>
              <w:rPr>
                <w:rFonts w:hint="eastAsia"/>
                <w:b/>
                <w:lang w:val="en-US"/>
              </w:rPr>
              <w:t>DRG预分组</w:t>
            </w:r>
          </w:p>
        </w:tc>
        <w:tc>
          <w:tcPr>
            <w:tcW w:w="5182" w:type="dxa"/>
            <w:tcBorders>
              <w:top w:val="single" w:color="auto" w:sz="4" w:space="0"/>
              <w:left w:val="single" w:color="auto" w:sz="4" w:space="0"/>
              <w:bottom w:val="single" w:color="auto" w:sz="4" w:space="0"/>
              <w:right w:val="single" w:color="auto" w:sz="4" w:space="0"/>
            </w:tcBorders>
            <w:vAlign w:val="center"/>
          </w:tcPr>
          <w:p w14:paraId="53DB47B5">
            <w:pPr>
              <w:pStyle w:val="4"/>
              <w:rPr>
                <w:lang w:val="en-US"/>
              </w:rPr>
            </w:pPr>
            <w:r>
              <w:rPr>
                <w:rFonts w:hint="eastAsia"/>
                <w:lang w:val="en-US"/>
              </w:rPr>
              <w:t>系统适配本地化分组规则，可</w:t>
            </w:r>
            <w:r>
              <w:rPr>
                <w:rFonts w:hint="eastAsia" w:ascii="宋体" w:hAnsi="宋体" w:eastAsia="宋体" w:cs="宋体"/>
                <w:szCs w:val="21"/>
                <w:lang w:val="en-US" w:bidi="ar"/>
              </w:rPr>
              <w:t>从入院登记、填写出院记录、</w:t>
            </w:r>
            <w:r>
              <w:rPr>
                <w:rFonts w:hint="eastAsia"/>
                <w:lang w:val="en-US"/>
              </w:rPr>
              <w:t>录入诊断、完善病案首页、生成结算清单等过程中，</w:t>
            </w:r>
            <w:r>
              <w:rPr>
                <w:rFonts w:hint="eastAsia" w:ascii="宋体" w:hAnsi="宋体" w:eastAsia="宋体" w:cs="宋体"/>
                <w:szCs w:val="21"/>
                <w:lang w:val="en-US" w:bidi="ar"/>
              </w:rPr>
              <w:t>自动抽取诊断、操作和手术信息，进行诊中模拟分组，并支持调整诊断及手术模拟分组来设定目标组。系统支持结合历史病例给出</w:t>
            </w:r>
            <w:r>
              <w:rPr>
                <w:rFonts w:ascii="宋体" w:hAnsi="宋体" w:eastAsia="宋体" w:cs="宋体"/>
                <w:szCs w:val="21"/>
                <w:lang w:val="en-US" w:bidi="ar"/>
              </w:rPr>
              <w:t xml:space="preserve"> CC/MCC </w:t>
            </w:r>
            <w:r>
              <w:rPr>
                <w:rFonts w:hint="eastAsia" w:ascii="宋体" w:hAnsi="宋体" w:eastAsia="宋体" w:cs="宋体"/>
                <w:szCs w:val="21"/>
                <w:lang w:val="en-US" w:bidi="ar"/>
              </w:rPr>
              <w:t>及其频次供参考来避免漏填，同时提示病组风险等级和病例类型。提供集成界面在住院医生站中展示患者费用与病组支付情况，</w:t>
            </w:r>
            <w:r>
              <w:rPr>
                <w:rFonts w:hint="eastAsia"/>
                <w:lang w:val="en-US"/>
              </w:rPr>
              <w:t>风险等级与结算盈亏。支持与标杆费用比对，快速定位费用异常原因。</w:t>
            </w:r>
          </w:p>
        </w:tc>
      </w:tr>
      <w:tr w14:paraId="1FC7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DB2F02F">
            <w:pPr>
              <w:pStyle w:val="4"/>
              <w:rPr>
                <w:lang w:val="en-US"/>
              </w:rPr>
            </w:pPr>
          </w:p>
        </w:tc>
        <w:tc>
          <w:tcPr>
            <w:tcW w:w="1324" w:type="dxa"/>
            <w:vMerge w:val="continue"/>
            <w:vAlign w:val="center"/>
          </w:tcPr>
          <w:p w14:paraId="74B4F3F1">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5CFF5F95">
            <w:pPr>
              <w:pStyle w:val="4"/>
              <w:jc w:val="left"/>
              <w:rPr>
                <w:b/>
                <w:color w:val="auto"/>
                <w:lang w:val="en-US"/>
              </w:rPr>
            </w:pPr>
            <w:r>
              <w:rPr>
                <w:b/>
                <w:color w:val="auto"/>
                <w:lang w:val="en-US"/>
              </w:rPr>
              <w:t>DRG</w:t>
            </w:r>
            <w:r>
              <w:rPr>
                <w:rFonts w:hint="eastAsia"/>
                <w:b/>
                <w:color w:val="auto"/>
                <w:lang w:val="en-US"/>
              </w:rPr>
              <w:t>推荐分组</w:t>
            </w:r>
          </w:p>
        </w:tc>
        <w:tc>
          <w:tcPr>
            <w:tcW w:w="5182" w:type="dxa"/>
            <w:tcBorders>
              <w:top w:val="single" w:color="auto" w:sz="4" w:space="0"/>
              <w:left w:val="single" w:color="auto" w:sz="4" w:space="0"/>
              <w:bottom w:val="single" w:color="auto" w:sz="4" w:space="0"/>
              <w:right w:val="single" w:color="auto" w:sz="4" w:space="0"/>
            </w:tcBorders>
            <w:vAlign w:val="center"/>
          </w:tcPr>
          <w:p w14:paraId="4C02BADC">
            <w:pPr>
              <w:pStyle w:val="4"/>
              <w:rPr>
                <w:lang w:val="en-US"/>
              </w:rPr>
            </w:pPr>
            <w:r>
              <w:rPr>
                <w:rFonts w:hint="eastAsia"/>
                <w:lang w:val="en-US"/>
              </w:rPr>
              <w:t>依托全病历信息开展分组质控，针对主诊断填报不当、诊断/手术漏填、诊断与手术不匹配等常见病案缺陷，结合编码权重、漏填预警信息，智能推荐最优</w:t>
            </w:r>
            <w:r>
              <w:rPr>
                <w:lang w:val="en-US"/>
              </w:rPr>
              <w:t>DRG</w:t>
            </w:r>
            <w:r>
              <w:rPr>
                <w:rFonts w:hint="eastAsia"/>
                <w:lang w:val="en-US"/>
              </w:rPr>
              <w:t>分组方案，并提供相应诊断和手术优化建议。</w:t>
            </w:r>
          </w:p>
        </w:tc>
      </w:tr>
      <w:tr w14:paraId="52DA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DEF3129">
            <w:pPr>
              <w:pStyle w:val="4"/>
              <w:rPr>
                <w:lang w:val="en-US"/>
              </w:rPr>
            </w:pPr>
          </w:p>
        </w:tc>
        <w:tc>
          <w:tcPr>
            <w:tcW w:w="1324" w:type="dxa"/>
            <w:vMerge w:val="continue"/>
            <w:vAlign w:val="center"/>
          </w:tcPr>
          <w:p w14:paraId="1C3DCB3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9A99DE1">
            <w:pPr>
              <w:pStyle w:val="4"/>
              <w:jc w:val="left"/>
              <w:rPr>
                <w:b/>
                <w:color w:val="auto"/>
                <w:lang w:val="en-US"/>
              </w:rPr>
            </w:pPr>
            <w:r>
              <w:rPr>
                <w:b/>
                <w:color w:val="auto"/>
                <w:lang w:val="en-US"/>
              </w:rPr>
              <w:t>DRG</w:t>
            </w:r>
            <w:r>
              <w:rPr>
                <w:rFonts w:hint="eastAsia"/>
                <w:b/>
                <w:color w:val="auto"/>
                <w:lang w:val="en-US"/>
              </w:rPr>
              <w:t>诊中控费</w:t>
            </w:r>
          </w:p>
        </w:tc>
        <w:tc>
          <w:tcPr>
            <w:tcW w:w="5182" w:type="dxa"/>
            <w:tcBorders>
              <w:top w:val="single" w:color="auto" w:sz="4" w:space="0"/>
              <w:left w:val="single" w:color="auto" w:sz="4" w:space="0"/>
              <w:bottom w:val="single" w:color="auto" w:sz="4" w:space="0"/>
              <w:right w:val="single" w:color="auto" w:sz="4" w:space="0"/>
            </w:tcBorders>
            <w:vAlign w:val="center"/>
          </w:tcPr>
          <w:p w14:paraId="4B1A6A40">
            <w:pPr>
              <w:pStyle w:val="4"/>
              <w:rPr>
                <w:lang w:val="en-US"/>
              </w:rPr>
            </w:pPr>
            <w:r>
              <w:rPr>
                <w:rFonts w:hint="eastAsia"/>
                <w:lang w:val="en-US"/>
              </w:rPr>
              <w:t>系统在入院至出院全程持续抓取诊断、手术信息，动态进行预分组；并调整诊断与手术信息模拟分组，设定目标病组，同步提示病组风险等级。系统实时对比目标分组与当前病例数据，测算预估盈亏、总费用、标杆费用差异，指导临床在保障医疗质量前提下合理管控诊疗费用。辅助临床医生对病组医保临床路径费用偏离度的实时掌握。</w:t>
            </w:r>
          </w:p>
        </w:tc>
      </w:tr>
      <w:tr w14:paraId="1856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F2BCDB5">
            <w:pPr>
              <w:pStyle w:val="4"/>
              <w:rPr>
                <w:lang w:val="en-US"/>
              </w:rPr>
            </w:pPr>
          </w:p>
        </w:tc>
        <w:tc>
          <w:tcPr>
            <w:tcW w:w="1324" w:type="dxa"/>
            <w:vMerge w:val="continue"/>
            <w:vAlign w:val="center"/>
          </w:tcPr>
          <w:p w14:paraId="6E7F6C85">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9732D5E">
            <w:pPr>
              <w:pStyle w:val="4"/>
              <w:jc w:val="left"/>
              <w:rPr>
                <w:b/>
                <w:color w:val="auto"/>
                <w:lang w:val="en-US"/>
              </w:rPr>
            </w:pPr>
            <w:r>
              <w:rPr>
                <w:b/>
                <w:color w:val="auto"/>
                <w:lang w:val="en-US"/>
              </w:rPr>
              <w:t>DRG</w:t>
            </w:r>
            <w:r>
              <w:rPr>
                <w:rFonts w:hint="eastAsia"/>
                <w:b/>
                <w:color w:val="auto"/>
                <w:lang w:val="en-US"/>
              </w:rPr>
              <w:t>分组能力</w:t>
            </w:r>
          </w:p>
        </w:tc>
        <w:tc>
          <w:tcPr>
            <w:tcW w:w="5182" w:type="dxa"/>
            <w:tcBorders>
              <w:top w:val="single" w:color="auto" w:sz="4" w:space="0"/>
              <w:left w:val="single" w:color="auto" w:sz="4" w:space="0"/>
              <w:bottom w:val="single" w:color="auto" w:sz="4" w:space="0"/>
              <w:right w:val="single" w:color="auto" w:sz="4" w:space="0"/>
            </w:tcBorders>
            <w:vAlign w:val="center"/>
          </w:tcPr>
          <w:p w14:paraId="42A03D26">
            <w:pPr>
              <w:pStyle w:val="4"/>
              <w:rPr>
                <w:lang w:val="en-US"/>
              </w:rPr>
            </w:pPr>
            <w:r>
              <w:rPr>
                <w:rFonts w:hint="eastAsia"/>
                <w:lang w:val="en-US"/>
              </w:rPr>
              <w:t>支持按照国家DRG分组标准结合当地分组细化要求构建本地分组器，结合内置的</w:t>
            </w:r>
            <w:r>
              <w:rPr>
                <w:lang w:val="en-US"/>
              </w:rPr>
              <w:t>MDC</w:t>
            </w:r>
            <w:r>
              <w:rPr>
                <w:rFonts w:hint="eastAsia"/>
                <w:lang w:val="en-US"/>
              </w:rPr>
              <w:t>、</w:t>
            </w:r>
            <w:r>
              <w:rPr>
                <w:lang w:val="en-US"/>
              </w:rPr>
              <w:t>ADRG</w:t>
            </w:r>
            <w:r>
              <w:rPr>
                <w:rFonts w:hint="eastAsia"/>
                <w:lang w:val="en-US"/>
              </w:rPr>
              <w:t>、</w:t>
            </w:r>
            <w:r>
              <w:rPr>
                <w:lang w:val="en-US"/>
              </w:rPr>
              <w:t>DRG</w:t>
            </w:r>
            <w:r>
              <w:rPr>
                <w:rFonts w:hint="eastAsia"/>
                <w:lang w:val="en-US"/>
              </w:rPr>
              <w:t>及</w:t>
            </w:r>
            <w:r>
              <w:rPr>
                <w:lang w:val="en-US"/>
              </w:rPr>
              <w:t>MCC/CC</w:t>
            </w:r>
            <w:r>
              <w:rPr>
                <w:rFonts w:hint="eastAsia"/>
                <w:lang w:val="en-US"/>
              </w:rPr>
              <w:t>等字典，对诊断、手术、年龄、呼吸机使用等关键入组信息进行自动入组。并结合</w:t>
            </w:r>
            <w:r>
              <w:rPr>
                <w:lang w:val="en-US"/>
              </w:rPr>
              <w:t>DRG</w:t>
            </w:r>
            <w:r>
              <w:rPr>
                <w:rFonts w:hint="eastAsia"/>
                <w:lang w:val="en-US"/>
              </w:rPr>
              <w:t>付费标准自动计算相应的权重、费率</w:t>
            </w:r>
            <w:r>
              <w:rPr>
                <w:lang w:val="en-US"/>
              </w:rPr>
              <w:t>/</w:t>
            </w:r>
            <w:r>
              <w:rPr>
                <w:rFonts w:hint="eastAsia"/>
                <w:lang w:val="en-US"/>
              </w:rPr>
              <w:t>点数。并支持按国家</w:t>
            </w:r>
            <w:r>
              <w:rPr>
                <w:lang w:val="en-US"/>
              </w:rPr>
              <w:t>/</w:t>
            </w:r>
            <w:r>
              <w:rPr>
                <w:rFonts w:hint="eastAsia"/>
                <w:lang w:val="en-US"/>
              </w:rPr>
              <w:t>省标准进行动态更新。</w:t>
            </w:r>
          </w:p>
        </w:tc>
      </w:tr>
      <w:tr w14:paraId="776F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1DE49CB">
            <w:pPr>
              <w:pStyle w:val="4"/>
              <w:rPr>
                <w:lang w:val="en-US"/>
              </w:rPr>
            </w:pPr>
          </w:p>
        </w:tc>
        <w:tc>
          <w:tcPr>
            <w:tcW w:w="1324" w:type="dxa"/>
            <w:vMerge w:val="continue"/>
            <w:vAlign w:val="center"/>
          </w:tcPr>
          <w:p w14:paraId="57C1D081">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168C3F3">
            <w:pPr>
              <w:pStyle w:val="4"/>
              <w:jc w:val="left"/>
              <w:rPr>
                <w:b/>
                <w:color w:val="auto"/>
                <w:lang w:val="en-US"/>
              </w:rPr>
            </w:pPr>
            <w:r>
              <w:rPr>
                <w:rFonts w:hint="eastAsia"/>
                <w:b/>
                <w:color w:val="auto"/>
                <w:lang w:val="en-US"/>
              </w:rPr>
              <w:t>辅助临床路径构建</w:t>
            </w:r>
          </w:p>
        </w:tc>
        <w:tc>
          <w:tcPr>
            <w:tcW w:w="5182" w:type="dxa"/>
            <w:tcBorders>
              <w:top w:val="single" w:color="auto" w:sz="4" w:space="0"/>
              <w:left w:val="single" w:color="auto" w:sz="4" w:space="0"/>
              <w:bottom w:val="single" w:color="auto" w:sz="4" w:space="0"/>
              <w:right w:val="single" w:color="auto" w:sz="4" w:space="0"/>
            </w:tcBorders>
            <w:vAlign w:val="center"/>
          </w:tcPr>
          <w:p w14:paraId="0CADD57A">
            <w:pPr>
              <w:pStyle w:val="2"/>
              <w:ind w:firstLine="0"/>
              <w:rPr>
                <w:color w:val="auto"/>
                <w:sz w:val="20"/>
                <w:lang w:bidi="ar"/>
              </w:rPr>
            </w:pPr>
            <w:r>
              <w:rPr>
                <w:rFonts w:hint="eastAsia"/>
                <w:color w:val="auto"/>
                <w:sz w:val="20"/>
                <w:lang w:bidi="ar"/>
              </w:rPr>
              <w:t>采集临床、费用、管理三大维度数据。</w:t>
            </w:r>
          </w:p>
          <w:p w14:paraId="40D0C846">
            <w:pPr>
              <w:pStyle w:val="2"/>
              <w:ind w:firstLine="0"/>
              <w:rPr>
                <w:color w:val="auto"/>
                <w:sz w:val="20"/>
                <w:lang w:bidi="ar"/>
              </w:rPr>
            </w:pPr>
            <w:r>
              <w:rPr>
                <w:rFonts w:hint="eastAsia"/>
                <w:color w:val="auto"/>
                <w:sz w:val="20"/>
                <w:lang w:bidi="ar"/>
              </w:rPr>
              <w:t>病案与诊断数据：包括主要诊断、次要诊断、并发症</w:t>
            </w:r>
            <w:r>
              <w:rPr>
                <w:color w:val="auto"/>
                <w:sz w:val="20"/>
                <w:lang w:bidi="ar"/>
              </w:rPr>
              <w:t>/</w:t>
            </w:r>
            <w:r>
              <w:rPr>
                <w:rFonts w:hint="eastAsia"/>
                <w:color w:val="auto"/>
                <w:sz w:val="20"/>
                <w:lang w:bidi="ar"/>
              </w:rPr>
              <w:t>合并症等，需使用</w:t>
            </w:r>
            <w:r>
              <w:rPr>
                <w:color w:val="auto"/>
                <w:sz w:val="20"/>
                <w:lang w:bidi="ar"/>
              </w:rPr>
              <w:t>ICD-10</w:t>
            </w:r>
            <w:r>
              <w:rPr>
                <w:rFonts w:hint="eastAsia"/>
                <w:color w:val="auto"/>
                <w:sz w:val="20"/>
                <w:lang w:bidi="ar"/>
              </w:rPr>
              <w:t>编码；以及主要手术</w:t>
            </w:r>
            <w:r>
              <w:rPr>
                <w:color w:val="auto"/>
                <w:sz w:val="20"/>
                <w:lang w:bidi="ar"/>
              </w:rPr>
              <w:t>/</w:t>
            </w:r>
            <w:r>
              <w:rPr>
                <w:rFonts w:hint="eastAsia"/>
                <w:color w:val="auto"/>
                <w:sz w:val="20"/>
                <w:lang w:bidi="ar"/>
              </w:rPr>
              <w:t>操作（</w:t>
            </w:r>
            <w:r>
              <w:rPr>
                <w:color w:val="auto"/>
                <w:sz w:val="20"/>
                <w:lang w:bidi="ar"/>
              </w:rPr>
              <w:t>ICD-9-CM-3</w:t>
            </w:r>
            <w:r>
              <w:rPr>
                <w:rFonts w:hint="eastAsia"/>
                <w:color w:val="auto"/>
                <w:sz w:val="20"/>
                <w:lang w:bidi="ar"/>
              </w:rPr>
              <w:t>编码）、其他手术操作等。</w:t>
            </w:r>
          </w:p>
          <w:p w14:paraId="0BE6615B">
            <w:pPr>
              <w:pStyle w:val="2"/>
              <w:ind w:firstLine="0"/>
              <w:rPr>
                <w:rFonts w:hint="eastAsia" w:ascii="宋体" w:hAnsi="宋体" w:eastAsia="宋体" w:cs="宋体"/>
                <w:color w:val="FF0000"/>
                <w:kern w:val="0"/>
                <w:sz w:val="20"/>
                <w:szCs w:val="20"/>
                <w:u w:val="none"/>
                <w:lang w:val="en-US" w:eastAsia="zh-CN" w:bidi="ar"/>
              </w:rPr>
            </w:pPr>
            <w:r>
              <w:rPr>
                <w:rFonts w:hint="eastAsia"/>
                <w:color w:val="auto"/>
                <w:sz w:val="20"/>
                <w:lang w:bidi="ar"/>
              </w:rPr>
              <w:t>诊疗项目与费用数据：</w:t>
            </w:r>
            <w:r>
              <w:rPr>
                <w:rFonts w:hint="eastAsia" w:ascii="宋体" w:hAnsi="宋体" w:eastAsia="宋体" w:cs="宋体"/>
                <w:color w:val="FF0000"/>
                <w:kern w:val="0"/>
                <w:sz w:val="20"/>
                <w:szCs w:val="20"/>
                <w:u w:val="none"/>
                <w:lang w:val="en-US" w:eastAsia="zh-CN" w:bidi="ar"/>
              </w:rPr>
              <w:t>可基于历史同DRG组的规范诊疗病例数据，结合医保支付标准梳理费用结构、诊疗项目、用药范围的合理区间，自动生成对应DRG组、符合医院管理实际需要的临床路径费用框架。系统可在诊疗过程中实时提示超路径、超费用的异常项目，辅助临床科室合理控制诊疗成本，降低超支风险。</w:t>
            </w:r>
          </w:p>
          <w:p w14:paraId="29C8C377">
            <w:pPr>
              <w:pStyle w:val="2"/>
              <w:ind w:firstLine="0"/>
              <w:rPr>
                <w:color w:val="auto"/>
                <w:sz w:val="20"/>
                <w:u w:val="none"/>
                <w:lang w:bidi="ar"/>
              </w:rPr>
            </w:pPr>
            <w:r>
              <w:rPr>
                <w:rFonts w:hint="eastAsia" w:ascii="宋体" w:hAnsi="宋体" w:eastAsia="宋体" w:cs="宋体"/>
                <w:color w:val="FF0000"/>
                <w:kern w:val="0"/>
                <w:sz w:val="20"/>
                <w:szCs w:val="20"/>
                <w:u w:val="none"/>
                <w:lang w:val="en-US" w:eastAsia="zh-CN" w:bidi="ar"/>
              </w:rPr>
              <w:t>依托医院历史数据，通过医学统计学以及大数据模型，针对病组支付标准提出参照标准，包含住院天数、药占比、耗材占比等费用结构等信息，为辅助构建路径优化提供数据支撑。</w:t>
            </w:r>
          </w:p>
          <w:p w14:paraId="6B320802">
            <w:pPr>
              <w:pStyle w:val="2"/>
              <w:ind w:firstLine="0"/>
              <w:rPr>
                <w:rFonts w:hint="eastAsia"/>
                <w:color w:val="auto"/>
                <w:sz w:val="20"/>
                <w:lang w:bidi="ar"/>
              </w:rPr>
            </w:pPr>
            <w:r>
              <w:rPr>
                <w:rFonts w:hint="eastAsia"/>
                <w:color w:val="auto"/>
                <w:sz w:val="20"/>
                <w:lang w:bidi="ar"/>
              </w:rPr>
              <w:t>医保政策与规则：包括本地医保支付规则、</w:t>
            </w:r>
            <w:r>
              <w:rPr>
                <w:color w:val="auto"/>
                <w:sz w:val="20"/>
                <w:lang w:bidi="ar"/>
              </w:rPr>
              <w:t>DRG</w:t>
            </w:r>
            <w:r>
              <w:rPr>
                <w:rFonts w:hint="eastAsia"/>
                <w:color w:val="auto"/>
                <w:sz w:val="20"/>
                <w:lang w:bidi="ar"/>
              </w:rPr>
              <w:t>分组逻辑、医保目录及合规要求，以及医保结算清单数据。</w:t>
            </w:r>
          </w:p>
          <w:p w14:paraId="151AC287">
            <w:pPr>
              <w:pStyle w:val="2"/>
              <w:ind w:firstLine="0"/>
              <w:rPr>
                <w:rFonts w:hint="eastAsia"/>
                <w:color w:val="auto"/>
                <w:sz w:val="20"/>
                <w:lang w:bidi="ar"/>
              </w:rPr>
            </w:pPr>
          </w:p>
        </w:tc>
      </w:tr>
      <w:tr w14:paraId="4B13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C102F6E">
            <w:pPr>
              <w:pStyle w:val="4"/>
              <w:rPr>
                <w:lang w:val="en-US"/>
              </w:rPr>
            </w:pPr>
          </w:p>
        </w:tc>
        <w:tc>
          <w:tcPr>
            <w:tcW w:w="1324" w:type="dxa"/>
            <w:vMerge w:val="continue"/>
            <w:vAlign w:val="center"/>
          </w:tcPr>
          <w:p w14:paraId="63F846EE">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6C60C9A">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诊中控费参数管理</w:t>
            </w:r>
          </w:p>
          <w:p w14:paraId="36DE3841">
            <w:pPr>
              <w:pStyle w:val="4"/>
              <w:jc w:val="left"/>
              <w:rPr>
                <w:b/>
                <w:color w:val="auto"/>
                <w:lang w:val="en-US"/>
              </w:rPr>
            </w:pPr>
          </w:p>
        </w:tc>
        <w:tc>
          <w:tcPr>
            <w:tcW w:w="5182" w:type="dxa"/>
            <w:tcBorders>
              <w:top w:val="single" w:color="auto" w:sz="4" w:space="0"/>
              <w:left w:val="single" w:color="auto" w:sz="4" w:space="0"/>
              <w:bottom w:val="single" w:color="auto" w:sz="4" w:space="0"/>
              <w:right w:val="single" w:color="auto" w:sz="4" w:space="0"/>
            </w:tcBorders>
            <w:vAlign w:val="center"/>
          </w:tcPr>
          <w:p w14:paraId="0620D3F5">
            <w:pPr>
              <w:widowControl/>
              <w:jc w:val="left"/>
              <w:rPr>
                <w:rFonts w:ascii="宋体" w:hAnsi="宋体" w:eastAsia="宋体" w:cs="宋体"/>
                <w:color w:val="auto"/>
                <w:kern w:val="0"/>
                <w:sz w:val="20"/>
                <w:szCs w:val="20"/>
                <w:lang w:bidi="ar"/>
              </w:rPr>
            </w:pPr>
            <w:r>
              <w:rPr>
                <w:rFonts w:ascii="宋体" w:hAnsi="宋体" w:eastAsia="宋体" w:cs="宋体"/>
                <w:color w:val="auto"/>
                <w:kern w:val="0"/>
                <w:sz w:val="20"/>
                <w:szCs w:val="20"/>
                <w:lang w:bidi="ar"/>
              </w:rPr>
              <w:t>1.</w:t>
            </w:r>
            <w:r>
              <w:rPr>
                <w:rFonts w:hint="eastAsia" w:ascii="宋体" w:hAnsi="宋体" w:eastAsia="宋体" w:cs="宋体"/>
                <w:color w:val="auto"/>
                <w:kern w:val="0"/>
                <w:sz w:val="20"/>
                <w:szCs w:val="20"/>
                <w:lang w:bidi="ar"/>
              </w:rPr>
              <w:t>全院</w:t>
            </w:r>
            <w:r>
              <w:rPr>
                <w:rFonts w:ascii="宋体" w:hAnsi="宋体" w:eastAsia="宋体" w:cs="宋体"/>
                <w:color w:val="auto"/>
                <w:kern w:val="0"/>
                <w:sz w:val="20"/>
                <w:szCs w:val="20"/>
                <w:lang w:bidi="ar"/>
              </w:rPr>
              <w:t>/</w:t>
            </w:r>
            <w:r>
              <w:rPr>
                <w:rFonts w:hint="eastAsia" w:ascii="宋体" w:hAnsi="宋体" w:eastAsia="宋体" w:cs="宋体"/>
                <w:color w:val="auto"/>
                <w:kern w:val="0"/>
                <w:sz w:val="20"/>
                <w:szCs w:val="20"/>
                <w:lang w:bidi="ar"/>
              </w:rPr>
              <w:t>科室标杆配置：依据医院</w:t>
            </w:r>
            <w:r>
              <w:rPr>
                <w:rFonts w:ascii="宋体" w:hAnsi="宋体" w:eastAsia="宋体" w:cs="宋体"/>
                <w:color w:val="auto"/>
                <w:kern w:val="0"/>
                <w:sz w:val="20"/>
                <w:szCs w:val="20"/>
                <w:lang w:bidi="ar"/>
              </w:rPr>
              <w:t>/</w:t>
            </w:r>
            <w:r>
              <w:rPr>
                <w:rFonts w:hint="eastAsia" w:ascii="宋体" w:hAnsi="宋体" w:eastAsia="宋体" w:cs="宋体"/>
                <w:color w:val="auto"/>
                <w:kern w:val="0"/>
                <w:sz w:val="20"/>
                <w:szCs w:val="20"/>
                <w:lang w:bidi="ar"/>
              </w:rPr>
              <w:t>科室设定医保额度管理标准，在线录入医保管控指标和</w:t>
            </w:r>
            <w:r>
              <w:rPr>
                <w:rFonts w:ascii="宋体" w:hAnsi="宋体" w:eastAsia="宋体" w:cs="宋体"/>
                <w:color w:val="auto"/>
                <w:kern w:val="0"/>
                <w:sz w:val="20"/>
                <w:szCs w:val="20"/>
                <w:lang w:bidi="ar"/>
              </w:rPr>
              <w:t>DRG</w:t>
            </w:r>
            <w:r>
              <w:rPr>
                <w:rFonts w:hint="eastAsia" w:ascii="宋体" w:hAnsi="宋体" w:eastAsia="宋体" w:cs="宋体"/>
                <w:color w:val="auto"/>
                <w:kern w:val="0"/>
                <w:sz w:val="20"/>
                <w:szCs w:val="20"/>
                <w:lang w:bidi="ar"/>
              </w:rPr>
              <w:t>管理指标，包括但不限于平均住院日，次均住院费用，时间消耗指数、费用消耗指数、药占比、耗材占比、检验检查占比、</w:t>
            </w:r>
            <w:r>
              <w:rPr>
                <w:rFonts w:ascii="宋体" w:hAnsi="宋体" w:eastAsia="宋体" w:cs="宋体"/>
                <w:color w:val="auto"/>
                <w:kern w:val="0"/>
                <w:sz w:val="20"/>
                <w:szCs w:val="20"/>
                <w:lang w:bidi="ar"/>
              </w:rPr>
              <w:t xml:space="preserve">DRG </w:t>
            </w:r>
            <w:r>
              <w:rPr>
                <w:rFonts w:hint="eastAsia" w:ascii="宋体" w:hAnsi="宋体" w:eastAsia="宋体" w:cs="宋体"/>
                <w:color w:val="auto"/>
                <w:kern w:val="0"/>
                <w:sz w:val="20"/>
                <w:szCs w:val="20"/>
                <w:lang w:bidi="ar"/>
              </w:rPr>
              <w:t>结算率等，为过程中进行医保监控提供数据支持。</w:t>
            </w:r>
            <w:r>
              <w:rPr>
                <w:rFonts w:ascii="宋体" w:hAnsi="宋体" w:eastAsia="宋体" w:cs="宋体"/>
                <w:color w:val="auto"/>
                <w:kern w:val="0"/>
                <w:sz w:val="20"/>
                <w:szCs w:val="20"/>
                <w:lang w:bidi="ar"/>
              </w:rPr>
              <w:t xml:space="preserve"> </w:t>
            </w:r>
          </w:p>
          <w:p w14:paraId="34701647">
            <w:pPr>
              <w:widowControl/>
              <w:jc w:val="left"/>
              <w:rPr>
                <w:rFonts w:ascii="宋体" w:hAnsi="宋体" w:eastAsia="宋体" w:cs="宋体"/>
                <w:color w:val="auto"/>
                <w:kern w:val="0"/>
                <w:sz w:val="20"/>
                <w:szCs w:val="20"/>
                <w:lang w:bidi="ar"/>
              </w:rPr>
            </w:pPr>
            <w:r>
              <w:rPr>
                <w:rFonts w:ascii="宋体" w:hAnsi="宋体" w:eastAsia="宋体" w:cs="宋体"/>
                <w:color w:val="auto"/>
                <w:kern w:val="0"/>
                <w:sz w:val="20"/>
                <w:szCs w:val="20"/>
                <w:lang w:bidi="ar"/>
              </w:rPr>
              <w:t>2.</w:t>
            </w:r>
            <w:r>
              <w:rPr>
                <w:rFonts w:hint="eastAsia" w:ascii="宋体" w:hAnsi="宋体" w:eastAsia="宋体" w:cs="宋体"/>
                <w:color w:val="auto"/>
                <w:kern w:val="0"/>
                <w:sz w:val="20"/>
                <w:szCs w:val="20"/>
                <w:lang w:bidi="ar"/>
              </w:rPr>
              <w:t>风险预警设置：灵活设定预警规则定义、支持预警规则的开启关闭。包括但不限于费用超低</w:t>
            </w:r>
            <w:r>
              <w:rPr>
                <w:rFonts w:ascii="宋体" w:hAnsi="宋体" w:eastAsia="宋体" w:cs="宋体"/>
                <w:color w:val="auto"/>
                <w:kern w:val="0"/>
                <w:sz w:val="20"/>
                <w:szCs w:val="20"/>
                <w:lang w:bidi="ar"/>
              </w:rPr>
              <w:t>/</w:t>
            </w:r>
            <w:r>
              <w:rPr>
                <w:rFonts w:hint="eastAsia" w:ascii="宋体" w:hAnsi="宋体" w:eastAsia="宋体" w:cs="宋体"/>
                <w:color w:val="auto"/>
                <w:kern w:val="0"/>
                <w:sz w:val="20"/>
                <w:szCs w:val="20"/>
                <w:lang w:bidi="ar"/>
              </w:rPr>
              <w:t>高病例、住院天数异常、重复入院等。</w:t>
            </w:r>
          </w:p>
        </w:tc>
      </w:tr>
      <w:tr w14:paraId="370F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2198E73">
            <w:pPr>
              <w:pStyle w:val="4"/>
              <w:rPr>
                <w:lang w:val="en-US"/>
              </w:rPr>
            </w:pPr>
          </w:p>
        </w:tc>
        <w:tc>
          <w:tcPr>
            <w:tcW w:w="1324" w:type="dxa"/>
            <w:vMerge w:val="continue"/>
            <w:vAlign w:val="center"/>
          </w:tcPr>
          <w:p w14:paraId="697AB7FA">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3F0E8BC">
            <w:pPr>
              <w:pStyle w:val="4"/>
              <w:jc w:val="left"/>
              <w:rPr>
                <w:b/>
                <w:color w:val="auto"/>
                <w:lang w:val="en-US"/>
              </w:rPr>
            </w:pPr>
            <w:r>
              <w:rPr>
                <w:rFonts w:hint="eastAsia"/>
                <w:b/>
                <w:color w:val="auto"/>
                <w:lang w:val="en-US"/>
              </w:rPr>
              <w:t>医保结算清单内涵质检能力</w:t>
            </w:r>
          </w:p>
        </w:tc>
        <w:tc>
          <w:tcPr>
            <w:tcW w:w="5182" w:type="dxa"/>
            <w:tcBorders>
              <w:top w:val="single" w:color="auto" w:sz="4" w:space="0"/>
              <w:left w:val="single" w:color="auto" w:sz="4" w:space="0"/>
              <w:bottom w:val="single" w:color="auto" w:sz="4" w:space="0"/>
              <w:right w:val="single" w:color="auto" w:sz="4" w:space="0"/>
            </w:tcBorders>
            <w:vAlign w:val="center"/>
          </w:tcPr>
          <w:p w14:paraId="6C1D31E3">
            <w:pPr>
              <w:pStyle w:val="4"/>
              <w:rPr>
                <w:lang w:val="en-US"/>
              </w:rPr>
            </w:pPr>
            <w:r>
              <w:rPr>
                <w:rFonts w:hint="eastAsia"/>
                <w:lang w:val="en-US"/>
              </w:rPr>
              <w:t>通过自然语义识别、病历精细结构化能力、医学知识图谱等人工智能技术基于获取到的多章节病历数据提供内涵质控能力：结合全病历信息，进行主诊断选择合理性、主手术选择合理性、诊断/手术漏填、诊断多写等提示，针对错误部分进行正确内容的智能推荐并提示推荐依据。</w:t>
            </w:r>
          </w:p>
        </w:tc>
      </w:tr>
      <w:tr w14:paraId="4B6C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0F1CCA6">
            <w:pPr>
              <w:pStyle w:val="4"/>
              <w:rPr>
                <w:lang w:val="en-US"/>
              </w:rPr>
            </w:pPr>
          </w:p>
        </w:tc>
        <w:tc>
          <w:tcPr>
            <w:tcW w:w="1324" w:type="dxa"/>
            <w:vMerge w:val="continue"/>
            <w:vAlign w:val="center"/>
          </w:tcPr>
          <w:p w14:paraId="0744DDB7">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7FA6E0C">
            <w:pPr>
              <w:pStyle w:val="4"/>
              <w:jc w:val="left"/>
              <w:rPr>
                <w:b/>
                <w:color w:val="auto"/>
                <w:lang w:val="en-US"/>
              </w:rPr>
            </w:pPr>
            <w:r>
              <w:rPr>
                <w:rFonts w:hint="eastAsia"/>
                <w:b/>
                <w:color w:val="auto"/>
                <w:lang w:val="en-US"/>
              </w:rPr>
              <w:t>智能编码能力</w:t>
            </w:r>
          </w:p>
        </w:tc>
        <w:tc>
          <w:tcPr>
            <w:tcW w:w="5182" w:type="dxa"/>
            <w:tcBorders>
              <w:top w:val="single" w:color="auto" w:sz="4" w:space="0"/>
              <w:left w:val="single" w:color="auto" w:sz="4" w:space="0"/>
              <w:bottom w:val="single" w:color="auto" w:sz="4" w:space="0"/>
              <w:right w:val="single" w:color="auto" w:sz="4" w:space="0"/>
            </w:tcBorders>
            <w:vAlign w:val="center"/>
          </w:tcPr>
          <w:p w14:paraId="5D5CC7E1">
            <w:pPr>
              <w:pStyle w:val="4"/>
              <w:rPr>
                <w:lang w:val="en-US"/>
              </w:rPr>
            </w:pPr>
            <w:r>
              <w:rPr>
                <w:rFonts w:hint="eastAsia"/>
                <w:lang w:val="en-US"/>
              </w:rPr>
              <w:t>基于张量图神经网络计算框架对病历信息进行快速自动</w:t>
            </w:r>
            <w:r>
              <w:rPr>
                <w:lang w:val="en-US"/>
              </w:rPr>
              <w:t>ICD</w:t>
            </w:r>
            <w:r>
              <w:rPr>
                <w:rFonts w:hint="eastAsia"/>
                <w:lang w:val="en-US"/>
              </w:rPr>
              <w:t>编码的智能系统。结合输入的病案信息诊断名称和编码对应疾病的知识，通过编辑距离计算、</w:t>
            </w:r>
            <w:r>
              <w:rPr>
                <w:lang w:val="en-US"/>
              </w:rPr>
              <w:t>TD-IDF</w:t>
            </w:r>
            <w:r>
              <w:rPr>
                <w:rFonts w:hint="eastAsia"/>
                <w:lang w:val="en-US"/>
              </w:rPr>
              <w:t>数值、特征相似度量、粗标签推进实现候选</w:t>
            </w:r>
            <w:r>
              <w:rPr>
                <w:lang w:val="en-US"/>
              </w:rPr>
              <w:t>50</w:t>
            </w:r>
            <w:r>
              <w:rPr>
                <w:rFonts w:hint="eastAsia"/>
                <w:lang w:val="en-US"/>
              </w:rPr>
              <w:t>个编码列表。将候选</w:t>
            </w:r>
            <w:r>
              <w:rPr>
                <w:lang w:val="en-US"/>
              </w:rPr>
              <w:t>50</w:t>
            </w:r>
            <w:r>
              <w:rPr>
                <w:rFonts w:hint="eastAsia"/>
                <w:lang w:val="en-US"/>
              </w:rPr>
              <w:t>个编码列表通过编码间关系图、张量图卷积、多粒度匹配、编码规则校验，实现自动编码输出。</w:t>
            </w:r>
          </w:p>
        </w:tc>
      </w:tr>
      <w:tr w14:paraId="3054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E4ABDEB">
            <w:pPr>
              <w:pStyle w:val="4"/>
              <w:rPr>
                <w:lang w:val="en-US"/>
              </w:rPr>
            </w:pPr>
          </w:p>
        </w:tc>
        <w:tc>
          <w:tcPr>
            <w:tcW w:w="1324" w:type="dxa"/>
            <w:vMerge w:val="continue"/>
            <w:vAlign w:val="center"/>
          </w:tcPr>
          <w:p w14:paraId="04649A98">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28B71DE">
            <w:pPr>
              <w:pStyle w:val="4"/>
              <w:jc w:val="left"/>
              <w:rPr>
                <w:b/>
                <w:color w:val="auto"/>
                <w:lang w:val="en-US"/>
              </w:rPr>
            </w:pPr>
            <w:r>
              <w:rPr>
                <w:rFonts w:hint="eastAsia"/>
                <w:b/>
                <w:color w:val="auto"/>
                <w:lang w:val="en-US"/>
              </w:rPr>
              <w:t>基于全病历的智能推荐分组能力</w:t>
            </w:r>
          </w:p>
        </w:tc>
        <w:tc>
          <w:tcPr>
            <w:tcW w:w="5182" w:type="dxa"/>
            <w:tcBorders>
              <w:top w:val="single" w:color="auto" w:sz="4" w:space="0"/>
              <w:left w:val="single" w:color="auto" w:sz="4" w:space="0"/>
              <w:bottom w:val="single" w:color="auto" w:sz="4" w:space="0"/>
              <w:right w:val="single" w:color="auto" w:sz="4" w:space="0"/>
            </w:tcBorders>
            <w:vAlign w:val="center"/>
          </w:tcPr>
          <w:p w14:paraId="5A9C1169">
            <w:pPr>
              <w:widowControl/>
              <w:jc w:val="left"/>
            </w:pPr>
            <w:r>
              <w:rPr>
                <w:rFonts w:hint="eastAsia"/>
              </w:rPr>
              <w:t>基于全量电子病历、医嘱费用清单及手术麻醉记录等多源异构临床数据，通过自然语言处理与医学知识图谱进行深度语义解析，实现主要诊断与主要手术/操作的智能推荐、诊断漏填</w:t>
            </w:r>
            <w:r>
              <w:t>/</w:t>
            </w:r>
            <w:r>
              <w:rPr>
                <w:rFonts w:hint="eastAsia"/>
              </w:rPr>
              <w:t>错填及编码逻辑一致性审核。依托国际疾病分类、手术操作分类等标准术语体系，结合深度学习模型与规则引擎进行智能编码映射与校验；并基于医保</w:t>
            </w:r>
            <w:r>
              <w:t>DRG</w:t>
            </w:r>
            <w:r>
              <w:rPr>
                <w:rFonts w:hint="eastAsia"/>
              </w:rPr>
              <w:t>分组器核心算法，综合患者年龄、并发症与合并症、手术级别、住院天数及医疗资源消耗等关键维度，自动完成病例分组模拟测算，推荐最优</w:t>
            </w:r>
            <w:r>
              <w:t>DRG</w:t>
            </w:r>
            <w:r>
              <w:rPr>
                <w:rFonts w:hint="eastAsia"/>
              </w:rPr>
              <w:t>入组结果及配套的诊断与操作编码组合，</w:t>
            </w:r>
            <w:r>
              <w:rPr>
                <w:rFonts w:hint="eastAsia" w:ascii="宋体" w:hAnsi="宋体" w:eastAsia="宋体" w:cs="宋体"/>
                <w:kern w:val="0"/>
                <w:sz w:val="20"/>
                <w:szCs w:val="20"/>
                <w:lang w:bidi="ar"/>
              </w:rPr>
              <w:t>并给出对应分组的支付标准等信息。</w:t>
            </w:r>
          </w:p>
        </w:tc>
      </w:tr>
      <w:tr w14:paraId="4C24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42190911">
            <w:pPr>
              <w:pStyle w:val="4"/>
              <w:rPr>
                <w:lang w:val="en-US"/>
              </w:rPr>
            </w:pPr>
            <w:r>
              <w:rPr>
                <w:rFonts w:hint="eastAsia"/>
                <w:lang w:val="en-US"/>
              </w:rPr>
              <w:t>11</w:t>
            </w:r>
          </w:p>
        </w:tc>
        <w:tc>
          <w:tcPr>
            <w:tcW w:w="1324" w:type="dxa"/>
            <w:vMerge w:val="restart"/>
            <w:vAlign w:val="center"/>
          </w:tcPr>
          <w:p w14:paraId="557DB67A">
            <w:pPr>
              <w:pStyle w:val="4"/>
              <w:jc w:val="center"/>
              <w:rPr>
                <w:b/>
                <w:bCs/>
                <w:lang w:val="en-US"/>
              </w:rPr>
            </w:pPr>
            <w:r>
              <w:rPr>
                <w:rFonts w:hint="eastAsia"/>
                <w:b/>
                <w:bCs/>
                <w:lang w:val="en-US"/>
              </w:rPr>
              <w:t>医保结算清单管理</w:t>
            </w:r>
          </w:p>
        </w:tc>
        <w:tc>
          <w:tcPr>
            <w:tcW w:w="1134" w:type="dxa"/>
            <w:tcBorders>
              <w:top w:val="single" w:color="auto" w:sz="4" w:space="0"/>
              <w:left w:val="single" w:color="auto" w:sz="4" w:space="0"/>
              <w:bottom w:val="single" w:color="auto" w:sz="4" w:space="0"/>
              <w:right w:val="single" w:color="auto" w:sz="4" w:space="0"/>
            </w:tcBorders>
            <w:vAlign w:val="center"/>
          </w:tcPr>
          <w:p w14:paraId="52CE5656">
            <w:pPr>
              <w:pStyle w:val="4"/>
              <w:jc w:val="left"/>
              <w:rPr>
                <w:b/>
                <w:lang w:val="en-US"/>
              </w:rPr>
            </w:pPr>
            <w:r>
              <w:rPr>
                <w:rFonts w:hint="eastAsia"/>
                <w:b/>
                <w:lang w:val="en-US"/>
              </w:rPr>
              <w:t>清单生成与编码转换</w:t>
            </w:r>
          </w:p>
        </w:tc>
        <w:tc>
          <w:tcPr>
            <w:tcW w:w="5182" w:type="dxa"/>
            <w:tcBorders>
              <w:top w:val="single" w:color="auto" w:sz="4" w:space="0"/>
              <w:left w:val="single" w:color="auto" w:sz="4" w:space="0"/>
              <w:bottom w:val="single" w:color="auto" w:sz="4" w:space="0"/>
              <w:right w:val="single" w:color="auto" w:sz="4" w:space="0"/>
            </w:tcBorders>
            <w:vAlign w:val="center"/>
          </w:tcPr>
          <w:p w14:paraId="50D31049">
            <w:pPr>
              <w:pStyle w:val="4"/>
              <w:rPr>
                <w:lang w:val="en-US"/>
              </w:rPr>
            </w:pPr>
            <w:r>
              <w:rPr>
                <w:rFonts w:hint="eastAsia"/>
                <w:lang w:val="en-US"/>
              </w:rPr>
              <w:t>内置标准化转换引擎，实现院内临床版</w:t>
            </w:r>
            <w:r>
              <w:rPr>
                <w:lang w:val="en-US"/>
              </w:rPr>
              <w:t>ICD</w:t>
            </w:r>
            <w:r>
              <w:rPr>
                <w:rFonts w:hint="eastAsia"/>
                <w:lang w:val="en-US"/>
              </w:rPr>
              <w:t>编码与医保标准编码自动映射和转化，可跟随卫健委及医保局等新版本动态更新；定时抓取医嘱系统数据，自动生成待核查状态的医保结算清单。</w:t>
            </w:r>
          </w:p>
        </w:tc>
      </w:tr>
      <w:tr w14:paraId="3A48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45C406C">
            <w:pPr>
              <w:pStyle w:val="4"/>
              <w:rPr>
                <w:lang w:val="en-US"/>
              </w:rPr>
            </w:pPr>
          </w:p>
        </w:tc>
        <w:tc>
          <w:tcPr>
            <w:tcW w:w="1324" w:type="dxa"/>
            <w:vMerge w:val="continue"/>
            <w:vAlign w:val="center"/>
          </w:tcPr>
          <w:p w14:paraId="52203464">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3886D345">
            <w:pPr>
              <w:pStyle w:val="4"/>
              <w:jc w:val="left"/>
              <w:rPr>
                <w:b/>
                <w:color w:val="auto"/>
                <w:lang w:val="en-US"/>
              </w:rPr>
            </w:pPr>
            <w:r>
              <w:rPr>
                <w:rFonts w:hint="eastAsia"/>
                <w:b/>
                <w:color w:val="auto"/>
                <w:lang w:val="en-US"/>
              </w:rPr>
              <w:t>在线编辑</w:t>
            </w:r>
          </w:p>
        </w:tc>
        <w:tc>
          <w:tcPr>
            <w:tcW w:w="5182" w:type="dxa"/>
            <w:tcBorders>
              <w:top w:val="single" w:color="auto" w:sz="4" w:space="0"/>
              <w:left w:val="single" w:color="auto" w:sz="4" w:space="0"/>
              <w:bottom w:val="single" w:color="auto" w:sz="4" w:space="0"/>
              <w:right w:val="single" w:color="auto" w:sz="4" w:space="0"/>
            </w:tcBorders>
            <w:vAlign w:val="center"/>
          </w:tcPr>
          <w:p w14:paraId="2763C9F8">
            <w:pPr>
              <w:pStyle w:val="4"/>
              <w:rPr>
                <w:lang w:val="en-US"/>
              </w:rPr>
            </w:pPr>
            <w:r>
              <w:rPr>
                <w:rFonts w:hint="eastAsia"/>
                <w:lang w:val="en-US"/>
              </w:rPr>
              <w:t>支持清单内容调整，可灵活修改主次诊断、排序手术操作。</w:t>
            </w:r>
          </w:p>
        </w:tc>
      </w:tr>
      <w:tr w14:paraId="1F00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88E6A5D">
            <w:pPr>
              <w:pStyle w:val="4"/>
              <w:rPr>
                <w:lang w:val="en-US"/>
              </w:rPr>
            </w:pPr>
          </w:p>
        </w:tc>
        <w:tc>
          <w:tcPr>
            <w:tcW w:w="1324" w:type="dxa"/>
            <w:vMerge w:val="continue"/>
            <w:vAlign w:val="center"/>
          </w:tcPr>
          <w:p w14:paraId="0A936D6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54D9709F">
            <w:pPr>
              <w:pStyle w:val="4"/>
              <w:jc w:val="left"/>
              <w:rPr>
                <w:b/>
                <w:color w:val="auto"/>
                <w:lang w:val="en-US"/>
              </w:rPr>
            </w:pPr>
            <w:r>
              <w:rPr>
                <w:rFonts w:hint="eastAsia"/>
                <w:b/>
                <w:color w:val="auto"/>
                <w:lang w:val="en-US"/>
              </w:rPr>
              <w:t>清单内涵质控与分组</w:t>
            </w:r>
          </w:p>
        </w:tc>
        <w:tc>
          <w:tcPr>
            <w:tcW w:w="5182" w:type="dxa"/>
            <w:tcBorders>
              <w:top w:val="single" w:color="auto" w:sz="4" w:space="0"/>
              <w:left w:val="single" w:color="auto" w:sz="4" w:space="0"/>
              <w:bottom w:val="single" w:color="auto" w:sz="4" w:space="0"/>
              <w:right w:val="single" w:color="auto" w:sz="4" w:space="0"/>
            </w:tcBorders>
            <w:vAlign w:val="center"/>
          </w:tcPr>
          <w:p w14:paraId="34C259EE">
            <w:pPr>
              <w:pStyle w:val="4"/>
              <w:rPr>
                <w:lang w:val="en-US"/>
              </w:rPr>
            </w:pPr>
            <w:r>
              <w:rPr>
                <w:rFonts w:hint="eastAsia"/>
                <w:lang w:val="en-US"/>
              </w:rPr>
              <w:t>依据医保结算清单填写规范，对清单193项字段开展自动校验，排查编码问题、主诊断错误等问题；基于清单数据完成预分组，展示入组结果、支付标准、盈亏差异与风险类型。</w:t>
            </w:r>
          </w:p>
        </w:tc>
      </w:tr>
      <w:tr w14:paraId="772D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DF67824">
            <w:pPr>
              <w:pStyle w:val="4"/>
              <w:rPr>
                <w:lang w:val="en-US"/>
              </w:rPr>
            </w:pPr>
          </w:p>
        </w:tc>
        <w:tc>
          <w:tcPr>
            <w:tcW w:w="1324" w:type="dxa"/>
            <w:vMerge w:val="continue"/>
            <w:vAlign w:val="center"/>
          </w:tcPr>
          <w:p w14:paraId="736C05AB">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222766C">
            <w:pPr>
              <w:pStyle w:val="4"/>
              <w:jc w:val="left"/>
              <w:rPr>
                <w:b/>
                <w:color w:val="auto"/>
                <w:lang w:val="en-US"/>
              </w:rPr>
            </w:pPr>
            <w:r>
              <w:rPr>
                <w:rFonts w:hint="eastAsia"/>
                <w:b/>
                <w:color w:val="auto"/>
                <w:lang w:val="en-US"/>
              </w:rPr>
              <w:t>复核流程</w:t>
            </w:r>
          </w:p>
        </w:tc>
        <w:tc>
          <w:tcPr>
            <w:tcW w:w="5182" w:type="dxa"/>
            <w:tcBorders>
              <w:top w:val="single" w:color="auto" w:sz="4" w:space="0"/>
              <w:left w:val="single" w:color="auto" w:sz="4" w:space="0"/>
              <w:bottom w:val="single" w:color="auto" w:sz="4" w:space="0"/>
              <w:right w:val="single" w:color="auto" w:sz="4" w:space="0"/>
            </w:tcBorders>
            <w:vAlign w:val="center"/>
          </w:tcPr>
          <w:p w14:paraId="4F25C61B">
            <w:pPr>
              <w:pStyle w:val="4"/>
              <w:rPr>
                <w:lang w:val="en-US"/>
              </w:rPr>
            </w:pPr>
            <w:r>
              <w:rPr>
                <w:rFonts w:hint="eastAsia"/>
                <w:lang w:val="en-US"/>
              </w:rPr>
              <w:t>科室可直接修改清单或将问题退回医师进行修改，审核无误后提交至医保科进行进一步质控。</w:t>
            </w:r>
          </w:p>
        </w:tc>
      </w:tr>
      <w:tr w14:paraId="5AC7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35701E7">
            <w:pPr>
              <w:pStyle w:val="4"/>
              <w:rPr>
                <w:lang w:val="en-US"/>
              </w:rPr>
            </w:pPr>
          </w:p>
        </w:tc>
        <w:tc>
          <w:tcPr>
            <w:tcW w:w="1324" w:type="dxa"/>
            <w:vMerge w:val="continue"/>
            <w:vAlign w:val="center"/>
          </w:tcPr>
          <w:p w14:paraId="2BF0BDD5">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DAF4FB9">
            <w:pPr>
              <w:pStyle w:val="4"/>
              <w:jc w:val="left"/>
              <w:rPr>
                <w:b/>
                <w:color w:val="auto"/>
                <w:lang w:val="en-US"/>
              </w:rPr>
            </w:pPr>
            <w:r>
              <w:rPr>
                <w:rFonts w:hint="eastAsia"/>
                <w:b/>
                <w:color w:val="auto"/>
                <w:lang w:val="en-US"/>
              </w:rPr>
              <w:t>异常病例监管</w:t>
            </w:r>
          </w:p>
        </w:tc>
        <w:tc>
          <w:tcPr>
            <w:tcW w:w="5182" w:type="dxa"/>
            <w:tcBorders>
              <w:top w:val="single" w:color="auto" w:sz="4" w:space="0"/>
              <w:left w:val="single" w:color="auto" w:sz="4" w:space="0"/>
              <w:bottom w:val="single" w:color="auto" w:sz="4" w:space="0"/>
              <w:right w:val="single" w:color="auto" w:sz="4" w:space="0"/>
            </w:tcBorders>
            <w:vAlign w:val="center"/>
          </w:tcPr>
          <w:p w14:paraId="599240A6">
            <w:pPr>
              <w:pStyle w:val="4"/>
              <w:rPr>
                <w:lang w:val="en-US"/>
              </w:rPr>
            </w:pPr>
            <w:r>
              <w:rPr>
                <w:rFonts w:hint="eastAsia"/>
                <w:lang w:val="en-US"/>
              </w:rPr>
              <w:t>自动监测异常病历，涵盖费用极端异常、住院时长异常、不合理收治等病例，支持查看入组信息、费用、住院日、手术操作等相关资料。</w:t>
            </w:r>
          </w:p>
        </w:tc>
      </w:tr>
      <w:tr w14:paraId="1A6B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28AA02C">
            <w:pPr>
              <w:pStyle w:val="4"/>
              <w:rPr>
                <w:lang w:val="en-US"/>
              </w:rPr>
            </w:pPr>
          </w:p>
        </w:tc>
        <w:tc>
          <w:tcPr>
            <w:tcW w:w="1324" w:type="dxa"/>
            <w:vMerge w:val="continue"/>
            <w:vAlign w:val="center"/>
          </w:tcPr>
          <w:p w14:paraId="3B2F6B3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531BFEE">
            <w:pPr>
              <w:pStyle w:val="4"/>
              <w:jc w:val="left"/>
              <w:rPr>
                <w:b/>
                <w:color w:val="auto"/>
                <w:lang w:val="en-US"/>
              </w:rPr>
            </w:pPr>
            <w:r>
              <w:rPr>
                <w:rFonts w:hint="eastAsia"/>
                <w:b/>
                <w:color w:val="auto"/>
                <w:lang w:val="en-US"/>
              </w:rPr>
              <w:t>清单上报与结算核对</w:t>
            </w:r>
          </w:p>
        </w:tc>
        <w:tc>
          <w:tcPr>
            <w:tcW w:w="5182" w:type="dxa"/>
            <w:tcBorders>
              <w:top w:val="single" w:color="auto" w:sz="4" w:space="0"/>
              <w:left w:val="single" w:color="auto" w:sz="4" w:space="0"/>
              <w:bottom w:val="single" w:color="auto" w:sz="4" w:space="0"/>
              <w:right w:val="single" w:color="auto" w:sz="4" w:space="0"/>
            </w:tcBorders>
            <w:vAlign w:val="center"/>
          </w:tcPr>
          <w:p w14:paraId="009CCCDB">
            <w:pPr>
              <w:pStyle w:val="4"/>
              <w:rPr>
                <w:lang w:val="en-US"/>
              </w:rPr>
            </w:pPr>
            <w:r>
              <w:rPr>
                <w:rFonts w:hint="eastAsia"/>
                <w:lang w:val="en-US"/>
              </w:rPr>
              <w:t>对接医保平台接口，批量上报审核完成的结算清单；支持导入医保局下发实际结算数据，对比分组结果，识别待申诉病例并标记。</w:t>
            </w:r>
          </w:p>
        </w:tc>
      </w:tr>
      <w:tr w14:paraId="40BA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C24FDEE">
            <w:pPr>
              <w:pStyle w:val="4"/>
              <w:rPr>
                <w:lang w:val="en-US"/>
              </w:rPr>
            </w:pPr>
          </w:p>
        </w:tc>
        <w:tc>
          <w:tcPr>
            <w:tcW w:w="1324" w:type="dxa"/>
            <w:vMerge w:val="continue"/>
            <w:vAlign w:val="center"/>
          </w:tcPr>
          <w:p w14:paraId="222E5C08">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78D6274">
            <w:pPr>
              <w:pStyle w:val="4"/>
              <w:jc w:val="left"/>
              <w:rPr>
                <w:b/>
                <w:color w:val="auto"/>
                <w:lang w:val="en-US"/>
              </w:rPr>
            </w:pPr>
            <w:r>
              <w:rPr>
                <w:rFonts w:hint="eastAsia"/>
                <w:b/>
                <w:color w:val="auto"/>
                <w:lang w:val="en-US"/>
              </w:rPr>
              <w:t>清单质检规则配置</w:t>
            </w:r>
          </w:p>
        </w:tc>
        <w:tc>
          <w:tcPr>
            <w:tcW w:w="5182" w:type="dxa"/>
            <w:tcBorders>
              <w:top w:val="single" w:color="auto" w:sz="4" w:space="0"/>
              <w:left w:val="single" w:color="auto" w:sz="4" w:space="0"/>
              <w:bottom w:val="single" w:color="auto" w:sz="4" w:space="0"/>
              <w:right w:val="single" w:color="auto" w:sz="4" w:space="0"/>
            </w:tcBorders>
            <w:vAlign w:val="center"/>
          </w:tcPr>
          <w:p w14:paraId="3606DF89">
            <w:pPr>
              <w:widowControl/>
              <w:jc w:val="left"/>
              <w:rPr>
                <w:color w:val="auto"/>
              </w:rPr>
            </w:pPr>
            <w:r>
              <w:rPr>
                <w:rFonts w:hint="eastAsia" w:ascii="Times New Roman" w:hAnsi="Times New Roman"/>
                <w:color w:val="auto"/>
                <w:kern w:val="0"/>
                <w:sz w:val="20"/>
                <w:szCs w:val="24"/>
              </w:rPr>
              <w:t>系统支持按机构、科室配置质检项；并支持灵活维护质检规则，包括对质检项停用启用，规则分类、应用场景自定义等。</w:t>
            </w:r>
          </w:p>
        </w:tc>
      </w:tr>
      <w:tr w14:paraId="20CC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6850AF1">
            <w:pPr>
              <w:pStyle w:val="4"/>
              <w:rPr>
                <w:lang w:val="en-US"/>
              </w:rPr>
            </w:pPr>
          </w:p>
        </w:tc>
        <w:tc>
          <w:tcPr>
            <w:tcW w:w="1324" w:type="dxa"/>
            <w:vMerge w:val="continue"/>
            <w:vAlign w:val="center"/>
          </w:tcPr>
          <w:p w14:paraId="7901A84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FA26943">
            <w:pPr>
              <w:pStyle w:val="4"/>
              <w:jc w:val="left"/>
              <w:rPr>
                <w:b/>
                <w:color w:val="auto"/>
                <w:lang w:val="en-US"/>
              </w:rPr>
            </w:pPr>
            <w:r>
              <w:rPr>
                <w:rFonts w:hint="eastAsia"/>
                <w:b/>
                <w:color w:val="auto"/>
                <w:lang w:val="en-US"/>
              </w:rPr>
              <w:t>数据统计与查询</w:t>
            </w:r>
          </w:p>
        </w:tc>
        <w:tc>
          <w:tcPr>
            <w:tcW w:w="5182" w:type="dxa"/>
            <w:tcBorders>
              <w:top w:val="single" w:color="auto" w:sz="4" w:space="0"/>
              <w:left w:val="single" w:color="auto" w:sz="4" w:space="0"/>
              <w:bottom w:val="single" w:color="auto" w:sz="4" w:space="0"/>
              <w:right w:val="single" w:color="auto" w:sz="4" w:space="0"/>
            </w:tcBorders>
            <w:vAlign w:val="center"/>
          </w:tcPr>
          <w:p w14:paraId="24AD20B5">
            <w:pPr>
              <w:pStyle w:val="4"/>
              <w:rPr>
                <w:lang w:val="en-US"/>
              </w:rPr>
            </w:pPr>
            <w:r>
              <w:rPr>
                <w:rFonts w:hint="eastAsia"/>
                <w:lang w:val="en-US"/>
              </w:rPr>
              <w:t>支持多条件检索清单信息，导出质控问题清单，统计各类错误分布、科室质控情况，直观展示分组状态、费用构成、结算比对结果。</w:t>
            </w:r>
          </w:p>
        </w:tc>
      </w:tr>
      <w:tr w14:paraId="3C88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32799A8">
            <w:pPr>
              <w:pStyle w:val="4"/>
              <w:rPr>
                <w:lang w:val="en-US"/>
              </w:rPr>
            </w:pPr>
          </w:p>
        </w:tc>
        <w:tc>
          <w:tcPr>
            <w:tcW w:w="1324" w:type="dxa"/>
            <w:vMerge w:val="continue"/>
            <w:vAlign w:val="center"/>
          </w:tcPr>
          <w:p w14:paraId="013EB92C">
            <w:pPr>
              <w:widowControl/>
              <w:jc w:val="left"/>
              <w:rPr>
                <w:b/>
                <w:bCs/>
                <w:color w:val="auto"/>
              </w:rPr>
            </w:pPr>
          </w:p>
        </w:tc>
        <w:tc>
          <w:tcPr>
            <w:tcW w:w="1134" w:type="dxa"/>
            <w:tcBorders>
              <w:top w:val="single" w:color="auto" w:sz="4" w:space="0"/>
              <w:left w:val="single" w:color="auto" w:sz="4" w:space="0"/>
              <w:bottom w:val="single" w:color="auto" w:sz="4" w:space="0"/>
              <w:right w:val="single" w:color="auto" w:sz="4" w:space="0"/>
            </w:tcBorders>
            <w:vAlign w:val="center"/>
          </w:tcPr>
          <w:p w14:paraId="5E52791E">
            <w:pPr>
              <w:pStyle w:val="4"/>
              <w:jc w:val="left"/>
              <w:rPr>
                <w:b/>
                <w:color w:val="auto"/>
                <w:lang w:val="en-US"/>
              </w:rPr>
            </w:pPr>
            <w:r>
              <w:rPr>
                <w:rFonts w:hint="eastAsia"/>
                <w:b/>
                <w:color w:val="auto"/>
                <w:lang w:val="en-US"/>
              </w:rPr>
              <w:t>自动上报</w:t>
            </w:r>
          </w:p>
        </w:tc>
        <w:tc>
          <w:tcPr>
            <w:tcW w:w="5182" w:type="dxa"/>
            <w:tcBorders>
              <w:top w:val="single" w:color="auto" w:sz="4" w:space="0"/>
              <w:left w:val="single" w:color="auto" w:sz="4" w:space="0"/>
              <w:bottom w:val="single" w:color="auto" w:sz="4" w:space="0"/>
              <w:right w:val="single" w:color="auto" w:sz="4" w:space="0"/>
            </w:tcBorders>
            <w:vAlign w:val="center"/>
          </w:tcPr>
          <w:p w14:paraId="1CFD4D37">
            <w:pPr>
              <w:widowControl/>
              <w:jc w:val="left"/>
              <w:rPr>
                <w:color w:val="auto"/>
              </w:rPr>
            </w:pPr>
            <w:r>
              <w:rPr>
                <w:rFonts w:hint="eastAsia" w:ascii="宋体" w:hAnsi="宋体" w:eastAsia="宋体" w:cs="宋体"/>
                <w:color w:val="auto"/>
                <w:kern w:val="0"/>
                <w:sz w:val="20"/>
                <w:szCs w:val="20"/>
                <w:lang w:bidi="ar"/>
              </w:rPr>
              <w:t>支持对接医保局端</w:t>
            </w:r>
            <w:r>
              <w:rPr>
                <w:rFonts w:ascii="宋体" w:hAnsi="宋体" w:eastAsia="宋体" w:cs="宋体"/>
                <w:color w:val="auto"/>
                <w:kern w:val="0"/>
                <w:sz w:val="20"/>
                <w:szCs w:val="20"/>
                <w:lang w:bidi="ar"/>
              </w:rPr>
              <w:t xml:space="preserve"> 4101/4101A（医疗保障基金结算清单信息上传）接口，将质检后的结算清单自动执行上报任务，上报所有已提交（确认）或最后一级审核人员审核通过的清单</w:t>
            </w:r>
          </w:p>
        </w:tc>
      </w:tr>
      <w:tr w14:paraId="3676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9E9063F">
            <w:pPr>
              <w:pStyle w:val="4"/>
              <w:rPr>
                <w:lang w:val="en-US"/>
              </w:rPr>
            </w:pPr>
          </w:p>
        </w:tc>
        <w:tc>
          <w:tcPr>
            <w:tcW w:w="1324" w:type="dxa"/>
            <w:vMerge w:val="continue"/>
            <w:vAlign w:val="center"/>
          </w:tcPr>
          <w:p w14:paraId="0BA1802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DBDDC70">
            <w:pPr>
              <w:pStyle w:val="4"/>
              <w:jc w:val="left"/>
              <w:rPr>
                <w:b/>
                <w:color w:val="auto"/>
                <w:lang w:val="en-US"/>
              </w:rPr>
            </w:pPr>
            <w:r>
              <w:rPr>
                <w:rFonts w:hint="eastAsia"/>
                <w:b/>
                <w:color w:val="auto"/>
                <w:lang w:val="en-US"/>
              </w:rPr>
              <w:t>手动上报</w:t>
            </w:r>
          </w:p>
        </w:tc>
        <w:tc>
          <w:tcPr>
            <w:tcW w:w="5182" w:type="dxa"/>
            <w:tcBorders>
              <w:top w:val="single" w:color="auto" w:sz="4" w:space="0"/>
              <w:left w:val="single" w:color="auto" w:sz="4" w:space="0"/>
              <w:bottom w:val="single" w:color="auto" w:sz="4" w:space="0"/>
              <w:right w:val="single" w:color="auto" w:sz="4" w:space="0"/>
            </w:tcBorders>
            <w:vAlign w:val="center"/>
          </w:tcPr>
          <w:p w14:paraId="07BE9C18">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支持对自动上传失败的结算清单进行手动上报。</w:t>
            </w:r>
          </w:p>
        </w:tc>
      </w:tr>
      <w:tr w14:paraId="670B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B2DFE15">
            <w:pPr>
              <w:pStyle w:val="4"/>
              <w:rPr>
                <w:lang w:val="en-US"/>
              </w:rPr>
            </w:pPr>
          </w:p>
        </w:tc>
        <w:tc>
          <w:tcPr>
            <w:tcW w:w="1324" w:type="dxa"/>
            <w:vMerge w:val="continue"/>
            <w:vAlign w:val="center"/>
          </w:tcPr>
          <w:p w14:paraId="7E7930EF">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A5741B4">
            <w:pPr>
              <w:pStyle w:val="4"/>
              <w:jc w:val="left"/>
              <w:rPr>
                <w:b/>
                <w:color w:val="auto"/>
                <w:lang w:val="en-US"/>
              </w:rPr>
            </w:pPr>
            <w:r>
              <w:rPr>
                <w:rFonts w:hint="eastAsia"/>
                <w:b/>
                <w:color w:val="auto"/>
                <w:lang w:val="en-US"/>
              </w:rPr>
              <w:t>上报查看</w:t>
            </w:r>
          </w:p>
        </w:tc>
        <w:tc>
          <w:tcPr>
            <w:tcW w:w="5182" w:type="dxa"/>
            <w:tcBorders>
              <w:top w:val="single" w:color="auto" w:sz="4" w:space="0"/>
              <w:left w:val="single" w:color="auto" w:sz="4" w:space="0"/>
              <w:bottom w:val="single" w:color="auto" w:sz="4" w:space="0"/>
              <w:right w:val="single" w:color="auto" w:sz="4" w:space="0"/>
            </w:tcBorders>
            <w:vAlign w:val="center"/>
          </w:tcPr>
          <w:p w14:paraId="50805A0D">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支持统一查看自定义时间范围内的结算清单上报和对应诊断</w:t>
            </w:r>
            <w:r>
              <w:rPr>
                <w:rFonts w:ascii="宋体" w:hAnsi="宋体" w:eastAsia="宋体" w:cs="宋体"/>
                <w:color w:val="auto"/>
                <w:kern w:val="0"/>
                <w:sz w:val="20"/>
                <w:szCs w:val="20"/>
                <w:lang w:bidi="ar"/>
              </w:rPr>
              <w:t>/手术的统计情况，及时发现数据问题。</w:t>
            </w:r>
          </w:p>
        </w:tc>
      </w:tr>
      <w:tr w14:paraId="6636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F22CA90">
            <w:pPr>
              <w:pStyle w:val="4"/>
              <w:rPr>
                <w:lang w:val="en-US"/>
              </w:rPr>
            </w:pPr>
          </w:p>
        </w:tc>
        <w:tc>
          <w:tcPr>
            <w:tcW w:w="1324" w:type="dxa"/>
            <w:vMerge w:val="continue"/>
            <w:vAlign w:val="center"/>
          </w:tcPr>
          <w:p w14:paraId="34C1C8B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93EA6A6">
            <w:pPr>
              <w:pStyle w:val="4"/>
              <w:jc w:val="left"/>
              <w:rPr>
                <w:b/>
                <w:color w:val="auto"/>
                <w:lang w:val="en-US"/>
              </w:rPr>
            </w:pPr>
            <w:r>
              <w:rPr>
                <w:rFonts w:hint="eastAsia"/>
                <w:b/>
                <w:color w:val="auto"/>
                <w:lang w:val="en-US"/>
              </w:rPr>
              <w:t>上报管理</w:t>
            </w:r>
          </w:p>
        </w:tc>
        <w:tc>
          <w:tcPr>
            <w:tcW w:w="5182" w:type="dxa"/>
            <w:tcBorders>
              <w:top w:val="single" w:color="auto" w:sz="4" w:space="0"/>
              <w:left w:val="single" w:color="auto" w:sz="4" w:space="0"/>
              <w:bottom w:val="single" w:color="auto" w:sz="4" w:space="0"/>
              <w:right w:val="single" w:color="auto" w:sz="4" w:space="0"/>
            </w:tcBorders>
            <w:vAlign w:val="center"/>
          </w:tcPr>
          <w:p w14:paraId="438BD352">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提供可视化界面，方便院端对上报情况进行管理。</w:t>
            </w:r>
          </w:p>
        </w:tc>
      </w:tr>
      <w:tr w14:paraId="50EB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D7BA601">
            <w:pPr>
              <w:pStyle w:val="4"/>
              <w:rPr>
                <w:lang w:val="en-US"/>
              </w:rPr>
            </w:pPr>
          </w:p>
        </w:tc>
        <w:tc>
          <w:tcPr>
            <w:tcW w:w="1324" w:type="dxa"/>
            <w:vMerge w:val="continue"/>
            <w:vAlign w:val="center"/>
          </w:tcPr>
          <w:p w14:paraId="6B9C6D5F">
            <w:pPr>
              <w:widowControl/>
              <w:jc w:val="left"/>
              <w:rPr>
                <w:b/>
                <w:bCs/>
                <w:color w:val="auto"/>
              </w:rPr>
            </w:pPr>
          </w:p>
        </w:tc>
        <w:tc>
          <w:tcPr>
            <w:tcW w:w="1134" w:type="dxa"/>
            <w:tcBorders>
              <w:top w:val="single" w:color="auto" w:sz="4" w:space="0"/>
              <w:left w:val="single" w:color="auto" w:sz="4" w:space="0"/>
              <w:bottom w:val="single" w:color="auto" w:sz="4" w:space="0"/>
              <w:right w:val="single" w:color="auto" w:sz="4" w:space="0"/>
            </w:tcBorders>
            <w:vAlign w:val="center"/>
          </w:tcPr>
          <w:p w14:paraId="6B1CBCC3">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在院风</w:t>
            </w:r>
            <w:r>
              <w:rPr>
                <w:rFonts w:ascii="Times New Roman" w:hAnsi="Times New Roman"/>
                <w:b/>
                <w:color w:val="auto"/>
                <w:kern w:val="0"/>
                <w:sz w:val="20"/>
                <w:szCs w:val="24"/>
              </w:rPr>
              <w:t xml:space="preserve"> </w:t>
            </w:r>
          </w:p>
          <w:p w14:paraId="48826A5E">
            <w:pPr>
              <w:widowControl/>
              <w:jc w:val="left"/>
              <w:rPr>
                <w:b/>
                <w:color w:val="auto"/>
              </w:rPr>
            </w:pPr>
            <w:r>
              <w:rPr>
                <w:rFonts w:hint="eastAsia" w:ascii="Times New Roman" w:hAnsi="Times New Roman"/>
                <w:b/>
                <w:color w:val="auto"/>
                <w:kern w:val="0"/>
                <w:sz w:val="20"/>
                <w:szCs w:val="24"/>
              </w:rPr>
              <w:t>险监控</w:t>
            </w:r>
          </w:p>
        </w:tc>
        <w:tc>
          <w:tcPr>
            <w:tcW w:w="5182" w:type="dxa"/>
            <w:tcBorders>
              <w:top w:val="single" w:color="auto" w:sz="4" w:space="0"/>
              <w:left w:val="single" w:color="auto" w:sz="4" w:space="0"/>
              <w:bottom w:val="single" w:color="auto" w:sz="4" w:space="0"/>
              <w:right w:val="single" w:color="auto" w:sz="4" w:space="0"/>
            </w:tcBorders>
            <w:vAlign w:val="center"/>
          </w:tcPr>
          <w:p w14:paraId="4E3776C8">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w:t>
            </w:r>
            <w:r>
              <w:rPr>
                <w:rFonts w:ascii="宋体" w:hAnsi="宋体" w:eastAsia="宋体" w:cs="宋体"/>
                <w:color w:val="auto"/>
                <w:kern w:val="0"/>
                <w:sz w:val="20"/>
                <w:szCs w:val="20"/>
                <w:lang w:bidi="ar"/>
              </w:rPr>
              <w:t xml:space="preserve">1）在院病例监控：针对在院患者进行风险监控，针对风险类别对结算有影响的风险占比及给出关联病例列表，支持查看分组及预测结算信息、费用明细并关联历史住院记录。 </w:t>
            </w:r>
          </w:p>
          <w:p w14:paraId="40D4C04E">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w:t>
            </w:r>
            <w:r>
              <w:rPr>
                <w:rFonts w:ascii="宋体" w:hAnsi="宋体" w:eastAsia="宋体" w:cs="宋体"/>
                <w:color w:val="auto"/>
                <w:kern w:val="0"/>
                <w:sz w:val="20"/>
                <w:szCs w:val="20"/>
                <w:lang w:bidi="ar"/>
              </w:rPr>
              <w:t xml:space="preserve">2）出院但未提交病例监控：针对出院但未提交患者进行风险监控，针对风险类别对结算有影响的风险占比及给出关联病例列表，支持查看分组及预测结算信息、费用明细并关联历史 </w:t>
            </w:r>
          </w:p>
          <w:p w14:paraId="3CE24E85">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住院记录。方便科主任等有针对性地查房，根据</w:t>
            </w:r>
            <w:r>
              <w:rPr>
                <w:rFonts w:ascii="宋体" w:hAnsi="宋体" w:eastAsia="宋体" w:cs="宋体"/>
                <w:color w:val="auto"/>
                <w:kern w:val="0"/>
                <w:sz w:val="20"/>
                <w:szCs w:val="20"/>
                <w:lang w:bidi="ar"/>
              </w:rPr>
              <w:t xml:space="preserve"> </w:t>
            </w:r>
            <w:r>
              <w:rPr>
                <w:rFonts w:hint="eastAsia" w:ascii="宋体" w:hAnsi="宋体" w:eastAsia="宋体" w:cs="宋体"/>
                <w:color w:val="auto"/>
                <w:kern w:val="0"/>
                <w:sz w:val="20"/>
                <w:szCs w:val="20"/>
                <w:lang w:bidi="ar"/>
              </w:rPr>
              <w:t>系统设置的预警条件，按不同维度统计处于不同预警状态的病历，让院长、院级其他管理部门以及科主任的查房更具有针对性。</w:t>
            </w:r>
          </w:p>
        </w:tc>
      </w:tr>
      <w:tr w14:paraId="3939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8CB00DD">
            <w:pPr>
              <w:pStyle w:val="4"/>
              <w:rPr>
                <w:lang w:val="en-US"/>
              </w:rPr>
            </w:pPr>
          </w:p>
        </w:tc>
        <w:tc>
          <w:tcPr>
            <w:tcW w:w="1324" w:type="dxa"/>
            <w:vMerge w:val="continue"/>
            <w:vAlign w:val="center"/>
          </w:tcPr>
          <w:p w14:paraId="4EED023D">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57BC3D6">
            <w:pPr>
              <w:widowControl/>
              <w:jc w:val="left"/>
              <w:rPr>
                <w:rFonts w:ascii="Times New Roman" w:hAnsi="Times New Roman"/>
                <w:b/>
                <w:color w:val="auto"/>
                <w:kern w:val="0"/>
                <w:sz w:val="20"/>
                <w:szCs w:val="24"/>
              </w:rPr>
            </w:pPr>
            <w:r>
              <w:rPr>
                <w:rFonts w:ascii="Times New Roman" w:hAnsi="Times New Roman"/>
                <w:b/>
                <w:color w:val="auto"/>
                <w:kern w:val="0"/>
                <w:sz w:val="20"/>
                <w:szCs w:val="24"/>
              </w:rPr>
              <w:t>DRG</w:t>
            </w:r>
            <w:r>
              <w:rPr>
                <w:rFonts w:hint="eastAsia" w:ascii="Times New Roman" w:hAnsi="Times New Roman"/>
                <w:b/>
                <w:color w:val="auto"/>
                <w:kern w:val="0"/>
                <w:sz w:val="20"/>
                <w:szCs w:val="24"/>
              </w:rPr>
              <w:t>结算</w:t>
            </w:r>
            <w:r>
              <w:rPr>
                <w:rFonts w:ascii="Times New Roman" w:hAnsi="Times New Roman"/>
                <w:b/>
                <w:color w:val="auto"/>
                <w:kern w:val="0"/>
                <w:sz w:val="20"/>
                <w:szCs w:val="24"/>
              </w:rPr>
              <w:t xml:space="preserve"> </w:t>
            </w:r>
          </w:p>
          <w:p w14:paraId="2814D53D">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风险预警</w:t>
            </w:r>
          </w:p>
        </w:tc>
        <w:tc>
          <w:tcPr>
            <w:tcW w:w="5182" w:type="dxa"/>
            <w:tcBorders>
              <w:top w:val="single" w:color="auto" w:sz="4" w:space="0"/>
              <w:left w:val="single" w:color="auto" w:sz="4" w:space="0"/>
              <w:bottom w:val="single" w:color="auto" w:sz="4" w:space="0"/>
              <w:right w:val="single" w:color="auto" w:sz="4" w:space="0"/>
            </w:tcBorders>
            <w:vAlign w:val="center"/>
          </w:tcPr>
          <w:p w14:paraId="42455F99">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w:t>
            </w:r>
            <w:r>
              <w:rPr>
                <w:rFonts w:ascii="宋体" w:hAnsi="宋体" w:eastAsia="宋体" w:cs="宋体"/>
                <w:color w:val="auto"/>
                <w:kern w:val="0"/>
                <w:sz w:val="20"/>
                <w:szCs w:val="20"/>
                <w:lang w:bidi="ar"/>
              </w:rPr>
              <w:t xml:space="preserve">1）对院内出现的异常患者病历进行监管与分析结合入组和支付标准，给出影响结算的风险预警。如：手术和操作不匹配，费用超高病例、费用超低病例、低风险死亡、住院天数异常、编码 </w:t>
            </w:r>
          </w:p>
          <w:p w14:paraId="7A7153A2">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未识别、</w:t>
            </w:r>
            <w:r>
              <w:rPr>
                <w:rFonts w:ascii="宋体" w:hAnsi="宋体" w:eastAsia="宋体" w:cs="宋体"/>
                <w:color w:val="auto"/>
                <w:kern w:val="0"/>
                <w:sz w:val="20"/>
                <w:szCs w:val="20"/>
                <w:lang w:bidi="ar"/>
              </w:rPr>
              <w:t xml:space="preserve">0000 组、未入组等风险提示。支持预警规则动态开启关闭、规则参数调整，支持预警阈值配置。 </w:t>
            </w:r>
          </w:p>
          <w:p w14:paraId="68A272FF">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w:t>
            </w:r>
            <w:r>
              <w:rPr>
                <w:rFonts w:ascii="宋体" w:hAnsi="宋体" w:eastAsia="宋体" w:cs="宋体"/>
                <w:color w:val="auto"/>
                <w:kern w:val="0"/>
                <w:sz w:val="20"/>
                <w:szCs w:val="20"/>
                <w:lang w:bidi="ar"/>
              </w:rPr>
              <w:t xml:space="preserve">2）支持快捷查询相关风险病案，并查看病案详情。 </w:t>
            </w:r>
          </w:p>
          <w:p w14:paraId="3B22984C">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w:t>
            </w:r>
            <w:r>
              <w:rPr>
                <w:rFonts w:ascii="宋体" w:hAnsi="宋体" w:eastAsia="宋体" w:cs="宋体"/>
                <w:color w:val="auto"/>
                <w:kern w:val="0"/>
                <w:sz w:val="20"/>
                <w:szCs w:val="20"/>
                <w:lang w:bidi="ar"/>
              </w:rPr>
              <w:t>3）可按不同时间维度、科室、医生、参保类型等多种查询条件，查询所有风险病例的入组情况、诊断、手术操作等信息并支持查看病案详情。</w:t>
            </w:r>
          </w:p>
        </w:tc>
      </w:tr>
      <w:tr w14:paraId="05E5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CD16925">
            <w:pPr>
              <w:pStyle w:val="4"/>
              <w:rPr>
                <w:lang w:val="en-US"/>
              </w:rPr>
            </w:pPr>
          </w:p>
        </w:tc>
        <w:tc>
          <w:tcPr>
            <w:tcW w:w="1324" w:type="dxa"/>
            <w:vMerge w:val="continue"/>
            <w:vAlign w:val="center"/>
          </w:tcPr>
          <w:p w14:paraId="38BBA0AF">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1103750">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清单综合分析</w:t>
            </w:r>
          </w:p>
        </w:tc>
        <w:tc>
          <w:tcPr>
            <w:tcW w:w="5182" w:type="dxa"/>
            <w:tcBorders>
              <w:top w:val="single" w:color="auto" w:sz="4" w:space="0"/>
              <w:left w:val="single" w:color="auto" w:sz="4" w:space="0"/>
              <w:bottom w:val="single" w:color="auto" w:sz="4" w:space="0"/>
              <w:right w:val="single" w:color="auto" w:sz="4" w:space="0"/>
            </w:tcBorders>
            <w:vAlign w:val="center"/>
          </w:tcPr>
          <w:p w14:paraId="3626B475">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根据清单生成全流程数据，统计结算清单生成情况、入组情况，已生成清单和未生成清单占比，已入组和未入组清单占比，并对未入组清单进行详细分析，分析因各种原因引起的未入组情况占比。</w:t>
            </w:r>
          </w:p>
        </w:tc>
      </w:tr>
      <w:tr w14:paraId="2E56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7875737">
            <w:pPr>
              <w:pStyle w:val="4"/>
              <w:rPr>
                <w:lang w:val="en-US"/>
              </w:rPr>
            </w:pPr>
          </w:p>
        </w:tc>
        <w:tc>
          <w:tcPr>
            <w:tcW w:w="1324" w:type="dxa"/>
            <w:vMerge w:val="continue"/>
            <w:vAlign w:val="center"/>
          </w:tcPr>
          <w:p w14:paraId="7E29AD6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FEEFD46">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结算单核对</w:t>
            </w:r>
          </w:p>
        </w:tc>
        <w:tc>
          <w:tcPr>
            <w:tcW w:w="5182" w:type="dxa"/>
            <w:tcBorders>
              <w:top w:val="single" w:color="auto" w:sz="4" w:space="0"/>
              <w:left w:val="single" w:color="auto" w:sz="4" w:space="0"/>
              <w:bottom w:val="single" w:color="auto" w:sz="4" w:space="0"/>
              <w:right w:val="single" w:color="auto" w:sz="4" w:space="0"/>
            </w:tcBorders>
            <w:vAlign w:val="center"/>
          </w:tcPr>
          <w:p w14:paraId="2E7735C8">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导入医保局下发的月度实际结算单，支持导入异常数据的手动处理机制。系统自动比对医保局返回结果和系统分组结果，进行入组对比，可快速查看系统无法匹配的病案等。</w:t>
            </w:r>
          </w:p>
        </w:tc>
      </w:tr>
      <w:tr w14:paraId="2A30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9E20B5B">
            <w:pPr>
              <w:pStyle w:val="4"/>
              <w:rPr>
                <w:lang w:val="en-US"/>
              </w:rPr>
            </w:pPr>
          </w:p>
        </w:tc>
        <w:tc>
          <w:tcPr>
            <w:tcW w:w="1324" w:type="dxa"/>
            <w:vMerge w:val="continue"/>
            <w:vAlign w:val="center"/>
          </w:tcPr>
          <w:p w14:paraId="4FDA888F">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DB5C260">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未生成清单查询</w:t>
            </w:r>
          </w:p>
        </w:tc>
        <w:tc>
          <w:tcPr>
            <w:tcW w:w="5182" w:type="dxa"/>
            <w:tcBorders>
              <w:top w:val="single" w:color="auto" w:sz="4" w:space="0"/>
              <w:left w:val="single" w:color="auto" w:sz="4" w:space="0"/>
              <w:bottom w:val="single" w:color="auto" w:sz="4" w:space="0"/>
              <w:right w:val="single" w:color="auto" w:sz="4" w:space="0"/>
            </w:tcBorders>
            <w:vAlign w:val="center"/>
          </w:tcPr>
          <w:p w14:paraId="10EE89FC">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查询已完成病案首页填写但未生成医保结算清单的详情，支持查看病案首页完成状态，病案首页完成时间，出院科室，住院医生等信息。</w:t>
            </w:r>
          </w:p>
        </w:tc>
      </w:tr>
      <w:tr w14:paraId="0146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97B2CD6">
            <w:pPr>
              <w:pStyle w:val="4"/>
              <w:rPr>
                <w:lang w:val="en-US"/>
              </w:rPr>
            </w:pPr>
          </w:p>
        </w:tc>
        <w:tc>
          <w:tcPr>
            <w:tcW w:w="1324" w:type="dxa"/>
            <w:vMerge w:val="continue"/>
            <w:vAlign w:val="center"/>
          </w:tcPr>
          <w:p w14:paraId="2573BC20">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404DBCF">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结算查询</w:t>
            </w:r>
          </w:p>
        </w:tc>
        <w:tc>
          <w:tcPr>
            <w:tcW w:w="5182" w:type="dxa"/>
            <w:tcBorders>
              <w:top w:val="single" w:color="auto" w:sz="4" w:space="0"/>
              <w:left w:val="single" w:color="auto" w:sz="4" w:space="0"/>
              <w:bottom w:val="single" w:color="auto" w:sz="4" w:space="0"/>
              <w:right w:val="single" w:color="auto" w:sz="4" w:space="0"/>
            </w:tcBorders>
            <w:vAlign w:val="center"/>
          </w:tcPr>
          <w:p w14:paraId="29717947">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结算查询：展示清单列表及系统生成的分组状态；支持病案号、入组情况、住院医生、出院科室、</w:t>
            </w:r>
            <w:r>
              <w:rPr>
                <w:rFonts w:ascii="宋体" w:hAnsi="宋体" w:eastAsia="宋体" w:cs="宋体"/>
                <w:color w:val="auto"/>
                <w:kern w:val="0"/>
                <w:sz w:val="20"/>
                <w:szCs w:val="20"/>
                <w:lang w:bidi="ar"/>
              </w:rPr>
              <w:t>DRG名称或编码等条件查询；展示结算比对结果及各清单对应的费用构成。</w:t>
            </w:r>
          </w:p>
        </w:tc>
      </w:tr>
      <w:tr w14:paraId="41E3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06D96054">
            <w:pPr>
              <w:pStyle w:val="4"/>
              <w:rPr>
                <w:lang w:val="en-US"/>
              </w:rPr>
            </w:pPr>
            <w:r>
              <w:rPr>
                <w:rFonts w:hint="eastAsia"/>
                <w:lang w:val="en-US"/>
              </w:rPr>
              <w:t>1</w:t>
            </w:r>
            <w:r>
              <w:rPr>
                <w:lang w:val="en-US"/>
              </w:rPr>
              <w:t>2</w:t>
            </w:r>
          </w:p>
        </w:tc>
        <w:tc>
          <w:tcPr>
            <w:tcW w:w="1324" w:type="dxa"/>
            <w:vMerge w:val="restart"/>
            <w:vAlign w:val="center"/>
          </w:tcPr>
          <w:p w14:paraId="5C513036">
            <w:pPr>
              <w:widowControl/>
              <w:jc w:val="left"/>
              <w:rPr>
                <w:rFonts w:ascii="Times New Roman" w:hAnsi="Times New Roman"/>
                <w:b/>
                <w:kern w:val="0"/>
                <w:sz w:val="20"/>
                <w:szCs w:val="24"/>
              </w:rPr>
            </w:pPr>
            <w:r>
              <w:rPr>
                <w:rFonts w:hint="eastAsia" w:ascii="Times New Roman" w:hAnsi="Times New Roman"/>
                <w:b/>
                <w:kern w:val="0"/>
                <w:sz w:val="20"/>
                <w:szCs w:val="24"/>
              </w:rPr>
              <w:t>决策分析</w:t>
            </w:r>
          </w:p>
        </w:tc>
        <w:tc>
          <w:tcPr>
            <w:tcW w:w="1134" w:type="dxa"/>
            <w:tcBorders>
              <w:top w:val="single" w:color="auto" w:sz="4" w:space="0"/>
              <w:left w:val="single" w:color="auto" w:sz="4" w:space="0"/>
              <w:bottom w:val="single" w:color="auto" w:sz="4" w:space="0"/>
              <w:right w:val="single" w:color="auto" w:sz="4" w:space="0"/>
            </w:tcBorders>
            <w:vAlign w:val="center"/>
          </w:tcPr>
          <w:p w14:paraId="31B367B7">
            <w:pPr>
              <w:widowControl/>
              <w:jc w:val="left"/>
              <w:rPr>
                <w:rFonts w:ascii="Times New Roman" w:hAnsi="Times New Roman"/>
                <w:b/>
                <w:kern w:val="0"/>
                <w:sz w:val="20"/>
                <w:szCs w:val="24"/>
              </w:rPr>
            </w:pPr>
            <w:r>
              <w:rPr>
                <w:rFonts w:ascii="Times New Roman" w:hAnsi="Times New Roman"/>
                <w:b/>
                <w:kern w:val="0"/>
                <w:sz w:val="20"/>
                <w:szCs w:val="24"/>
              </w:rPr>
              <w:t>DRG</w:t>
            </w:r>
            <w:r>
              <w:rPr>
                <w:rFonts w:hint="eastAsia" w:ascii="Times New Roman" w:hAnsi="Times New Roman"/>
                <w:b/>
                <w:kern w:val="0"/>
                <w:sz w:val="20"/>
                <w:szCs w:val="24"/>
              </w:rPr>
              <w:t>运营分析</w:t>
            </w:r>
          </w:p>
        </w:tc>
        <w:tc>
          <w:tcPr>
            <w:tcW w:w="5182" w:type="dxa"/>
            <w:tcBorders>
              <w:top w:val="single" w:color="auto" w:sz="4" w:space="0"/>
              <w:left w:val="single" w:color="auto" w:sz="4" w:space="0"/>
              <w:bottom w:val="single" w:color="auto" w:sz="4" w:space="0"/>
              <w:right w:val="single" w:color="auto" w:sz="4" w:space="0"/>
            </w:tcBorders>
            <w:vAlign w:val="center"/>
          </w:tcPr>
          <w:p w14:paraId="4A9E9C6A">
            <w:pPr>
              <w:widowControl/>
              <w:jc w:val="left"/>
              <w:rPr>
                <w:rFonts w:ascii="宋体" w:hAnsi="宋体" w:eastAsia="宋体" w:cs="宋体"/>
                <w:kern w:val="0"/>
                <w:sz w:val="20"/>
                <w:szCs w:val="20"/>
                <w:lang w:bidi="ar"/>
              </w:rPr>
            </w:pPr>
            <w:r>
              <w:rPr>
                <w:rFonts w:hint="eastAsia" w:ascii="宋体" w:hAnsi="宋体" w:eastAsia="宋体" w:cs="宋体"/>
                <w:kern w:val="0"/>
                <w:sz w:val="20"/>
                <w:szCs w:val="20"/>
                <w:lang w:bidi="ar"/>
              </w:rPr>
              <w:t>分析</w:t>
            </w:r>
            <w:r>
              <w:rPr>
                <w:rFonts w:ascii="宋体" w:hAnsi="宋体" w:eastAsia="宋体" w:cs="宋体"/>
                <w:kern w:val="0"/>
                <w:sz w:val="20"/>
                <w:szCs w:val="20"/>
                <w:lang w:bidi="ar"/>
              </w:rPr>
              <w:t>DRG</w:t>
            </w:r>
            <w:r>
              <w:rPr>
                <w:rFonts w:hint="eastAsia" w:ascii="宋体" w:hAnsi="宋体" w:eastAsia="宋体" w:cs="宋体"/>
                <w:kern w:val="0"/>
                <w:sz w:val="20"/>
                <w:szCs w:val="20"/>
                <w:lang w:bidi="ar"/>
              </w:rPr>
              <w:t>运营情况，需涵盖核心运营分析维度：包括住院人次、总费用、药品耗材费用、</w:t>
            </w:r>
            <w:r>
              <w:rPr>
                <w:rFonts w:ascii="宋体" w:hAnsi="宋体" w:eastAsia="宋体" w:cs="宋体"/>
                <w:kern w:val="0"/>
                <w:sz w:val="20"/>
                <w:szCs w:val="20"/>
                <w:lang w:bidi="ar"/>
              </w:rPr>
              <w:t>DRG</w:t>
            </w:r>
            <w:r>
              <w:rPr>
                <w:rFonts w:hint="eastAsia" w:ascii="宋体" w:hAnsi="宋体" w:eastAsia="宋体" w:cs="宋体"/>
                <w:kern w:val="0"/>
                <w:sz w:val="20"/>
                <w:szCs w:val="20"/>
                <w:lang w:bidi="ar"/>
              </w:rPr>
              <w:t>分组结构分析、中低风险组死亡病例分析、费用消耗指数</w:t>
            </w:r>
            <w:r>
              <w:rPr>
                <w:rFonts w:ascii="宋体" w:hAnsi="宋体" w:eastAsia="宋体" w:cs="宋体"/>
                <w:kern w:val="0"/>
                <w:sz w:val="20"/>
                <w:szCs w:val="20"/>
                <w:lang w:bidi="ar"/>
              </w:rPr>
              <w:t>/</w:t>
            </w:r>
            <w:r>
              <w:rPr>
                <w:rFonts w:hint="eastAsia" w:ascii="宋体" w:hAnsi="宋体" w:eastAsia="宋体" w:cs="宋体"/>
                <w:kern w:val="0"/>
                <w:sz w:val="20"/>
                <w:szCs w:val="20"/>
                <w:lang w:bidi="ar"/>
              </w:rPr>
              <w:t>时间消耗指数分析、</w:t>
            </w:r>
            <w:r>
              <w:rPr>
                <w:rFonts w:ascii="宋体" w:hAnsi="宋体" w:eastAsia="宋体" w:cs="宋体"/>
                <w:kern w:val="0"/>
                <w:sz w:val="20"/>
                <w:szCs w:val="20"/>
                <w:lang w:bidi="ar"/>
              </w:rPr>
              <w:t>CMI</w:t>
            </w:r>
            <w:r>
              <w:rPr>
                <w:rFonts w:hint="eastAsia" w:ascii="宋体" w:hAnsi="宋体" w:eastAsia="宋体" w:cs="宋体"/>
                <w:kern w:val="0"/>
                <w:sz w:val="20"/>
                <w:szCs w:val="20"/>
                <w:lang w:bidi="ar"/>
              </w:rPr>
              <w:t>值变化分析、盈亏分析、超支病例归因分析、并发症与合并症对分组影响分析等，支持生成可视化分析图表，可直观展示运营变化趋势。系统可基于多维度分析结果自动生成完整</w:t>
            </w:r>
            <w:r>
              <w:rPr>
                <w:rFonts w:ascii="宋体" w:hAnsi="宋体" w:eastAsia="宋体" w:cs="宋体"/>
                <w:kern w:val="0"/>
                <w:sz w:val="20"/>
                <w:szCs w:val="20"/>
                <w:lang w:bidi="ar"/>
              </w:rPr>
              <w:t>DRG</w:t>
            </w:r>
            <w:r>
              <w:rPr>
                <w:rFonts w:hint="eastAsia" w:ascii="宋体" w:hAnsi="宋体" w:eastAsia="宋体" w:cs="宋体"/>
                <w:kern w:val="0"/>
                <w:sz w:val="20"/>
                <w:szCs w:val="20"/>
                <w:lang w:bidi="ar"/>
              </w:rPr>
              <w:t>运营分析报告，报告需包含核心运营指标完成情况、现存运营问题梳理、优化改进方向建议，支持自定义调整报告维度与输出内容，满足院内管理、医保上报等不同场景的使用需求。</w:t>
            </w:r>
          </w:p>
        </w:tc>
      </w:tr>
      <w:tr w14:paraId="47BE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CC7E8C3">
            <w:pPr>
              <w:pStyle w:val="4"/>
              <w:rPr>
                <w:lang w:val="en-US"/>
              </w:rPr>
            </w:pPr>
          </w:p>
        </w:tc>
        <w:tc>
          <w:tcPr>
            <w:tcW w:w="1324" w:type="dxa"/>
            <w:vMerge w:val="continue"/>
            <w:vAlign w:val="center"/>
          </w:tcPr>
          <w:p w14:paraId="2C3959A2">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F3058B2">
            <w:pPr>
              <w:widowControl/>
              <w:jc w:val="left"/>
              <w:rPr>
                <w:rFonts w:ascii="Times New Roman" w:hAnsi="Times New Roman"/>
                <w:b/>
                <w:color w:val="auto"/>
                <w:kern w:val="0"/>
                <w:sz w:val="20"/>
                <w:szCs w:val="24"/>
              </w:rPr>
            </w:pPr>
            <w:r>
              <w:rPr>
                <w:rFonts w:ascii="Times New Roman" w:hAnsi="Times New Roman"/>
                <w:b/>
                <w:color w:val="auto"/>
                <w:kern w:val="0"/>
                <w:sz w:val="20"/>
                <w:szCs w:val="24"/>
              </w:rPr>
              <w:t>DRG</w:t>
            </w:r>
            <w:r>
              <w:rPr>
                <w:rFonts w:hint="eastAsia" w:ascii="Times New Roman" w:hAnsi="Times New Roman"/>
                <w:b/>
                <w:color w:val="auto"/>
                <w:kern w:val="0"/>
                <w:sz w:val="20"/>
                <w:szCs w:val="24"/>
              </w:rPr>
              <w:t>结算</w:t>
            </w:r>
            <w:r>
              <w:rPr>
                <w:rFonts w:ascii="Times New Roman" w:hAnsi="Times New Roman"/>
                <w:b/>
                <w:color w:val="auto"/>
                <w:kern w:val="0"/>
                <w:sz w:val="20"/>
                <w:szCs w:val="24"/>
              </w:rPr>
              <w:t xml:space="preserve"> </w:t>
            </w:r>
          </w:p>
          <w:p w14:paraId="6CC76B05">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分析</w:t>
            </w:r>
          </w:p>
          <w:p w14:paraId="39618E29">
            <w:pPr>
              <w:widowControl/>
              <w:jc w:val="left"/>
              <w:rPr>
                <w:rFonts w:ascii="Times New Roman" w:hAnsi="Times New Roman"/>
                <w:b/>
                <w:color w:val="auto"/>
                <w:kern w:val="0"/>
                <w:sz w:val="20"/>
                <w:szCs w:val="24"/>
              </w:rPr>
            </w:pPr>
          </w:p>
        </w:tc>
        <w:tc>
          <w:tcPr>
            <w:tcW w:w="5182" w:type="dxa"/>
            <w:tcBorders>
              <w:top w:val="single" w:color="auto" w:sz="4" w:space="0"/>
              <w:left w:val="single" w:color="auto" w:sz="4" w:space="0"/>
              <w:bottom w:val="single" w:color="auto" w:sz="4" w:space="0"/>
              <w:right w:val="single" w:color="auto" w:sz="4" w:space="0"/>
            </w:tcBorders>
            <w:vAlign w:val="center"/>
          </w:tcPr>
          <w:p w14:paraId="6E9791BC">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分析全部病例、超高费用病例、超低费用病例、正常倍率病例四种病例类型以及各个绩效单元的</w:t>
            </w:r>
            <w:r>
              <w:rPr>
                <w:rFonts w:ascii="宋体" w:hAnsi="宋体" w:eastAsia="宋体" w:cs="宋体"/>
                <w:color w:val="auto"/>
                <w:kern w:val="0"/>
                <w:sz w:val="20"/>
                <w:szCs w:val="20"/>
                <w:lang w:bidi="ar"/>
              </w:rPr>
              <w:t xml:space="preserve"> DRG </w:t>
            </w:r>
            <w:r>
              <w:rPr>
                <w:rFonts w:hint="eastAsia" w:ascii="宋体" w:hAnsi="宋体" w:eastAsia="宋体" w:cs="宋体"/>
                <w:color w:val="auto"/>
                <w:kern w:val="0"/>
                <w:sz w:val="20"/>
                <w:szCs w:val="20"/>
                <w:lang w:bidi="ar"/>
              </w:rPr>
              <w:t>结算关键指标</w:t>
            </w:r>
          </w:p>
        </w:tc>
      </w:tr>
      <w:tr w14:paraId="65B5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CEA9501">
            <w:pPr>
              <w:pStyle w:val="4"/>
              <w:rPr>
                <w:lang w:val="en-US"/>
              </w:rPr>
            </w:pPr>
          </w:p>
        </w:tc>
        <w:tc>
          <w:tcPr>
            <w:tcW w:w="1324" w:type="dxa"/>
            <w:vMerge w:val="continue"/>
            <w:vAlign w:val="center"/>
          </w:tcPr>
          <w:p w14:paraId="4E633AE7">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FD78D5A">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高低倍率病例分析</w:t>
            </w:r>
          </w:p>
        </w:tc>
        <w:tc>
          <w:tcPr>
            <w:tcW w:w="5182" w:type="dxa"/>
            <w:tcBorders>
              <w:top w:val="single" w:color="auto" w:sz="4" w:space="0"/>
              <w:left w:val="single" w:color="auto" w:sz="4" w:space="0"/>
              <w:bottom w:val="single" w:color="auto" w:sz="4" w:space="0"/>
              <w:right w:val="single" w:color="auto" w:sz="4" w:space="0"/>
            </w:tcBorders>
            <w:vAlign w:val="center"/>
          </w:tcPr>
          <w:p w14:paraId="1B56A2F1">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支持高倍率病例、低倍率病例在病例数量趋势、病组、科室、绩效单元四个维度的统计和分析</w:t>
            </w:r>
          </w:p>
        </w:tc>
      </w:tr>
      <w:tr w14:paraId="7011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A378620">
            <w:pPr>
              <w:pStyle w:val="4"/>
              <w:rPr>
                <w:lang w:val="en-US"/>
              </w:rPr>
            </w:pPr>
          </w:p>
        </w:tc>
        <w:tc>
          <w:tcPr>
            <w:tcW w:w="1324" w:type="dxa"/>
            <w:vMerge w:val="continue"/>
            <w:vAlign w:val="center"/>
          </w:tcPr>
          <w:p w14:paraId="0F2135C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819811E">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科室</w:t>
            </w:r>
            <w:r>
              <w:rPr>
                <w:rFonts w:ascii="Times New Roman" w:hAnsi="Times New Roman"/>
                <w:b/>
                <w:color w:val="auto"/>
                <w:kern w:val="0"/>
                <w:sz w:val="20"/>
                <w:szCs w:val="24"/>
              </w:rPr>
              <w:t>DRG</w:t>
            </w:r>
            <w:r>
              <w:rPr>
                <w:rFonts w:hint="eastAsia" w:ascii="Times New Roman" w:hAnsi="Times New Roman"/>
                <w:b/>
                <w:color w:val="auto"/>
                <w:kern w:val="0"/>
                <w:sz w:val="20"/>
                <w:szCs w:val="24"/>
              </w:rPr>
              <w:t>分析</w:t>
            </w:r>
          </w:p>
        </w:tc>
        <w:tc>
          <w:tcPr>
            <w:tcW w:w="5182" w:type="dxa"/>
            <w:tcBorders>
              <w:top w:val="single" w:color="auto" w:sz="4" w:space="0"/>
              <w:left w:val="single" w:color="auto" w:sz="4" w:space="0"/>
              <w:bottom w:val="single" w:color="auto" w:sz="4" w:space="0"/>
              <w:right w:val="single" w:color="auto" w:sz="4" w:space="0"/>
            </w:tcBorders>
            <w:vAlign w:val="center"/>
          </w:tcPr>
          <w:p w14:paraId="557B239B">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支持分析某个绩效单元</w:t>
            </w:r>
            <w:r>
              <w:rPr>
                <w:rFonts w:ascii="宋体" w:hAnsi="宋体" w:eastAsia="宋体" w:cs="宋体"/>
                <w:color w:val="auto"/>
                <w:kern w:val="0"/>
                <w:sz w:val="20"/>
                <w:szCs w:val="20"/>
                <w:lang w:bidi="ar"/>
              </w:rPr>
              <w:t xml:space="preserve">/科室各病组的 CMI </w:t>
            </w:r>
            <w:r>
              <w:rPr>
                <w:rFonts w:hint="eastAsia" w:ascii="宋体" w:hAnsi="宋体" w:eastAsia="宋体" w:cs="宋体"/>
                <w:color w:val="auto"/>
                <w:kern w:val="0"/>
                <w:sz w:val="20"/>
                <w:szCs w:val="20"/>
                <w:lang w:bidi="ar"/>
              </w:rPr>
              <w:t>和例均盈亏，并统计分析某个绩效单元</w:t>
            </w:r>
            <w:r>
              <w:rPr>
                <w:rFonts w:ascii="宋体" w:hAnsi="宋体" w:eastAsia="宋体" w:cs="宋体"/>
                <w:color w:val="auto"/>
                <w:kern w:val="0"/>
                <w:sz w:val="20"/>
                <w:szCs w:val="20"/>
                <w:lang w:bidi="ar"/>
              </w:rPr>
              <w:t xml:space="preserve">/科室各病组、各医生、各诊疗组的 DRG </w:t>
            </w:r>
            <w:r>
              <w:rPr>
                <w:rFonts w:hint="eastAsia" w:ascii="宋体" w:hAnsi="宋体" w:eastAsia="宋体" w:cs="宋体"/>
                <w:color w:val="auto"/>
                <w:kern w:val="0"/>
                <w:sz w:val="20"/>
                <w:szCs w:val="20"/>
                <w:lang w:bidi="ar"/>
              </w:rPr>
              <w:t>结算关键指标</w:t>
            </w:r>
          </w:p>
        </w:tc>
      </w:tr>
      <w:tr w14:paraId="3FAA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4B12DBA">
            <w:pPr>
              <w:pStyle w:val="4"/>
              <w:rPr>
                <w:lang w:val="en-US"/>
              </w:rPr>
            </w:pPr>
          </w:p>
        </w:tc>
        <w:tc>
          <w:tcPr>
            <w:tcW w:w="1324" w:type="dxa"/>
            <w:vMerge w:val="continue"/>
            <w:vAlign w:val="center"/>
          </w:tcPr>
          <w:p w14:paraId="4C341F4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6A181A7">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绩效单元</w:t>
            </w:r>
            <w:r>
              <w:rPr>
                <w:rFonts w:ascii="Times New Roman" w:hAnsi="Times New Roman"/>
                <w:b/>
                <w:color w:val="auto"/>
                <w:kern w:val="0"/>
                <w:sz w:val="20"/>
                <w:szCs w:val="24"/>
              </w:rPr>
              <w:t>/</w:t>
            </w:r>
            <w:r>
              <w:rPr>
                <w:rFonts w:hint="eastAsia" w:ascii="Times New Roman" w:hAnsi="Times New Roman"/>
                <w:b/>
                <w:color w:val="auto"/>
                <w:kern w:val="0"/>
                <w:sz w:val="20"/>
                <w:szCs w:val="24"/>
              </w:rPr>
              <w:t>科室盈亏分析</w:t>
            </w:r>
          </w:p>
        </w:tc>
        <w:tc>
          <w:tcPr>
            <w:tcW w:w="5182" w:type="dxa"/>
            <w:tcBorders>
              <w:top w:val="single" w:color="auto" w:sz="4" w:space="0"/>
              <w:left w:val="single" w:color="auto" w:sz="4" w:space="0"/>
              <w:bottom w:val="single" w:color="auto" w:sz="4" w:space="0"/>
              <w:right w:val="single" w:color="auto" w:sz="4" w:space="0"/>
            </w:tcBorders>
            <w:vAlign w:val="center"/>
          </w:tcPr>
          <w:p w14:paraId="7CF78B60">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提供单个绩效单元</w:t>
            </w:r>
            <w:r>
              <w:rPr>
                <w:rFonts w:ascii="宋体" w:hAnsi="宋体" w:eastAsia="宋体" w:cs="宋体"/>
                <w:color w:val="auto"/>
                <w:kern w:val="0"/>
                <w:sz w:val="20"/>
                <w:szCs w:val="20"/>
                <w:lang w:bidi="ar"/>
              </w:rPr>
              <w:t>/科室的 DRG运营分析功能，可查看科室盈亏分布，科室盈亏 TOP10（结余单元 TOP10、结余单元 TOP10）和各科室的盈亏明细情况</w:t>
            </w:r>
          </w:p>
        </w:tc>
      </w:tr>
      <w:tr w14:paraId="17F1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B3C992B">
            <w:pPr>
              <w:pStyle w:val="4"/>
              <w:rPr>
                <w:lang w:val="en-US"/>
              </w:rPr>
            </w:pPr>
          </w:p>
        </w:tc>
        <w:tc>
          <w:tcPr>
            <w:tcW w:w="1324" w:type="dxa"/>
            <w:vMerge w:val="continue"/>
            <w:vAlign w:val="center"/>
          </w:tcPr>
          <w:p w14:paraId="7ECCC75B">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108EBDE">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科室</w:t>
            </w:r>
            <w:r>
              <w:rPr>
                <w:rFonts w:ascii="Times New Roman" w:hAnsi="Times New Roman"/>
                <w:b/>
                <w:color w:val="auto"/>
                <w:kern w:val="0"/>
                <w:sz w:val="20"/>
                <w:szCs w:val="24"/>
              </w:rPr>
              <w:t>CMI</w:t>
            </w:r>
            <w:r>
              <w:rPr>
                <w:rFonts w:hint="eastAsia" w:ascii="Times New Roman" w:hAnsi="Times New Roman"/>
                <w:b/>
                <w:color w:val="auto"/>
                <w:kern w:val="0"/>
                <w:sz w:val="20"/>
                <w:szCs w:val="24"/>
              </w:rPr>
              <w:t>与盈亏分析</w:t>
            </w:r>
          </w:p>
        </w:tc>
        <w:tc>
          <w:tcPr>
            <w:tcW w:w="5182" w:type="dxa"/>
            <w:tcBorders>
              <w:top w:val="single" w:color="auto" w:sz="4" w:space="0"/>
              <w:left w:val="single" w:color="auto" w:sz="4" w:space="0"/>
              <w:bottom w:val="single" w:color="auto" w:sz="4" w:space="0"/>
              <w:right w:val="single" w:color="auto" w:sz="4" w:space="0"/>
            </w:tcBorders>
            <w:vAlign w:val="center"/>
          </w:tcPr>
          <w:p w14:paraId="1E4D563A">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提供优势专业科室分析以及各</w:t>
            </w:r>
            <w:r>
              <w:rPr>
                <w:rFonts w:ascii="宋体" w:hAnsi="宋体" w:eastAsia="宋体" w:cs="宋体"/>
                <w:color w:val="auto"/>
                <w:kern w:val="0"/>
                <w:sz w:val="20"/>
                <w:szCs w:val="20"/>
                <w:lang w:bidi="ar"/>
              </w:rPr>
              <w:t xml:space="preserve">DRG组编码、名称、权重/点数、 </w:t>
            </w:r>
            <w:r>
              <w:rPr>
                <w:rFonts w:hint="eastAsia" w:ascii="宋体" w:hAnsi="宋体" w:eastAsia="宋体" w:cs="宋体"/>
                <w:color w:val="auto"/>
                <w:kern w:val="0"/>
                <w:sz w:val="20"/>
                <w:szCs w:val="20"/>
                <w:lang w:bidi="ar"/>
              </w:rPr>
              <w:t>盈亏等，支持层层钻取查看专业、病区各个指标以及各</w:t>
            </w:r>
            <w:r>
              <w:rPr>
                <w:rFonts w:ascii="宋体" w:hAnsi="宋体" w:eastAsia="宋体" w:cs="宋体"/>
                <w:color w:val="auto"/>
                <w:kern w:val="0"/>
                <w:sz w:val="20"/>
                <w:szCs w:val="20"/>
                <w:lang w:bidi="ar"/>
              </w:rPr>
              <w:t xml:space="preserve"> DRG病组下的病例详情，科室分布。</w:t>
            </w:r>
          </w:p>
        </w:tc>
      </w:tr>
      <w:tr w14:paraId="76D1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2F739E50">
            <w:pPr>
              <w:pStyle w:val="4"/>
              <w:rPr>
                <w:lang w:val="en-US"/>
              </w:rPr>
            </w:pPr>
          </w:p>
        </w:tc>
        <w:tc>
          <w:tcPr>
            <w:tcW w:w="1324" w:type="dxa"/>
            <w:vMerge w:val="continue"/>
            <w:vAlign w:val="center"/>
          </w:tcPr>
          <w:p w14:paraId="018D2CC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FFC3766">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病组盈亏分析</w:t>
            </w:r>
          </w:p>
        </w:tc>
        <w:tc>
          <w:tcPr>
            <w:tcW w:w="5182" w:type="dxa"/>
            <w:tcBorders>
              <w:top w:val="single" w:color="auto" w:sz="4" w:space="0"/>
              <w:left w:val="single" w:color="auto" w:sz="4" w:space="0"/>
              <w:bottom w:val="single" w:color="auto" w:sz="4" w:space="0"/>
              <w:right w:val="single" w:color="auto" w:sz="4" w:space="0"/>
            </w:tcBorders>
            <w:vAlign w:val="center"/>
          </w:tcPr>
          <w:p w14:paraId="29E5FAC1">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支持高频病组、高值病组、高结余病组、高亏损病组等异常病组的统计和分析。</w:t>
            </w:r>
          </w:p>
        </w:tc>
      </w:tr>
      <w:tr w14:paraId="6D82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656" w:type="dxa"/>
            <w:vMerge w:val="continue"/>
            <w:vAlign w:val="center"/>
          </w:tcPr>
          <w:p w14:paraId="6128541A">
            <w:pPr>
              <w:pStyle w:val="4"/>
              <w:rPr>
                <w:lang w:val="en-US"/>
              </w:rPr>
            </w:pPr>
          </w:p>
        </w:tc>
        <w:tc>
          <w:tcPr>
            <w:tcW w:w="1324" w:type="dxa"/>
            <w:vMerge w:val="continue"/>
            <w:vAlign w:val="center"/>
          </w:tcPr>
          <w:p w14:paraId="632F483A">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7F2D0A8">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不稳定组分析</w:t>
            </w:r>
          </w:p>
        </w:tc>
        <w:tc>
          <w:tcPr>
            <w:tcW w:w="5182" w:type="dxa"/>
            <w:tcBorders>
              <w:top w:val="single" w:color="auto" w:sz="4" w:space="0"/>
              <w:left w:val="single" w:color="auto" w:sz="4" w:space="0"/>
              <w:bottom w:val="single" w:color="auto" w:sz="4" w:space="0"/>
              <w:right w:val="single" w:color="auto" w:sz="4" w:space="0"/>
            </w:tcBorders>
            <w:vAlign w:val="center"/>
          </w:tcPr>
          <w:p w14:paraId="293B92FA">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系统不稳定病组的实时监控分析。从全院、科室、医师、病组等维度分析不稳定病组收治情况，分析对比不稳定病组正常入组权重与年底医保清算付费权重的差异性，并给予病组付费合理的建议。</w:t>
            </w:r>
          </w:p>
        </w:tc>
      </w:tr>
      <w:tr w14:paraId="362A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91422A6">
            <w:pPr>
              <w:pStyle w:val="4"/>
              <w:rPr>
                <w:lang w:val="en-US"/>
              </w:rPr>
            </w:pPr>
          </w:p>
        </w:tc>
        <w:tc>
          <w:tcPr>
            <w:tcW w:w="1324" w:type="dxa"/>
            <w:vMerge w:val="continue"/>
            <w:vAlign w:val="center"/>
          </w:tcPr>
          <w:p w14:paraId="54821B7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E655471">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疑难病例分析</w:t>
            </w:r>
          </w:p>
        </w:tc>
        <w:tc>
          <w:tcPr>
            <w:tcW w:w="5182" w:type="dxa"/>
            <w:tcBorders>
              <w:top w:val="single" w:color="auto" w:sz="4" w:space="0"/>
              <w:left w:val="single" w:color="auto" w:sz="4" w:space="0"/>
              <w:bottom w:val="single" w:color="auto" w:sz="4" w:space="0"/>
              <w:right w:val="single" w:color="auto" w:sz="4" w:space="0"/>
            </w:tcBorders>
            <w:vAlign w:val="center"/>
          </w:tcPr>
          <w:p w14:paraId="30653836">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分析权重值较大的病例所占总分析病例的比例，分析各个</w:t>
            </w:r>
            <w:r>
              <w:rPr>
                <w:rFonts w:ascii="宋体" w:hAnsi="宋体" w:eastAsia="宋体" w:cs="宋体"/>
                <w:color w:val="auto"/>
                <w:kern w:val="0"/>
                <w:sz w:val="20"/>
                <w:szCs w:val="20"/>
                <w:lang w:bidi="ar"/>
              </w:rPr>
              <w:t xml:space="preserve">RW </w:t>
            </w:r>
            <w:r>
              <w:rPr>
                <w:rFonts w:hint="eastAsia" w:ascii="宋体" w:hAnsi="宋体" w:eastAsia="宋体" w:cs="宋体"/>
                <w:color w:val="auto"/>
                <w:kern w:val="0"/>
                <w:sz w:val="20"/>
                <w:szCs w:val="20"/>
                <w:lang w:bidi="ar"/>
              </w:rPr>
              <w:t>值段的病例比例。</w:t>
            </w:r>
          </w:p>
        </w:tc>
      </w:tr>
      <w:tr w14:paraId="2448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D541612">
            <w:pPr>
              <w:pStyle w:val="4"/>
              <w:rPr>
                <w:lang w:val="en-US"/>
              </w:rPr>
            </w:pPr>
          </w:p>
        </w:tc>
        <w:tc>
          <w:tcPr>
            <w:tcW w:w="1324" w:type="dxa"/>
            <w:vMerge w:val="continue"/>
            <w:vAlign w:val="center"/>
          </w:tcPr>
          <w:p w14:paraId="6DDF6416">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2E0F9EFF">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病组盈亏差异分析</w:t>
            </w:r>
          </w:p>
        </w:tc>
        <w:tc>
          <w:tcPr>
            <w:tcW w:w="5182" w:type="dxa"/>
            <w:tcBorders>
              <w:top w:val="single" w:color="auto" w:sz="4" w:space="0"/>
              <w:left w:val="single" w:color="auto" w:sz="4" w:space="0"/>
              <w:bottom w:val="single" w:color="auto" w:sz="4" w:space="0"/>
              <w:right w:val="single" w:color="auto" w:sz="4" w:space="0"/>
            </w:tcBorders>
            <w:vAlign w:val="center"/>
          </w:tcPr>
          <w:p w14:paraId="285371FB">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病组明细的统计和分析。包括分组编码，分组名称，病例数，按病组支付金额，盈亏金额，</w:t>
            </w:r>
            <w:r>
              <w:rPr>
                <w:rFonts w:ascii="宋体" w:hAnsi="宋体" w:eastAsia="宋体" w:cs="宋体"/>
                <w:color w:val="auto"/>
                <w:kern w:val="0"/>
                <w:sz w:val="20"/>
                <w:szCs w:val="20"/>
                <w:lang w:bidi="ar"/>
              </w:rPr>
              <w:t>RW，例均盈亏金额，例均费用，超高费用病例数，超低费用病例数等。</w:t>
            </w:r>
          </w:p>
        </w:tc>
      </w:tr>
      <w:tr w14:paraId="58C4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0C59D33A">
            <w:pPr>
              <w:pStyle w:val="4"/>
              <w:rPr>
                <w:lang w:val="en-US"/>
              </w:rPr>
            </w:pPr>
          </w:p>
        </w:tc>
        <w:tc>
          <w:tcPr>
            <w:tcW w:w="1324" w:type="dxa"/>
            <w:vMerge w:val="continue"/>
            <w:vAlign w:val="center"/>
          </w:tcPr>
          <w:p w14:paraId="6D090FD1">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FB0A42A">
            <w:pPr>
              <w:widowControl/>
              <w:jc w:val="left"/>
              <w:rPr>
                <w:rFonts w:ascii="Times New Roman" w:hAnsi="Times New Roman"/>
                <w:b/>
                <w:color w:val="auto"/>
                <w:kern w:val="0"/>
                <w:sz w:val="20"/>
                <w:szCs w:val="24"/>
              </w:rPr>
            </w:pPr>
            <w:r>
              <w:rPr>
                <w:rFonts w:hint="eastAsia" w:ascii="Times New Roman" w:hAnsi="Times New Roman"/>
                <w:b/>
                <w:color w:val="auto"/>
                <w:kern w:val="0"/>
                <w:sz w:val="20"/>
                <w:szCs w:val="24"/>
              </w:rPr>
              <w:t>外科能力分析</w:t>
            </w:r>
          </w:p>
        </w:tc>
        <w:tc>
          <w:tcPr>
            <w:tcW w:w="5182" w:type="dxa"/>
            <w:tcBorders>
              <w:top w:val="single" w:color="auto" w:sz="4" w:space="0"/>
              <w:left w:val="single" w:color="auto" w:sz="4" w:space="0"/>
              <w:bottom w:val="single" w:color="auto" w:sz="4" w:space="0"/>
              <w:right w:val="single" w:color="auto" w:sz="4" w:space="0"/>
            </w:tcBorders>
            <w:vAlign w:val="center"/>
          </w:tcPr>
          <w:p w14:paraId="06968DA4">
            <w:pPr>
              <w:widowControl/>
              <w:jc w:val="left"/>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分析医院的三四级手术比例，代表外科能力的强弱。包含以下指标：出院人数、手术人次、三级手术、四级手术、三四级手术合计及比，同时提供报表导出功能。支持查看相关病例及病例详情。</w:t>
            </w:r>
          </w:p>
        </w:tc>
      </w:tr>
      <w:tr w14:paraId="01EB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07F26DEC">
            <w:pPr>
              <w:pStyle w:val="4"/>
              <w:rPr>
                <w:lang w:val="en-US"/>
              </w:rPr>
            </w:pPr>
            <w:r>
              <w:rPr>
                <w:rFonts w:hint="eastAsia"/>
                <w:lang w:val="en-US"/>
              </w:rPr>
              <w:t>1</w:t>
            </w:r>
            <w:r>
              <w:rPr>
                <w:lang w:val="en-US"/>
              </w:rPr>
              <w:t>3</w:t>
            </w:r>
          </w:p>
        </w:tc>
        <w:tc>
          <w:tcPr>
            <w:tcW w:w="1324" w:type="dxa"/>
            <w:vMerge w:val="restart"/>
            <w:vAlign w:val="center"/>
          </w:tcPr>
          <w:p w14:paraId="7A6FAB7B">
            <w:pPr>
              <w:pStyle w:val="4"/>
              <w:rPr>
                <w:b/>
                <w:bCs/>
                <w:lang w:val="en-US"/>
              </w:rPr>
            </w:pPr>
            <w:r>
              <w:rPr>
                <w:rFonts w:hint="eastAsia"/>
                <w:b/>
                <w:bCs/>
                <w:lang w:val="en-US"/>
              </w:rPr>
              <w:t>特例单议管理</w:t>
            </w:r>
          </w:p>
        </w:tc>
        <w:tc>
          <w:tcPr>
            <w:tcW w:w="1134" w:type="dxa"/>
            <w:tcBorders>
              <w:top w:val="single" w:color="auto" w:sz="4" w:space="0"/>
              <w:left w:val="single" w:color="auto" w:sz="4" w:space="0"/>
              <w:bottom w:val="single" w:color="auto" w:sz="4" w:space="0"/>
              <w:right w:val="single" w:color="auto" w:sz="4" w:space="0"/>
            </w:tcBorders>
            <w:vAlign w:val="center"/>
          </w:tcPr>
          <w:p w14:paraId="29128918">
            <w:pPr>
              <w:pStyle w:val="4"/>
              <w:jc w:val="left"/>
              <w:rPr>
                <w:rFonts w:ascii="宋体" w:hAnsi="宋体" w:eastAsia="宋体" w:cs="宋体"/>
                <w:sz w:val="24"/>
                <w:lang w:val="en-US" w:bidi="ar"/>
              </w:rPr>
            </w:pPr>
            <w:r>
              <w:rPr>
                <w:rFonts w:hint="eastAsia"/>
                <w:b/>
                <w:lang w:val="en-US"/>
              </w:rPr>
              <w:t>病例筛选</w:t>
            </w:r>
          </w:p>
        </w:tc>
        <w:tc>
          <w:tcPr>
            <w:tcW w:w="5182" w:type="dxa"/>
            <w:tcBorders>
              <w:top w:val="single" w:color="auto" w:sz="4" w:space="0"/>
              <w:left w:val="single" w:color="auto" w:sz="4" w:space="0"/>
              <w:bottom w:val="single" w:color="auto" w:sz="4" w:space="0"/>
              <w:right w:val="single" w:color="auto" w:sz="4" w:space="0"/>
            </w:tcBorders>
            <w:vAlign w:val="center"/>
          </w:tcPr>
          <w:p w14:paraId="4722177D">
            <w:pPr>
              <w:pStyle w:val="4"/>
              <w:rPr>
                <w:rFonts w:ascii="宋体" w:hAnsi="宋体" w:eastAsia="宋体" w:cs="宋体"/>
                <w:sz w:val="24"/>
                <w:lang w:val="en-US" w:bidi="ar"/>
              </w:rPr>
            </w:pPr>
            <w:r>
              <w:rPr>
                <w:rFonts w:hint="eastAsia"/>
                <w:lang w:val="en-US"/>
              </w:rPr>
              <w:t>系统按照当地DRG分组细则与单议政策，自动筛选满足单议条件病例，支持人工补充病例，可一键调阅完整病历、费用清单开展人工复核。</w:t>
            </w:r>
          </w:p>
        </w:tc>
      </w:tr>
      <w:tr w14:paraId="345F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3AEB5F2">
            <w:pPr>
              <w:pStyle w:val="4"/>
              <w:rPr>
                <w:lang w:val="en-US"/>
              </w:rPr>
            </w:pPr>
          </w:p>
        </w:tc>
        <w:tc>
          <w:tcPr>
            <w:tcW w:w="1324" w:type="dxa"/>
            <w:vMerge w:val="continue"/>
            <w:vAlign w:val="center"/>
          </w:tcPr>
          <w:p w14:paraId="7086F29C">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4163885">
            <w:pPr>
              <w:pStyle w:val="4"/>
              <w:jc w:val="left"/>
              <w:rPr>
                <w:b/>
                <w:color w:val="auto"/>
                <w:lang w:val="en-US"/>
              </w:rPr>
            </w:pPr>
            <w:r>
              <w:rPr>
                <w:rFonts w:hint="eastAsia"/>
                <w:b/>
                <w:color w:val="auto"/>
                <w:lang w:val="en-US"/>
              </w:rPr>
              <w:t>申请填报</w:t>
            </w:r>
          </w:p>
        </w:tc>
        <w:tc>
          <w:tcPr>
            <w:tcW w:w="5182" w:type="dxa"/>
            <w:tcBorders>
              <w:top w:val="single" w:color="auto" w:sz="4" w:space="0"/>
              <w:left w:val="single" w:color="auto" w:sz="4" w:space="0"/>
              <w:bottom w:val="single" w:color="auto" w:sz="4" w:space="0"/>
              <w:right w:val="single" w:color="auto" w:sz="4" w:space="0"/>
            </w:tcBorders>
            <w:vAlign w:val="center"/>
          </w:tcPr>
          <w:p w14:paraId="638304E1">
            <w:pPr>
              <w:pStyle w:val="4"/>
              <w:rPr>
                <w:lang w:val="en-US"/>
              </w:rPr>
            </w:pPr>
            <w:r>
              <w:rPr>
                <w:rFonts w:hint="eastAsia"/>
                <w:lang w:val="en-US"/>
              </w:rPr>
              <w:t>筛选病例定向推送责任医师，医生在线填写申诉理由、上传病历佐证材料，提交申请至院内医保部门。</w:t>
            </w:r>
          </w:p>
        </w:tc>
      </w:tr>
      <w:tr w14:paraId="0108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403FC414">
            <w:pPr>
              <w:pStyle w:val="4"/>
              <w:rPr>
                <w:lang w:val="en-US"/>
              </w:rPr>
            </w:pPr>
          </w:p>
        </w:tc>
        <w:tc>
          <w:tcPr>
            <w:tcW w:w="1324" w:type="dxa"/>
            <w:vMerge w:val="continue"/>
            <w:vAlign w:val="center"/>
          </w:tcPr>
          <w:p w14:paraId="69521292">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C9F6D0B">
            <w:pPr>
              <w:pStyle w:val="4"/>
              <w:jc w:val="left"/>
              <w:rPr>
                <w:b/>
                <w:color w:val="auto"/>
                <w:lang w:val="en-US"/>
              </w:rPr>
            </w:pPr>
            <w:r>
              <w:rPr>
                <w:rFonts w:hint="eastAsia"/>
                <w:b/>
                <w:color w:val="auto"/>
                <w:lang w:val="en-US"/>
              </w:rPr>
              <w:t>多级审核流转</w:t>
            </w:r>
          </w:p>
        </w:tc>
        <w:tc>
          <w:tcPr>
            <w:tcW w:w="5182" w:type="dxa"/>
            <w:tcBorders>
              <w:top w:val="single" w:color="auto" w:sz="4" w:space="0"/>
              <w:left w:val="single" w:color="auto" w:sz="4" w:space="0"/>
              <w:bottom w:val="single" w:color="auto" w:sz="4" w:space="0"/>
              <w:right w:val="single" w:color="auto" w:sz="4" w:space="0"/>
            </w:tcBorders>
            <w:vAlign w:val="center"/>
          </w:tcPr>
          <w:p w14:paraId="5B26F817">
            <w:pPr>
              <w:pStyle w:val="4"/>
              <w:rPr>
                <w:lang w:val="en-US"/>
              </w:rPr>
            </w:pPr>
            <w:r>
              <w:rPr>
                <w:rFonts w:hint="eastAsia"/>
                <w:lang w:val="en-US"/>
              </w:rPr>
              <w:t>医保办开展院内初审，可驳回补充材料或审核通过推送医保经办机构，医保部门给出终审意见，结果同步反馈至医生端。支持补充被驳回病例材料进行重新申报。</w:t>
            </w:r>
          </w:p>
        </w:tc>
      </w:tr>
      <w:tr w14:paraId="13A9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C5448AE">
            <w:pPr>
              <w:pStyle w:val="4"/>
              <w:rPr>
                <w:lang w:val="en-US"/>
              </w:rPr>
            </w:pPr>
          </w:p>
        </w:tc>
        <w:tc>
          <w:tcPr>
            <w:tcW w:w="1324" w:type="dxa"/>
            <w:vMerge w:val="continue"/>
            <w:vAlign w:val="center"/>
          </w:tcPr>
          <w:p w14:paraId="0874FF2D">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0B6E16A0">
            <w:pPr>
              <w:pStyle w:val="4"/>
              <w:jc w:val="left"/>
              <w:rPr>
                <w:b/>
                <w:color w:val="auto"/>
                <w:lang w:val="en-US"/>
              </w:rPr>
            </w:pPr>
            <w:r>
              <w:rPr>
                <w:rFonts w:hint="eastAsia"/>
                <w:b/>
                <w:color w:val="auto"/>
                <w:lang w:val="en-US"/>
              </w:rPr>
              <w:t>数据上报与导出</w:t>
            </w:r>
          </w:p>
        </w:tc>
        <w:tc>
          <w:tcPr>
            <w:tcW w:w="5182" w:type="dxa"/>
            <w:tcBorders>
              <w:top w:val="single" w:color="auto" w:sz="4" w:space="0"/>
              <w:left w:val="single" w:color="auto" w:sz="4" w:space="0"/>
              <w:bottom w:val="single" w:color="auto" w:sz="4" w:space="0"/>
              <w:right w:val="single" w:color="auto" w:sz="4" w:space="0"/>
            </w:tcBorders>
            <w:vAlign w:val="center"/>
          </w:tcPr>
          <w:p w14:paraId="1966B139">
            <w:pPr>
              <w:pStyle w:val="4"/>
              <w:rPr>
                <w:lang w:val="en-US"/>
              </w:rPr>
            </w:pPr>
            <w:r>
              <w:rPr>
                <w:rFonts w:hint="eastAsia"/>
                <w:lang w:val="en-US"/>
              </w:rPr>
              <w:t>按照医保平台接口标准对审核通过的病例批量上报，实时同步上报状态，异常病例支持重新提交；支持多维度筛选，导出符合医保归档要求的标准化文件。</w:t>
            </w:r>
          </w:p>
        </w:tc>
      </w:tr>
      <w:tr w14:paraId="6EA3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CA90096">
            <w:pPr>
              <w:pStyle w:val="4"/>
              <w:rPr>
                <w:lang w:val="en-US"/>
              </w:rPr>
            </w:pPr>
          </w:p>
        </w:tc>
        <w:tc>
          <w:tcPr>
            <w:tcW w:w="1324" w:type="dxa"/>
            <w:vMerge w:val="continue"/>
            <w:vAlign w:val="center"/>
          </w:tcPr>
          <w:p w14:paraId="2A8864D1">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D90762C">
            <w:pPr>
              <w:pStyle w:val="4"/>
              <w:jc w:val="left"/>
              <w:rPr>
                <w:b/>
                <w:color w:val="auto"/>
                <w:lang w:val="en-US"/>
              </w:rPr>
            </w:pPr>
            <w:r>
              <w:rPr>
                <w:rFonts w:hint="eastAsia"/>
                <w:b/>
                <w:color w:val="auto"/>
                <w:lang w:val="en-US"/>
              </w:rPr>
              <w:t>成效统计分析</w:t>
            </w:r>
          </w:p>
        </w:tc>
        <w:tc>
          <w:tcPr>
            <w:tcW w:w="5182" w:type="dxa"/>
            <w:tcBorders>
              <w:top w:val="single" w:color="auto" w:sz="4" w:space="0"/>
              <w:left w:val="single" w:color="auto" w:sz="4" w:space="0"/>
              <w:bottom w:val="single" w:color="auto" w:sz="4" w:space="0"/>
              <w:right w:val="single" w:color="auto" w:sz="4" w:space="0"/>
            </w:tcBorders>
            <w:vAlign w:val="center"/>
          </w:tcPr>
          <w:p w14:paraId="3A12646E">
            <w:pPr>
              <w:pStyle w:val="4"/>
              <w:rPr>
                <w:lang w:val="en-US"/>
              </w:rPr>
            </w:pPr>
            <w:r>
              <w:rPr>
                <w:rFonts w:hint="eastAsia"/>
                <w:lang w:val="en-US"/>
              </w:rPr>
              <w:t>自动汇总特例单议相关数据，核算成功挽回的基金金额，统计单议通过率、盈亏差额等指标，按科室、医师、病种多维度拆解，生成分析报表，辅助医院优化申报策略。</w:t>
            </w:r>
          </w:p>
        </w:tc>
      </w:tr>
      <w:tr w14:paraId="0C61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restart"/>
            <w:vAlign w:val="center"/>
          </w:tcPr>
          <w:p w14:paraId="1634C07A">
            <w:pPr>
              <w:pStyle w:val="4"/>
              <w:rPr>
                <w:lang w:val="en-US"/>
              </w:rPr>
            </w:pPr>
            <w:r>
              <w:rPr>
                <w:rFonts w:hint="eastAsia"/>
                <w:lang w:val="en-US"/>
              </w:rPr>
              <w:t>1</w:t>
            </w:r>
            <w:r>
              <w:rPr>
                <w:lang w:val="en-US"/>
              </w:rPr>
              <w:t>4</w:t>
            </w:r>
          </w:p>
        </w:tc>
        <w:tc>
          <w:tcPr>
            <w:tcW w:w="1324" w:type="dxa"/>
            <w:vMerge w:val="restart"/>
            <w:vAlign w:val="center"/>
          </w:tcPr>
          <w:p w14:paraId="00C8CA7C">
            <w:pPr>
              <w:pStyle w:val="4"/>
              <w:rPr>
                <w:b/>
                <w:bCs/>
                <w:lang w:val="en-US"/>
              </w:rPr>
            </w:pPr>
            <w:r>
              <w:rPr>
                <w:rFonts w:hint="eastAsia"/>
                <w:b/>
                <w:bCs/>
                <w:lang w:val="en-US"/>
              </w:rPr>
              <w:t>系统管理功能</w:t>
            </w:r>
          </w:p>
        </w:tc>
        <w:tc>
          <w:tcPr>
            <w:tcW w:w="1134" w:type="dxa"/>
            <w:tcBorders>
              <w:top w:val="single" w:color="auto" w:sz="4" w:space="0"/>
              <w:left w:val="single" w:color="auto" w:sz="4" w:space="0"/>
              <w:bottom w:val="single" w:color="auto" w:sz="4" w:space="0"/>
              <w:right w:val="single" w:color="auto" w:sz="4" w:space="0"/>
            </w:tcBorders>
            <w:vAlign w:val="center"/>
          </w:tcPr>
          <w:p w14:paraId="320CB96F">
            <w:pPr>
              <w:pStyle w:val="4"/>
              <w:jc w:val="left"/>
              <w:rPr>
                <w:b/>
                <w:lang w:val="en-US"/>
              </w:rPr>
            </w:pPr>
            <w:r>
              <w:rPr>
                <w:rFonts w:hint="eastAsia"/>
                <w:b/>
                <w:lang w:val="en-US"/>
              </w:rPr>
              <w:t>用户管理</w:t>
            </w:r>
          </w:p>
        </w:tc>
        <w:tc>
          <w:tcPr>
            <w:tcW w:w="5182" w:type="dxa"/>
            <w:tcBorders>
              <w:top w:val="single" w:color="auto" w:sz="4" w:space="0"/>
              <w:left w:val="single" w:color="auto" w:sz="4" w:space="0"/>
              <w:bottom w:val="single" w:color="auto" w:sz="4" w:space="0"/>
              <w:right w:val="single" w:color="auto" w:sz="4" w:space="0"/>
            </w:tcBorders>
            <w:vAlign w:val="center"/>
          </w:tcPr>
          <w:p w14:paraId="2D32AE9E">
            <w:pPr>
              <w:pStyle w:val="4"/>
              <w:rPr>
                <w:lang w:val="en-US"/>
              </w:rPr>
            </w:pPr>
            <w:r>
              <w:rPr>
                <w:rFonts w:hint="eastAsia"/>
                <w:lang w:val="en-US"/>
              </w:rPr>
              <w:t>支持用户新增、编辑、删除、停用，设置用户密码（支持密码加密、定期更换提醒），分配用户角色及操作权限，确保权责清晰，重点管控规则维护、审核操作等核心权限。</w:t>
            </w:r>
          </w:p>
        </w:tc>
      </w:tr>
      <w:tr w14:paraId="591E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1C22D4B8">
            <w:pPr>
              <w:pStyle w:val="4"/>
              <w:rPr>
                <w:lang w:val="en-US"/>
              </w:rPr>
            </w:pPr>
          </w:p>
        </w:tc>
        <w:tc>
          <w:tcPr>
            <w:tcW w:w="1324" w:type="dxa"/>
            <w:vMerge w:val="continue"/>
            <w:vAlign w:val="center"/>
          </w:tcPr>
          <w:p w14:paraId="7F4758BD">
            <w:pPr>
              <w:pStyle w:val="4"/>
              <w:rPr>
                <w:b/>
                <w:bCs/>
                <w:color w:val="auto"/>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6F245490">
            <w:pPr>
              <w:pStyle w:val="4"/>
              <w:jc w:val="left"/>
              <w:rPr>
                <w:b/>
                <w:color w:val="auto"/>
                <w:lang w:val="en-US"/>
              </w:rPr>
            </w:pPr>
            <w:r>
              <w:rPr>
                <w:rFonts w:hint="eastAsia"/>
                <w:b/>
                <w:color w:val="auto"/>
                <w:lang w:val="en-US"/>
              </w:rPr>
              <w:t>角色管理</w:t>
            </w:r>
          </w:p>
        </w:tc>
        <w:tc>
          <w:tcPr>
            <w:tcW w:w="5182" w:type="dxa"/>
            <w:tcBorders>
              <w:top w:val="single" w:color="auto" w:sz="4" w:space="0"/>
              <w:left w:val="single" w:color="auto" w:sz="4" w:space="0"/>
              <w:bottom w:val="single" w:color="auto" w:sz="4" w:space="0"/>
              <w:right w:val="single" w:color="auto" w:sz="4" w:space="0"/>
            </w:tcBorders>
            <w:vAlign w:val="center"/>
          </w:tcPr>
          <w:p w14:paraId="5FCD1152">
            <w:pPr>
              <w:pStyle w:val="4"/>
              <w:rPr>
                <w:lang w:val="en-US"/>
              </w:rPr>
            </w:pPr>
            <w:r>
              <w:rPr>
                <w:rFonts w:hint="eastAsia"/>
                <w:lang w:val="en-US"/>
              </w:rPr>
              <w:t>支持自定义角色，细化角色权限（如规则维护权限、审核权限、统计权限、申诉复核权限等），可批量分配权限，适配医院医保管理员、科室质控员、医护人员等不同岗位的工作需求。</w:t>
            </w:r>
          </w:p>
        </w:tc>
      </w:tr>
      <w:tr w14:paraId="263E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D0D6AE1">
            <w:pPr>
              <w:pStyle w:val="4"/>
              <w:rPr>
                <w:lang w:val="en-US"/>
              </w:rPr>
            </w:pPr>
          </w:p>
        </w:tc>
        <w:tc>
          <w:tcPr>
            <w:tcW w:w="1324" w:type="dxa"/>
            <w:vMerge w:val="continue"/>
            <w:vAlign w:val="center"/>
          </w:tcPr>
          <w:p w14:paraId="06CA2C9B">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151DFB52">
            <w:pPr>
              <w:pStyle w:val="4"/>
              <w:jc w:val="left"/>
              <w:rPr>
                <w:b/>
                <w:lang w:val="en-US"/>
              </w:rPr>
            </w:pPr>
            <w:r>
              <w:rPr>
                <w:rFonts w:hint="eastAsia"/>
                <w:b/>
                <w:lang w:val="en-US"/>
              </w:rPr>
              <w:t>数据管理</w:t>
            </w:r>
          </w:p>
        </w:tc>
        <w:tc>
          <w:tcPr>
            <w:tcW w:w="5182" w:type="dxa"/>
            <w:tcBorders>
              <w:top w:val="single" w:color="auto" w:sz="4" w:space="0"/>
              <w:left w:val="single" w:color="auto" w:sz="4" w:space="0"/>
              <w:bottom w:val="single" w:color="auto" w:sz="4" w:space="0"/>
              <w:right w:val="single" w:color="auto" w:sz="4" w:space="0"/>
            </w:tcBorders>
            <w:vAlign w:val="center"/>
          </w:tcPr>
          <w:p w14:paraId="3A3F376E">
            <w:pPr>
              <w:pStyle w:val="4"/>
              <w:rPr>
                <w:lang w:val="en-US"/>
              </w:rPr>
            </w:pPr>
            <w:r>
              <w:rPr>
                <w:rFonts w:hint="eastAsia"/>
                <w:lang w:val="en-US"/>
              </w:rPr>
              <w:t>支持审核数据、违规记录、规则日志等数据的查询、导出、清理（清理需权限验证），支持数据备份与恢复，确保数据安全，满足医保审计及医院内部管理需求。</w:t>
            </w:r>
          </w:p>
        </w:tc>
      </w:tr>
      <w:tr w14:paraId="025D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3ED423F9">
            <w:pPr>
              <w:pStyle w:val="4"/>
              <w:rPr>
                <w:lang w:val="en-US"/>
              </w:rPr>
            </w:pPr>
          </w:p>
        </w:tc>
        <w:tc>
          <w:tcPr>
            <w:tcW w:w="1324" w:type="dxa"/>
            <w:vMerge w:val="continue"/>
            <w:vAlign w:val="center"/>
          </w:tcPr>
          <w:p w14:paraId="6B74E723">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ED42831">
            <w:pPr>
              <w:pStyle w:val="4"/>
              <w:jc w:val="left"/>
              <w:rPr>
                <w:b/>
                <w:lang w:val="en-US"/>
              </w:rPr>
            </w:pPr>
            <w:r>
              <w:rPr>
                <w:rFonts w:hint="eastAsia"/>
                <w:b/>
                <w:lang w:val="en-US"/>
              </w:rPr>
              <w:t>系统参数设置</w:t>
            </w:r>
          </w:p>
        </w:tc>
        <w:tc>
          <w:tcPr>
            <w:tcW w:w="5182" w:type="dxa"/>
            <w:tcBorders>
              <w:top w:val="single" w:color="auto" w:sz="4" w:space="0"/>
              <w:left w:val="single" w:color="auto" w:sz="4" w:space="0"/>
              <w:bottom w:val="single" w:color="auto" w:sz="4" w:space="0"/>
              <w:right w:val="single" w:color="auto" w:sz="4" w:space="0"/>
            </w:tcBorders>
            <w:vAlign w:val="center"/>
          </w:tcPr>
          <w:p w14:paraId="2C16D105">
            <w:pPr>
              <w:pStyle w:val="4"/>
              <w:rPr>
                <w:lang w:val="en-US"/>
              </w:rPr>
            </w:pPr>
            <w:r>
              <w:rPr>
                <w:rFonts w:hint="eastAsia"/>
                <w:lang w:val="en-US"/>
              </w:rPr>
              <w:t>支持自定义系统参数（如审核响应时间、备份周期、提醒方式、违规分级标准等），支持系统公告发布、修改、删除，便于医院灵活管理系统运行，适配不同管理场景需求。</w:t>
            </w:r>
          </w:p>
        </w:tc>
      </w:tr>
      <w:tr w14:paraId="1B35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55EA5065">
            <w:pPr>
              <w:pStyle w:val="4"/>
              <w:rPr>
                <w:lang w:val="en-US"/>
              </w:rPr>
            </w:pPr>
          </w:p>
        </w:tc>
        <w:tc>
          <w:tcPr>
            <w:tcW w:w="1324" w:type="dxa"/>
            <w:vMerge w:val="continue"/>
            <w:vAlign w:val="center"/>
          </w:tcPr>
          <w:p w14:paraId="191B24F6">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4165BBEC">
            <w:pPr>
              <w:pStyle w:val="4"/>
              <w:jc w:val="left"/>
              <w:rPr>
                <w:b/>
                <w:lang w:val="en-US"/>
              </w:rPr>
            </w:pPr>
            <w:r>
              <w:rPr>
                <w:rFonts w:hint="eastAsia"/>
                <w:b/>
                <w:lang w:val="en-US"/>
              </w:rPr>
              <w:t>字典管理</w:t>
            </w:r>
          </w:p>
        </w:tc>
        <w:tc>
          <w:tcPr>
            <w:tcW w:w="5182" w:type="dxa"/>
            <w:tcBorders>
              <w:top w:val="single" w:color="auto" w:sz="4" w:space="0"/>
              <w:left w:val="single" w:color="auto" w:sz="4" w:space="0"/>
              <w:bottom w:val="single" w:color="auto" w:sz="4" w:space="0"/>
              <w:right w:val="single" w:color="auto" w:sz="4" w:space="0"/>
            </w:tcBorders>
            <w:vAlign w:val="center"/>
          </w:tcPr>
          <w:p w14:paraId="76E71C4E">
            <w:pPr>
              <w:pStyle w:val="4"/>
              <w:rPr>
                <w:lang w:val="en-US"/>
              </w:rPr>
            </w:pPr>
            <w:r>
              <w:rPr>
                <w:rFonts w:hint="eastAsia"/>
                <w:lang w:val="en-US"/>
              </w:rPr>
              <w:t>涵盖常见基础字典及医保相关专用字典的维护，支持字典条目新增、编辑、删除，确保系统数据标准化、规范化，适配医保信息业务编码更新需求，保障违规收费审核的准确性。</w:t>
            </w:r>
          </w:p>
        </w:tc>
      </w:tr>
      <w:tr w14:paraId="6EA2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7BCAB258">
            <w:pPr>
              <w:pStyle w:val="4"/>
              <w:rPr>
                <w:lang w:val="en-US"/>
              </w:rPr>
            </w:pPr>
          </w:p>
        </w:tc>
        <w:tc>
          <w:tcPr>
            <w:tcW w:w="1324" w:type="dxa"/>
            <w:vMerge w:val="continue"/>
            <w:vAlign w:val="center"/>
          </w:tcPr>
          <w:p w14:paraId="2A28C891">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9A31A0B">
            <w:pPr>
              <w:pStyle w:val="4"/>
              <w:jc w:val="left"/>
              <w:rPr>
                <w:b/>
                <w:lang w:val="en-US"/>
              </w:rPr>
            </w:pPr>
            <w:r>
              <w:rPr>
                <w:rFonts w:hint="eastAsia"/>
                <w:b/>
                <w:lang w:val="en-US"/>
              </w:rPr>
              <w:t>日志管理</w:t>
            </w:r>
          </w:p>
        </w:tc>
        <w:tc>
          <w:tcPr>
            <w:tcW w:w="5182" w:type="dxa"/>
            <w:tcBorders>
              <w:top w:val="single" w:color="auto" w:sz="4" w:space="0"/>
              <w:left w:val="single" w:color="auto" w:sz="4" w:space="0"/>
              <w:bottom w:val="single" w:color="auto" w:sz="4" w:space="0"/>
              <w:right w:val="single" w:color="auto" w:sz="4" w:space="0"/>
            </w:tcBorders>
            <w:vAlign w:val="center"/>
          </w:tcPr>
          <w:p w14:paraId="012B211E">
            <w:pPr>
              <w:pStyle w:val="4"/>
              <w:rPr>
                <w:lang w:val="en-US"/>
              </w:rPr>
            </w:pPr>
            <w:r>
              <w:rPr>
                <w:rFonts w:hint="eastAsia"/>
                <w:lang w:val="en-US"/>
              </w:rPr>
              <w:t>全程记录操作日志、登录日志、规则修改日志、审核日志、申诉日志、数据导出日志，日志内容包含操作人、时间、</w:t>
            </w:r>
            <w:r>
              <w:rPr>
                <w:lang w:val="en-US"/>
              </w:rPr>
              <w:t>IP</w:t>
            </w:r>
            <w:r>
              <w:rPr>
                <w:rFonts w:hint="eastAsia"/>
                <w:lang w:val="en-US"/>
              </w:rPr>
              <w:t>、内容、结果，不可删除、不可篡改，留存≥</w:t>
            </w:r>
            <w:r>
              <w:rPr>
                <w:lang w:val="en-US"/>
              </w:rPr>
              <w:t xml:space="preserve">5 </w:t>
            </w:r>
            <w:r>
              <w:rPr>
                <w:rFonts w:hint="eastAsia"/>
                <w:lang w:val="en-US"/>
              </w:rPr>
              <w:t>年，满足审计与合规要求。</w:t>
            </w:r>
          </w:p>
        </w:tc>
      </w:tr>
      <w:tr w14:paraId="468A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vMerge w:val="continue"/>
            <w:vAlign w:val="center"/>
          </w:tcPr>
          <w:p w14:paraId="61562CA6">
            <w:pPr>
              <w:pStyle w:val="4"/>
              <w:rPr>
                <w:lang w:val="en-US"/>
              </w:rPr>
            </w:pPr>
          </w:p>
        </w:tc>
        <w:tc>
          <w:tcPr>
            <w:tcW w:w="1324" w:type="dxa"/>
            <w:vMerge w:val="continue"/>
            <w:vAlign w:val="center"/>
          </w:tcPr>
          <w:p w14:paraId="41FBB40C">
            <w:pPr>
              <w:pStyle w:val="4"/>
              <w:rPr>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14:paraId="7036FEBB">
            <w:pPr>
              <w:pStyle w:val="4"/>
              <w:jc w:val="left"/>
              <w:rPr>
                <w:b/>
                <w:lang w:val="en-US"/>
              </w:rPr>
            </w:pPr>
            <w:r>
              <w:rPr>
                <w:rFonts w:hint="eastAsia"/>
                <w:b/>
                <w:lang w:val="en-US"/>
              </w:rPr>
              <w:t>权限管控</w:t>
            </w:r>
          </w:p>
        </w:tc>
        <w:tc>
          <w:tcPr>
            <w:tcW w:w="5182" w:type="dxa"/>
            <w:tcBorders>
              <w:top w:val="single" w:color="auto" w:sz="4" w:space="0"/>
              <w:left w:val="single" w:color="auto" w:sz="4" w:space="0"/>
              <w:bottom w:val="single" w:color="auto" w:sz="4" w:space="0"/>
              <w:right w:val="single" w:color="auto" w:sz="4" w:space="0"/>
            </w:tcBorders>
            <w:vAlign w:val="center"/>
          </w:tcPr>
          <w:p w14:paraId="08D74BFD">
            <w:pPr>
              <w:pStyle w:val="4"/>
              <w:rPr>
                <w:lang w:val="en-US"/>
              </w:rPr>
            </w:pPr>
            <w:r>
              <w:rPr>
                <w:rFonts w:hint="eastAsia"/>
                <w:lang w:val="en-US"/>
              </w:rPr>
              <w:t>支持三级权限管理（功能权限、数据权限、操作权限），实现 “谁使用、谁负责、谁留痕”，杜绝越权操作。</w:t>
            </w:r>
          </w:p>
        </w:tc>
      </w:tr>
    </w:tbl>
    <w:p w14:paraId="5AA83771">
      <w:pPr>
        <w:pStyle w:val="4"/>
        <w:rPr>
          <w:lang w:val="en-US"/>
        </w:rPr>
      </w:pPr>
    </w:p>
    <w:p w14:paraId="0263D9C6">
      <w:pPr>
        <w:spacing w:line="360" w:lineRule="auto"/>
        <w:outlineLvl w:val="2"/>
        <w:rPr>
          <w:rFonts w:ascii="宋体" w:hAnsi="宋体" w:cs="宋体"/>
          <w:b/>
          <w:bCs/>
          <w:sz w:val="24"/>
          <w:szCs w:val="24"/>
        </w:rPr>
      </w:pPr>
      <w:r>
        <w:rPr>
          <w:rFonts w:hint="eastAsia" w:ascii="宋体" w:hAnsi="宋体" w:cs="宋体"/>
          <w:b/>
          <w:bCs/>
          <w:sz w:val="24"/>
          <w:szCs w:val="24"/>
        </w:rPr>
        <w:t>2</w:t>
      </w:r>
      <w:r>
        <w:rPr>
          <w:rFonts w:ascii="宋体" w:hAnsi="宋体" w:cs="宋体"/>
          <w:b/>
          <w:bCs/>
          <w:sz w:val="24"/>
          <w:szCs w:val="24"/>
        </w:rPr>
        <w:t>.2</w:t>
      </w:r>
      <w:r>
        <w:rPr>
          <w:rFonts w:hint="eastAsia" w:ascii="宋体" w:hAnsi="宋体" w:cs="宋体"/>
          <w:b/>
          <w:bCs/>
          <w:sz w:val="24"/>
          <w:szCs w:val="24"/>
        </w:rPr>
        <w:t>算力服务器要求</w:t>
      </w:r>
    </w:p>
    <w:tbl>
      <w:tblPr>
        <w:tblStyle w:val="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607"/>
        <w:gridCol w:w="1276"/>
        <w:gridCol w:w="4757"/>
      </w:tblGrid>
      <w:tr w14:paraId="33A1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6" w:type="dxa"/>
          </w:tcPr>
          <w:p w14:paraId="4BA62DBD">
            <w:pPr>
              <w:pStyle w:val="4"/>
              <w:rPr>
                <w:lang w:val="en-US"/>
              </w:rPr>
            </w:pPr>
            <w:r>
              <w:rPr>
                <w:rFonts w:hint="eastAsia"/>
                <w:lang w:val="en-US"/>
              </w:rPr>
              <w:t>序号</w:t>
            </w:r>
          </w:p>
        </w:tc>
        <w:tc>
          <w:tcPr>
            <w:tcW w:w="1607" w:type="dxa"/>
          </w:tcPr>
          <w:p w14:paraId="413576F7">
            <w:pPr>
              <w:pStyle w:val="4"/>
              <w:rPr>
                <w:lang w:val="en-US"/>
              </w:rPr>
            </w:pPr>
            <w:r>
              <w:rPr>
                <w:rFonts w:hint="eastAsia"/>
                <w:lang w:val="en-US"/>
              </w:rPr>
              <w:t>产品名称</w:t>
            </w:r>
          </w:p>
        </w:tc>
        <w:tc>
          <w:tcPr>
            <w:tcW w:w="1276" w:type="dxa"/>
          </w:tcPr>
          <w:p w14:paraId="3B21C144">
            <w:pPr>
              <w:pStyle w:val="4"/>
              <w:rPr>
                <w:lang w:val="en-US"/>
              </w:rPr>
            </w:pPr>
            <w:r>
              <w:rPr>
                <w:rFonts w:hint="eastAsia"/>
                <w:lang w:val="en-US"/>
              </w:rPr>
              <w:t>数量</w:t>
            </w:r>
          </w:p>
        </w:tc>
        <w:tc>
          <w:tcPr>
            <w:tcW w:w="4757" w:type="dxa"/>
          </w:tcPr>
          <w:p w14:paraId="190017E3">
            <w:pPr>
              <w:pStyle w:val="4"/>
              <w:rPr>
                <w:lang w:val="en-US"/>
              </w:rPr>
            </w:pPr>
            <w:r>
              <w:rPr>
                <w:rFonts w:hint="eastAsia"/>
                <w:lang w:val="en-US"/>
              </w:rPr>
              <w:t>配置要求</w:t>
            </w:r>
          </w:p>
        </w:tc>
      </w:tr>
      <w:tr w14:paraId="05BF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jc w:val="center"/>
        </w:trPr>
        <w:tc>
          <w:tcPr>
            <w:tcW w:w="656" w:type="dxa"/>
            <w:vAlign w:val="center"/>
          </w:tcPr>
          <w:p w14:paraId="445DC4DD">
            <w:pPr>
              <w:pStyle w:val="4"/>
              <w:rPr>
                <w:lang w:val="en-US"/>
              </w:rPr>
            </w:pPr>
            <w:r>
              <w:rPr>
                <w:rFonts w:hint="eastAsia"/>
                <w:lang w:val="en-US"/>
              </w:rPr>
              <w:t>1</w:t>
            </w:r>
          </w:p>
        </w:tc>
        <w:tc>
          <w:tcPr>
            <w:tcW w:w="1607" w:type="dxa"/>
            <w:vAlign w:val="center"/>
          </w:tcPr>
          <w:p w14:paraId="5C561EEF">
            <w:pPr>
              <w:pStyle w:val="4"/>
              <w:rPr>
                <w:lang w:val="en-US"/>
              </w:rPr>
            </w:pPr>
            <w:r>
              <w:rPr>
                <w:rFonts w:hint="eastAsia"/>
                <w:lang w:val="en-US"/>
              </w:rPr>
              <w:t>算力服务器</w:t>
            </w:r>
          </w:p>
        </w:tc>
        <w:tc>
          <w:tcPr>
            <w:tcW w:w="1276" w:type="dxa"/>
            <w:vAlign w:val="center"/>
          </w:tcPr>
          <w:p w14:paraId="6EEDB00E">
            <w:pPr>
              <w:pStyle w:val="4"/>
              <w:rPr>
                <w:lang w:val="en-US"/>
              </w:rPr>
            </w:pPr>
            <w:r>
              <w:rPr>
                <w:lang w:val="en-US"/>
              </w:rPr>
              <w:t xml:space="preserve">1 </w:t>
            </w:r>
          </w:p>
        </w:tc>
        <w:tc>
          <w:tcPr>
            <w:tcW w:w="4757" w:type="dxa"/>
            <w:vAlign w:val="center"/>
          </w:tcPr>
          <w:p w14:paraId="2F88053E">
            <w:pPr>
              <w:pStyle w:val="4"/>
              <w:rPr>
                <w:lang w:val="en-US"/>
              </w:rPr>
            </w:pPr>
            <w:r>
              <w:rPr>
                <w:rFonts w:hint="eastAsia"/>
                <w:lang w:val="en-US"/>
              </w:rPr>
              <w:t>CPU：</w:t>
            </w:r>
            <w:bookmarkStart w:id="5" w:name="OLE_LINK3"/>
            <w:bookmarkStart w:id="6" w:name="OLE_LINK4"/>
            <w:r>
              <w:rPr>
                <w:rFonts w:hint="eastAsia"/>
                <w:lang w:val="en-US"/>
              </w:rPr>
              <w:t>2*32C 2.6GHz</w:t>
            </w:r>
            <w:bookmarkEnd w:id="5"/>
            <w:bookmarkEnd w:id="6"/>
            <w:r>
              <w:rPr>
                <w:rFonts w:hint="eastAsia"/>
                <w:lang w:val="en-US"/>
              </w:rPr>
              <w:t>以上</w:t>
            </w:r>
          </w:p>
          <w:p w14:paraId="103DF49E">
            <w:pPr>
              <w:pStyle w:val="4"/>
              <w:rPr>
                <w:lang w:val="en-US"/>
              </w:rPr>
            </w:pPr>
            <w:r>
              <w:rPr>
                <w:rFonts w:hint="eastAsia"/>
                <w:lang w:val="en-US"/>
              </w:rPr>
              <w:t>运行内存：</w:t>
            </w:r>
            <w:r>
              <w:rPr>
                <w:lang w:val="en-US"/>
              </w:rPr>
              <w:t>256GB</w:t>
            </w:r>
            <w:r>
              <w:rPr>
                <w:rFonts w:hint="eastAsia"/>
                <w:lang w:val="en-US"/>
              </w:rPr>
              <w:t>以上</w:t>
            </w:r>
          </w:p>
          <w:p w14:paraId="33DE03C0">
            <w:pPr>
              <w:pStyle w:val="4"/>
              <w:rPr>
                <w:lang w:val="en-US"/>
              </w:rPr>
            </w:pPr>
            <w:r>
              <w:rPr>
                <w:rFonts w:hint="eastAsia"/>
                <w:lang w:val="en-US"/>
              </w:rPr>
              <w:t>算力卡：</w:t>
            </w:r>
            <w:r>
              <w:rPr>
                <w:lang w:val="en-US"/>
              </w:rPr>
              <w:t>显存128GB</w:t>
            </w:r>
            <w:r>
              <w:rPr>
                <w:rFonts w:hint="eastAsia"/>
                <w:lang w:val="en-US"/>
              </w:rPr>
              <w:t>以上</w:t>
            </w:r>
          </w:p>
          <w:p w14:paraId="6742B8FC">
            <w:pPr>
              <w:pStyle w:val="4"/>
              <w:rPr>
                <w:lang w:val="en-US"/>
              </w:rPr>
            </w:pPr>
            <w:r>
              <w:rPr>
                <w:rFonts w:hint="eastAsia"/>
                <w:lang w:val="en-US"/>
              </w:rPr>
              <w:t>存储：</w:t>
            </w:r>
            <w:r>
              <w:rPr>
                <w:lang w:val="en-US"/>
              </w:rPr>
              <w:t>2*480G  SSD</w:t>
            </w:r>
            <w:r>
              <w:rPr>
                <w:rFonts w:hint="eastAsia"/>
                <w:lang w:val="en-US"/>
              </w:rPr>
              <w:t>+</w:t>
            </w:r>
            <w:r>
              <w:rPr>
                <w:lang w:val="en-US"/>
              </w:rPr>
              <w:t>2*2T  NVME SSD</w:t>
            </w:r>
          </w:p>
        </w:tc>
      </w:tr>
    </w:tbl>
    <w:p w14:paraId="2079A0F0">
      <w:pPr>
        <w:pStyle w:val="4"/>
        <w:rPr>
          <w:lang w:val="en-US"/>
        </w:rPr>
      </w:pPr>
    </w:p>
    <w:p w14:paraId="751FCB09">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三、对接口及系统改造的要求</w:t>
      </w:r>
    </w:p>
    <w:p w14:paraId="5FBD0CC8">
      <w:pPr>
        <w:spacing w:line="312" w:lineRule="auto"/>
        <w:rPr>
          <w:rFonts w:ascii="宋体" w:hAnsi="宋体" w:eastAsia="宋体" w:cs="宋体"/>
          <w:b/>
          <w:bCs/>
          <w:sz w:val="24"/>
          <w:szCs w:val="24"/>
        </w:rPr>
      </w:pPr>
      <w:r>
        <w:rPr>
          <w:rFonts w:hint="eastAsia" w:ascii="宋体" w:hAnsi="宋体" w:eastAsia="宋体" w:cs="宋体"/>
          <w:b/>
          <w:bCs/>
          <w:sz w:val="24"/>
          <w:szCs w:val="24"/>
        </w:rPr>
        <w:tab/>
      </w:r>
      <w:r>
        <w:rPr>
          <w:rFonts w:hint="eastAsia" w:ascii="宋体" w:hAnsi="宋体" w:eastAsia="宋体" w:cs="宋体"/>
          <w:b/>
          <w:bCs/>
          <w:sz w:val="24"/>
          <w:szCs w:val="24"/>
        </w:rPr>
        <w:t>质保期和维保期内实现以下要求：</w:t>
      </w:r>
    </w:p>
    <w:p w14:paraId="72A03FE0">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3.1</w:t>
      </w:r>
      <w:r>
        <w:rPr>
          <w:rFonts w:hint="eastAsia" w:ascii="宋体" w:hAnsi="宋体" w:eastAsia="宋体" w:cs="宋体"/>
          <w:iCs/>
          <w:sz w:val="24"/>
          <w:lang w:val="en-US"/>
        </w:rPr>
        <w:t>提供全部的接口技术，与第三方系统共享数据和功能，这些接口技术包括但不限于中间件技术接口、WEBSEVICE通用接口、数据库级接口、文件文本接口等</w:t>
      </w:r>
      <w:r>
        <w:rPr>
          <w:rFonts w:hint="eastAsia" w:ascii="宋体" w:hAnsi="宋体" w:eastAsia="宋体" w:cs="宋体"/>
          <w:sz w:val="24"/>
          <w:lang w:val="en-US"/>
        </w:rPr>
        <w:t>。</w:t>
      </w:r>
    </w:p>
    <w:p w14:paraId="08BF71CF">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3.2</w:t>
      </w:r>
      <w:r>
        <w:rPr>
          <w:rFonts w:hint="eastAsia" w:ascii="宋体" w:hAnsi="宋体" w:eastAsia="宋体" w:cs="宋体"/>
          <w:iCs/>
          <w:sz w:val="24"/>
          <w:lang w:val="en-US"/>
        </w:rPr>
        <w:t>支</w:t>
      </w:r>
      <w:bookmarkStart w:id="7" w:name="OLE_LINK12"/>
      <w:bookmarkStart w:id="8" w:name="OLE_LINK11"/>
      <w:r>
        <w:rPr>
          <w:rFonts w:hint="eastAsia" w:ascii="宋体" w:hAnsi="宋体" w:eastAsia="宋体" w:cs="宋体"/>
          <w:iCs/>
          <w:sz w:val="24"/>
          <w:lang w:val="en-US"/>
        </w:rPr>
        <w:t>持与医院第三方系统统一接口的维护与管理，与HIS、电子病历、LIS、PACS、心电系统、体检系统、集成平台、智慧运营平台、成本管理系统、排班系统、人力资源管理系统、财务管理系统、互联网医院、OA平台、自助服务平台、DRG管理、绩效管理、电子发票、短信平台、CA签名、单点登录系统、财务电子档案等其他所有医院相关业务系统（包括以上医院系统但不仅限于以上系统）进行接口对接，实现数据交换，所有费用包含在报价中</w:t>
      </w:r>
      <w:bookmarkEnd w:id="7"/>
      <w:bookmarkEnd w:id="8"/>
      <w:r>
        <w:rPr>
          <w:rFonts w:hint="eastAsia" w:ascii="宋体" w:hAnsi="宋体" w:eastAsia="宋体" w:cs="宋体"/>
          <w:sz w:val="24"/>
          <w:lang w:val="en-US"/>
        </w:rPr>
        <w:t>。</w:t>
      </w:r>
    </w:p>
    <w:p w14:paraId="337DC860">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3.3</w:t>
      </w:r>
      <w:r>
        <w:rPr>
          <w:rFonts w:hint="eastAsia" w:ascii="宋体" w:hAnsi="宋体" w:eastAsia="宋体" w:cs="宋体"/>
          <w:iCs/>
          <w:sz w:val="24"/>
          <w:lang w:val="en-US"/>
        </w:rPr>
        <w:t>满足医院电子病历系统功能应用水平分级评价达到6级以上评审、医院信息互联互通标准化成熟度测评达到五级乙等以上水平评审、信息系统安全等级保护三级测评、三甲医院评审、医院智慧服务分级评估标准体系达到4级以上相关的功能要求、医院智慧管理分级评估标准体系达到4级以上相关的功能要求、网络攻防演练中的安全防护要求以及医院其他需要评审的信息化技术改造服务要求</w:t>
      </w:r>
      <w:r>
        <w:rPr>
          <w:rFonts w:hint="eastAsia" w:ascii="宋体" w:hAnsi="宋体" w:eastAsia="宋体" w:cs="宋体"/>
          <w:sz w:val="24"/>
          <w:lang w:val="en-US"/>
        </w:rPr>
        <w:t>。</w:t>
      </w:r>
    </w:p>
    <w:p w14:paraId="7B7CCADC">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3.4</w:t>
      </w:r>
      <w:r>
        <w:rPr>
          <w:rFonts w:hint="eastAsia" w:ascii="宋体" w:hAnsi="宋体" w:eastAsia="宋体" w:cs="宋体"/>
          <w:iCs/>
          <w:sz w:val="24"/>
          <w:lang w:val="en-US"/>
        </w:rPr>
        <w:t>提供</w:t>
      </w:r>
      <w:r>
        <w:rPr>
          <w:rFonts w:hint="eastAsia" w:ascii="宋体" w:hAnsi="宋体" w:eastAsia="宋体" w:cs="宋体"/>
          <w:iCs/>
          <w:color w:val="auto"/>
          <w:sz w:val="24"/>
          <w:lang w:val="en-US"/>
        </w:rPr>
        <w:t>合同约定范围内的</w:t>
      </w:r>
      <w:r>
        <w:rPr>
          <w:rFonts w:hint="eastAsia" w:ascii="宋体" w:hAnsi="宋体" w:eastAsia="宋体" w:cs="宋体"/>
          <w:iCs/>
          <w:sz w:val="24"/>
          <w:lang w:val="en-US"/>
        </w:rPr>
        <w:t>软件升级及个性化修改服务，实现院方的个性化需求；</w:t>
      </w:r>
      <w:r>
        <w:rPr>
          <w:rFonts w:hint="eastAsia" w:ascii="宋体" w:hAnsi="宋体" w:eastAsia="宋体" w:cs="宋体"/>
          <w:sz w:val="24"/>
          <w:lang w:val="en-US"/>
        </w:rPr>
        <w:t>如软件自身存在错误类问题，应提供免费的错误修复服务。</w:t>
      </w:r>
    </w:p>
    <w:p w14:paraId="1A63875B">
      <w:pPr>
        <w:pStyle w:val="10"/>
        <w:spacing w:line="360" w:lineRule="auto"/>
        <w:ind w:firstLineChars="0"/>
        <w:rPr>
          <w:rFonts w:ascii="宋体" w:hAnsi="宋体" w:eastAsia="宋体" w:cs="宋体"/>
          <w:sz w:val="24"/>
        </w:rPr>
      </w:pPr>
      <w:r>
        <w:rPr>
          <w:rFonts w:hint="eastAsia" w:ascii="宋体" w:hAnsi="宋体" w:eastAsia="宋体" w:cs="宋体"/>
          <w:sz w:val="24"/>
        </w:rPr>
        <w:t>3.5</w:t>
      </w:r>
      <w:r>
        <w:rPr>
          <w:rFonts w:hint="eastAsia" w:ascii="宋体" w:hAnsi="宋体" w:eastAsia="宋体" w:cs="宋体"/>
          <w:iCs/>
          <w:sz w:val="24"/>
        </w:rPr>
        <w:t>提供医院新增业务信息系统的对接、实现医院上级管理部门要求的系统接口对接要求</w:t>
      </w:r>
      <w:r>
        <w:rPr>
          <w:rFonts w:hint="eastAsia" w:ascii="宋体" w:hAnsi="宋体" w:eastAsia="宋体" w:cs="宋体"/>
          <w:sz w:val="24"/>
        </w:rPr>
        <w:t>。</w:t>
      </w:r>
    </w:p>
    <w:p w14:paraId="774C752A">
      <w:pPr>
        <w:pStyle w:val="10"/>
        <w:spacing w:line="360" w:lineRule="auto"/>
        <w:ind w:firstLineChars="0"/>
        <w:rPr>
          <w:rFonts w:ascii="宋体" w:hAnsi="宋体" w:eastAsia="宋体" w:cs="宋体"/>
          <w:sz w:val="24"/>
        </w:rPr>
      </w:pPr>
      <w:r>
        <w:rPr>
          <w:rFonts w:hint="eastAsia" w:ascii="宋体" w:hAnsi="宋体" w:eastAsia="宋体"/>
          <w:sz w:val="24"/>
          <w:szCs w:val="24"/>
        </w:rPr>
        <w:t>3.6</w:t>
      </w:r>
      <w:r>
        <w:rPr>
          <w:rFonts w:hint="eastAsia" w:ascii="宋体" w:hAnsi="宋体" w:eastAsia="宋体"/>
          <w:iCs/>
          <w:sz w:val="24"/>
          <w:szCs w:val="24"/>
        </w:rPr>
        <w:t>若医院更换已对接的业务系统、乙方须提供与新业务系统的对接及联调服务</w:t>
      </w:r>
      <w:r>
        <w:rPr>
          <w:rFonts w:hint="eastAsia" w:ascii="宋体" w:hAnsi="宋体" w:eastAsia="宋体"/>
          <w:sz w:val="24"/>
          <w:szCs w:val="24"/>
        </w:rPr>
        <w:t>。</w:t>
      </w:r>
    </w:p>
    <w:p w14:paraId="4B37B48F">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3.7项目软硬件系统不限定用户数、并发数、不限定医疗集团内部及院区使用。</w:t>
      </w:r>
    </w:p>
    <w:p w14:paraId="3316A5CC">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四、项目实施要求</w:t>
      </w:r>
    </w:p>
    <w:p w14:paraId="06E34068">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4.1</w:t>
      </w:r>
      <w:r>
        <w:rPr>
          <w:rFonts w:hint="eastAsia" w:ascii="宋体" w:hAnsi="宋体" w:eastAsia="宋体" w:cs="宋体"/>
          <w:iCs/>
          <w:sz w:val="24"/>
          <w:lang w:val="en-US"/>
        </w:rPr>
        <w:t>驻场、实施工期要求：合同签订后，10个工作日内项目实施人员必须进场，系统需在3个月内完成项目实施上线，请分别列出每个系统实施的工作计划及周期</w:t>
      </w:r>
      <w:r>
        <w:rPr>
          <w:rFonts w:hint="eastAsia" w:ascii="宋体" w:hAnsi="宋体" w:eastAsia="宋体" w:cs="宋体"/>
          <w:sz w:val="24"/>
          <w:lang w:val="en-US"/>
        </w:rPr>
        <w:t>。</w:t>
      </w:r>
    </w:p>
    <w:p w14:paraId="572A7939">
      <w:pPr>
        <w:pStyle w:val="4"/>
        <w:spacing w:after="0" w:line="312" w:lineRule="auto"/>
        <w:ind w:firstLine="420"/>
        <w:rPr>
          <w:rFonts w:ascii="宋体" w:hAnsi="宋体" w:eastAsia="宋体" w:cs="宋体"/>
          <w:color w:val="auto"/>
          <w:sz w:val="24"/>
          <w:lang w:val="en-US"/>
        </w:rPr>
      </w:pPr>
      <w:r>
        <w:rPr>
          <w:rFonts w:hint="eastAsia" w:ascii="宋体" w:hAnsi="宋体" w:eastAsia="宋体" w:cs="宋体"/>
          <w:color w:val="auto"/>
          <w:sz w:val="24"/>
          <w:lang w:val="en-US"/>
        </w:rPr>
        <w:t>4.2驻场人员要求：</w:t>
      </w:r>
    </w:p>
    <w:p w14:paraId="13795654">
      <w:pPr>
        <w:pStyle w:val="4"/>
        <w:spacing w:after="0" w:line="312" w:lineRule="auto"/>
        <w:ind w:firstLine="420"/>
        <w:rPr>
          <w:rFonts w:ascii="宋体" w:hAnsi="宋体" w:eastAsia="宋体" w:cs="宋体"/>
          <w:color w:val="auto"/>
          <w:sz w:val="24"/>
          <w:lang w:val="en-US"/>
        </w:rPr>
      </w:pPr>
      <w:r>
        <w:rPr>
          <w:rFonts w:hint="eastAsia" w:ascii="宋体" w:hAnsi="宋体" w:eastAsia="宋体" w:cs="宋体"/>
          <w:color w:val="auto"/>
          <w:sz w:val="24"/>
          <w:lang w:val="en-US"/>
        </w:rPr>
        <w:t>实施工程师：项目驻场实施工程师需有2年以上本厂商同等项目实施经验。项目实施阶段，驻场实施工程师不得少于</w:t>
      </w:r>
      <w:r>
        <w:rPr>
          <w:rFonts w:ascii="宋体" w:hAnsi="宋体" w:eastAsia="宋体" w:cs="宋体"/>
          <w:color w:val="auto"/>
          <w:sz w:val="24"/>
          <w:lang w:val="en-US"/>
        </w:rPr>
        <w:t>2</w:t>
      </w:r>
      <w:r>
        <w:rPr>
          <w:rFonts w:hint="eastAsia" w:ascii="宋体" w:hAnsi="宋体" w:eastAsia="宋体" w:cs="宋体"/>
          <w:color w:val="auto"/>
          <w:sz w:val="24"/>
          <w:lang w:val="en-US"/>
        </w:rPr>
        <w:t>名。</w:t>
      </w:r>
    </w:p>
    <w:p w14:paraId="30F18718">
      <w:pPr>
        <w:pStyle w:val="4"/>
        <w:spacing w:after="0" w:line="312" w:lineRule="auto"/>
        <w:ind w:firstLine="420"/>
        <w:rPr>
          <w:rFonts w:ascii="宋体" w:hAnsi="宋体" w:eastAsia="宋体" w:cs="宋体"/>
          <w:color w:val="auto"/>
          <w:sz w:val="24"/>
          <w:lang w:val="en-US"/>
        </w:rPr>
      </w:pPr>
      <w:r>
        <w:rPr>
          <w:rFonts w:hint="eastAsia" w:ascii="宋体" w:hAnsi="宋体" w:eastAsia="宋体" w:cs="宋体"/>
          <w:color w:val="auto"/>
          <w:sz w:val="24"/>
          <w:lang w:val="en-US"/>
        </w:rPr>
        <w:t>如不能按项目阶段计划正常开展工作的，医院书面提出要求后，厂商应配合增加驻场开发人员，驻场开发人员不得少于</w:t>
      </w:r>
      <w:r>
        <w:rPr>
          <w:rFonts w:ascii="宋体" w:hAnsi="宋体" w:eastAsia="宋体" w:cs="宋体"/>
          <w:color w:val="auto"/>
          <w:sz w:val="24"/>
          <w:lang w:val="en-US"/>
        </w:rPr>
        <w:t>1</w:t>
      </w:r>
      <w:r>
        <w:rPr>
          <w:rFonts w:hint="eastAsia" w:ascii="宋体" w:hAnsi="宋体" w:eastAsia="宋体" w:cs="宋体"/>
          <w:color w:val="auto"/>
          <w:sz w:val="24"/>
          <w:lang w:val="en-US"/>
        </w:rPr>
        <w:t>人。</w:t>
      </w:r>
    </w:p>
    <w:p w14:paraId="3CD86E7F">
      <w:pPr>
        <w:pStyle w:val="4"/>
        <w:spacing w:after="0" w:line="312" w:lineRule="auto"/>
        <w:ind w:firstLine="420"/>
        <w:rPr>
          <w:rFonts w:ascii="宋体" w:hAnsi="宋体" w:eastAsia="宋体" w:cs="宋体"/>
          <w:color w:val="auto"/>
          <w:sz w:val="24"/>
          <w:lang w:val="en-US"/>
        </w:rPr>
      </w:pPr>
      <w:r>
        <w:rPr>
          <w:rFonts w:hint="eastAsia" w:ascii="宋体" w:hAnsi="宋体" w:eastAsia="宋体" w:cs="宋体"/>
          <w:color w:val="auto"/>
          <w:sz w:val="24"/>
          <w:lang w:val="en-US"/>
        </w:rPr>
        <w:t>如需更换开发工程师、实施工程师，厂商需提交书面申请，经院方同意才可更换。</w:t>
      </w:r>
    </w:p>
    <w:p w14:paraId="5613E29D">
      <w:pPr>
        <w:pStyle w:val="4"/>
        <w:spacing w:after="0" w:line="312" w:lineRule="auto"/>
        <w:ind w:firstLine="420"/>
        <w:rPr>
          <w:rFonts w:ascii="宋体" w:hAnsi="宋体" w:eastAsia="宋体" w:cs="宋体"/>
          <w:sz w:val="24"/>
          <w:lang w:val="en-US"/>
        </w:rPr>
      </w:pPr>
      <w:r>
        <w:rPr>
          <w:rFonts w:hint="eastAsia" w:ascii="宋体" w:hAnsi="宋体" w:eastAsia="宋体" w:cs="宋体"/>
          <w:iCs/>
          <w:sz w:val="24"/>
          <w:lang w:val="en-US"/>
        </w:rPr>
        <w:t>竞标文件中需提供软件提供商项目驻场人员清单（含项目开发和项目实施人员），清单中标明驻场人员详细信息，如姓名、联系方式、技术职称、社保证明或其他证明</w:t>
      </w:r>
      <w:r>
        <w:rPr>
          <w:rFonts w:hint="eastAsia" w:ascii="宋体" w:hAnsi="宋体" w:eastAsia="宋体" w:cs="宋体"/>
          <w:sz w:val="24"/>
          <w:lang w:val="en-US"/>
        </w:rPr>
        <w:t>。</w:t>
      </w:r>
    </w:p>
    <w:p w14:paraId="53E99121">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4.3因厂商与甲方存在对需求理解有差异的可能性，要求所有软件功能需求的响应以甲方意见为准。</w:t>
      </w:r>
    </w:p>
    <w:p w14:paraId="42716EA3">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4.4培训要求：</w:t>
      </w:r>
    </w:p>
    <w:p w14:paraId="14AE4047">
      <w:pPr>
        <w:spacing w:line="312" w:lineRule="auto"/>
        <w:ind w:firstLine="480" w:firstLineChars="200"/>
        <w:jc w:val="left"/>
      </w:pPr>
      <w:r>
        <w:rPr>
          <w:rFonts w:hint="eastAsia" w:ascii="宋体" w:hAnsi="宋体" w:eastAsia="宋体" w:cs="宋体"/>
          <w:sz w:val="24"/>
          <w:szCs w:val="24"/>
        </w:rPr>
        <w:t>培训应至少包括但不限于：软硬件系统的安装、部署、维护方法、系统的功能使用培训；</w:t>
      </w:r>
    </w:p>
    <w:p w14:paraId="7BE4AE32">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五、售后服务及其他要求</w:t>
      </w:r>
    </w:p>
    <w:p w14:paraId="0EFB9C2B">
      <w:pPr>
        <w:spacing w:line="312" w:lineRule="auto"/>
        <w:ind w:firstLine="420"/>
        <w:jc w:val="left"/>
        <w:rPr>
          <w:rFonts w:ascii="宋体" w:hAnsi="宋体" w:cs="宋体"/>
          <w:sz w:val="24"/>
          <w:szCs w:val="24"/>
        </w:rPr>
      </w:pPr>
      <w:r>
        <w:rPr>
          <w:rFonts w:hint="eastAsia" w:ascii="宋体" w:hAnsi="宋体" w:cs="宋体"/>
          <w:sz w:val="24"/>
          <w:szCs w:val="24"/>
        </w:rPr>
        <w:t>5.1</w:t>
      </w:r>
      <w:r>
        <w:rPr>
          <w:rFonts w:hint="eastAsia" w:ascii="宋体" w:hAnsi="宋体" w:cs="宋体"/>
          <w:iCs/>
          <w:sz w:val="24"/>
          <w:szCs w:val="24"/>
        </w:rPr>
        <w:t>自本项目整体最终验收之日起，软件产品要求提供</w:t>
      </w:r>
      <w:r>
        <w:rPr>
          <w:rFonts w:hint="eastAsia" w:ascii="宋体" w:hAnsi="宋体" w:cs="宋体"/>
          <w:b/>
          <w:iCs/>
          <w:sz w:val="24"/>
          <w:szCs w:val="24"/>
        </w:rPr>
        <w:t>三年</w:t>
      </w:r>
      <w:r>
        <w:rPr>
          <w:rFonts w:hint="eastAsia" w:ascii="宋体" w:hAnsi="宋体" w:cs="宋体"/>
          <w:iCs/>
          <w:sz w:val="24"/>
          <w:szCs w:val="24"/>
        </w:rPr>
        <w:t>的质保服务。含软件维护和系统软件升级、系统BUG及漏洞修复、技术支持服务、系统管理及操作培训服务，提供系统个性化修改需求。</w:t>
      </w:r>
      <w:bookmarkStart w:id="9" w:name="OLE_LINK44"/>
      <w:bookmarkStart w:id="10" w:name="OLE_LINK45"/>
      <w:r>
        <w:rPr>
          <w:rFonts w:hint="eastAsia" w:ascii="宋体" w:hAnsi="宋体" w:cs="宋体"/>
          <w:iCs/>
          <w:sz w:val="24"/>
          <w:szCs w:val="24"/>
        </w:rPr>
        <w:t>投标方案请详细说明售后服务的内容</w:t>
      </w:r>
      <w:r>
        <w:rPr>
          <w:rFonts w:hint="eastAsia" w:ascii="宋体" w:hAnsi="宋体" w:cs="宋体"/>
          <w:sz w:val="24"/>
          <w:szCs w:val="24"/>
        </w:rPr>
        <w:t>。</w:t>
      </w:r>
      <w:bookmarkEnd w:id="9"/>
      <w:bookmarkEnd w:id="10"/>
    </w:p>
    <w:p w14:paraId="65A2D597">
      <w:pPr>
        <w:spacing w:line="312" w:lineRule="auto"/>
        <w:ind w:firstLine="420"/>
        <w:jc w:val="left"/>
        <w:rPr>
          <w:rFonts w:ascii="宋体" w:hAnsi="宋体" w:cs="宋体"/>
          <w:sz w:val="24"/>
          <w:szCs w:val="24"/>
        </w:rPr>
      </w:pPr>
      <w:r>
        <w:rPr>
          <w:rFonts w:hint="eastAsia" w:ascii="宋体" w:hAnsi="宋体" w:cs="宋体"/>
          <w:sz w:val="24"/>
          <w:szCs w:val="24"/>
        </w:rPr>
        <w:t>5.</w:t>
      </w:r>
      <w:r>
        <w:rPr>
          <w:rFonts w:ascii="宋体" w:hAnsi="宋体" w:cs="宋体"/>
          <w:sz w:val="24"/>
          <w:szCs w:val="24"/>
        </w:rPr>
        <w:t>2</w:t>
      </w:r>
      <w:r>
        <w:rPr>
          <w:rFonts w:hint="eastAsia" w:ascii="宋体" w:hAnsi="宋体" w:cs="宋体"/>
          <w:sz w:val="24"/>
          <w:szCs w:val="24"/>
        </w:rPr>
        <w:t>硬件产品到货安装、调试完成之日起三个月内，若出现设备硬件故障或损坏的情况，我院有权要求投标方更换同等型号和配置的新设备，设备换新、安装、调试产生的所有费用由投标方承担。</w:t>
      </w:r>
      <w:r>
        <w:rPr>
          <w:rFonts w:hint="eastAsia" w:ascii="宋体" w:hAnsi="宋体" w:cs="宋体"/>
          <w:iCs/>
          <w:sz w:val="24"/>
          <w:szCs w:val="24"/>
        </w:rPr>
        <w:t>自本项目整体最终验收之日起，硬件产品要求提供</w:t>
      </w:r>
      <w:r>
        <w:rPr>
          <w:rFonts w:hint="eastAsia" w:ascii="宋体" w:hAnsi="宋体" w:cs="宋体"/>
          <w:b/>
          <w:iCs/>
          <w:color w:val="auto"/>
          <w:sz w:val="24"/>
          <w:szCs w:val="24"/>
        </w:rPr>
        <w:t>三年</w:t>
      </w:r>
      <w:r>
        <w:rPr>
          <w:rFonts w:hint="eastAsia" w:ascii="宋体" w:hAnsi="宋体" w:cs="宋体"/>
          <w:iCs/>
          <w:sz w:val="24"/>
          <w:szCs w:val="24"/>
        </w:rPr>
        <w:t>的质保服务。含设备故障维修、系统调试、损坏配件更换及工程师上门服务。质保期内，损坏的硬件配件由投标方提供并更换</w:t>
      </w:r>
      <w:r>
        <w:rPr>
          <w:rFonts w:hint="eastAsia" w:ascii="宋体" w:hAnsi="宋体" w:cs="宋体"/>
          <w:sz w:val="24"/>
          <w:szCs w:val="24"/>
        </w:rPr>
        <w:t>。</w:t>
      </w:r>
      <w:r>
        <w:rPr>
          <w:rFonts w:hint="eastAsia" w:ascii="宋体" w:hAnsi="宋体" w:cs="宋体"/>
          <w:iCs/>
          <w:sz w:val="24"/>
          <w:szCs w:val="24"/>
        </w:rPr>
        <w:t>投标方案请详细说明售后服务的内容</w:t>
      </w:r>
      <w:r>
        <w:rPr>
          <w:rFonts w:hint="eastAsia" w:ascii="宋体" w:hAnsi="宋体" w:cs="宋体"/>
          <w:sz w:val="24"/>
          <w:szCs w:val="24"/>
        </w:rPr>
        <w:t>。</w:t>
      </w:r>
    </w:p>
    <w:p w14:paraId="2E31FFF2">
      <w:pPr>
        <w:spacing w:line="312" w:lineRule="auto"/>
        <w:ind w:firstLine="420"/>
        <w:jc w:val="left"/>
        <w:rPr>
          <w:rFonts w:ascii="宋体" w:hAnsi="宋体" w:cs="宋体"/>
          <w:sz w:val="24"/>
          <w:szCs w:val="24"/>
        </w:rPr>
      </w:pPr>
      <w:r>
        <w:rPr>
          <w:rFonts w:hint="eastAsia" w:ascii="宋体" w:hAnsi="宋体" w:cs="宋体"/>
          <w:sz w:val="24"/>
          <w:szCs w:val="24"/>
        </w:rPr>
        <w:t>5.</w:t>
      </w:r>
      <w:r>
        <w:rPr>
          <w:rFonts w:ascii="宋体" w:hAnsi="宋体" w:cs="宋体"/>
          <w:sz w:val="24"/>
          <w:szCs w:val="24"/>
        </w:rPr>
        <w:t>3</w:t>
      </w:r>
      <w:r>
        <w:rPr>
          <w:rFonts w:hint="eastAsia" w:ascii="宋体" w:hAnsi="宋体" w:cs="宋体"/>
          <w:sz w:val="24"/>
          <w:szCs w:val="24"/>
        </w:rPr>
        <w:t>安装调试要求：送货上门、安装调试、提供完善的设备及软件系统使用中文操作手册、图纸、网络详细拓扑图、系统配置、功能配置、设备配置及互联记录。</w:t>
      </w:r>
    </w:p>
    <w:p w14:paraId="4F34A541">
      <w:pPr>
        <w:spacing w:line="312" w:lineRule="auto"/>
        <w:ind w:firstLine="420"/>
        <w:jc w:val="left"/>
        <w:rPr>
          <w:rFonts w:ascii="宋体" w:hAnsi="宋体" w:cs="宋体"/>
          <w:sz w:val="24"/>
          <w:szCs w:val="24"/>
        </w:rPr>
      </w:pPr>
      <w:r>
        <w:rPr>
          <w:rFonts w:hint="eastAsia" w:ascii="宋体" w:hAnsi="宋体" w:cs="宋体"/>
          <w:sz w:val="24"/>
          <w:szCs w:val="24"/>
        </w:rPr>
        <w:t>5.</w:t>
      </w:r>
      <w:r>
        <w:rPr>
          <w:rFonts w:ascii="宋体" w:hAnsi="宋体" w:cs="宋体"/>
          <w:sz w:val="24"/>
          <w:szCs w:val="24"/>
        </w:rPr>
        <w:t>4</w:t>
      </w:r>
      <w:r>
        <w:rPr>
          <w:rFonts w:hint="eastAsia" w:ascii="宋体" w:hAnsi="宋体" w:cs="宋体"/>
          <w:sz w:val="24"/>
          <w:szCs w:val="24"/>
        </w:rPr>
        <w:t>原厂技术人员提供售后服务，含电话支持、现场响应、远程操作、网上客服中心等多种方式服务，应做到7×24小时全天候电话或微信等常用联系方式响应。</w:t>
      </w:r>
      <w:bookmarkStart w:id="11" w:name="_Toc507405798"/>
      <w:r>
        <w:rPr>
          <w:rFonts w:hint="eastAsia" w:ascii="宋体" w:hAnsi="宋体" w:cs="宋体"/>
          <w:sz w:val="24"/>
          <w:szCs w:val="24"/>
        </w:rPr>
        <w:t>当出现故障时，接到故障通知后，原厂技术人员应在30分钟内响应，远程技术支持无法解决的，24小时内需到达现场处理修复，并调查分析事故原因。</w:t>
      </w:r>
    </w:p>
    <w:p w14:paraId="31B48D40">
      <w:pPr>
        <w:spacing w:line="312" w:lineRule="auto"/>
        <w:ind w:firstLine="420"/>
        <w:jc w:val="left"/>
        <w:rPr>
          <w:rFonts w:ascii="宋体" w:hAnsi="宋体" w:cs="宋体"/>
          <w:sz w:val="24"/>
          <w:szCs w:val="24"/>
        </w:rPr>
      </w:pPr>
      <w:r>
        <w:rPr>
          <w:rFonts w:hint="eastAsia" w:ascii="宋体" w:hAnsi="宋体" w:eastAsia="宋体" w:cs="微软雅黑"/>
          <w:sz w:val="24"/>
          <w:szCs w:val="24"/>
        </w:rPr>
        <w:t>5.</w:t>
      </w:r>
      <w:r>
        <w:rPr>
          <w:rFonts w:ascii="宋体" w:hAnsi="宋体" w:eastAsia="宋体" w:cs="微软雅黑"/>
          <w:sz w:val="24"/>
          <w:szCs w:val="24"/>
        </w:rPr>
        <w:t>5</w:t>
      </w:r>
      <w:r>
        <w:rPr>
          <w:rFonts w:hint="eastAsia" w:ascii="宋体" w:hAnsi="宋体" w:cs="宋体"/>
          <w:iCs/>
          <w:sz w:val="24"/>
          <w:szCs w:val="24"/>
        </w:rPr>
        <w:t>供应商提供原厂技术人员定期巡检服务，定期通过电话或其他方式访问用户，了解产品使用情况及网络安全情况，须在国家法定节假日来临前开展专项巡检，且每季度巡检不得少于一次，每次巡检完成后形成巡检报告（内容涉及此产品服务器\相关设备的运行情况）反馈给我院</w:t>
      </w:r>
      <w:r>
        <w:rPr>
          <w:rFonts w:hint="eastAsia" w:ascii="宋体" w:hAnsi="宋体" w:cs="宋体"/>
          <w:sz w:val="24"/>
          <w:szCs w:val="24"/>
        </w:rPr>
        <w:t>。</w:t>
      </w:r>
    </w:p>
    <w:p w14:paraId="769B9388">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六、违约责任</w:t>
      </w:r>
    </w:p>
    <w:p w14:paraId="4977CCF4">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6.1投标方所提供的产品及软件规格、技术标准、材料等质量不合格的，应及时更换，更换不及时的按逾期交付处罚；因质量问题甲方不同意接收和验收的，视为投标方违约，甲方有权单方面解除合同，并要求投标方退回所有医院已支付款项，同时按合同总金额的20%支付违约金。</w:t>
      </w:r>
    </w:p>
    <w:p w14:paraId="13FE92EC">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6.2若投标方提供的产品或软件侵犯了第三方合法权益而引发的任何纠纷或诉讼，均由投标方负责交涉并承担全部责任。</w:t>
      </w:r>
    </w:p>
    <w:p w14:paraId="285718E4">
      <w:pPr>
        <w:spacing w:line="312" w:lineRule="auto"/>
        <w:ind w:firstLine="420"/>
        <w:jc w:val="left"/>
        <w:rPr>
          <w:rFonts w:ascii="宋体" w:hAnsi="宋体" w:eastAsia="宋体" w:cs="宋体"/>
          <w:sz w:val="24"/>
          <w:szCs w:val="24"/>
        </w:rPr>
      </w:pPr>
      <w:r>
        <w:rPr>
          <w:rFonts w:hint="eastAsia" w:ascii="宋体" w:hAnsi="宋体" w:eastAsia="宋体" w:cs="宋体"/>
          <w:sz w:val="24"/>
          <w:szCs w:val="24"/>
        </w:rPr>
        <w:t>6.3因包装、运输引起的货物损坏，按质量不合格处理。</w:t>
      </w:r>
    </w:p>
    <w:p w14:paraId="30629C4D">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6.4售后服务违约：</w:t>
      </w:r>
    </w:p>
    <w:p w14:paraId="5212F5A9">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6.4.1 每缺少1次巡检记录，投标方应向甲方支付违约金1000元；</w:t>
      </w:r>
    </w:p>
    <w:p w14:paraId="3C673D5F">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6.4.2不能按本技术参数文档第5.4要求中如远程技术支持无法解决，12小时内需到达现场处理的，自12小时时限届满次日起计算逾期天数，每超期一日，乙方向甲方支付违约金500元。</w:t>
      </w:r>
    </w:p>
    <w:p w14:paraId="5FAA2B58">
      <w:pPr>
        <w:pStyle w:val="4"/>
        <w:spacing w:after="0" w:line="312" w:lineRule="auto"/>
        <w:ind w:firstLine="420"/>
        <w:rPr>
          <w:rFonts w:ascii="宋体" w:hAnsi="宋体" w:eastAsia="宋体" w:cs="宋体"/>
          <w:color w:val="auto"/>
          <w:sz w:val="24"/>
          <w:lang w:val="en-US"/>
        </w:rPr>
      </w:pPr>
      <w:r>
        <w:rPr>
          <w:rFonts w:hint="eastAsia" w:ascii="宋体" w:hAnsi="宋体" w:eastAsia="宋体" w:cs="宋体"/>
          <w:sz w:val="24"/>
        </w:rPr>
        <w:t>6.5合同签订后10个工作日内进场实施，每个模块计划实施周期需在合同内写明。因软件供应商</w:t>
      </w:r>
      <w:r>
        <w:rPr>
          <w:rFonts w:hint="eastAsia" w:ascii="宋体" w:hAnsi="宋体" w:eastAsia="宋体" w:cs="宋体"/>
          <w:sz w:val="24"/>
          <w:lang w:val="en-US"/>
        </w:rPr>
        <w:t>自身原因，未能按期进场实施</w:t>
      </w:r>
      <w:r>
        <w:rPr>
          <w:rFonts w:hint="eastAsia" w:ascii="宋体" w:hAnsi="宋体" w:eastAsia="宋体" w:cs="宋体"/>
          <w:sz w:val="24"/>
        </w:rPr>
        <w:t>，需按每天向院方支付合同款金额3‰作为违约金，超过30天，甲方有权解除合同，乙方需承担因此给院方造成的经济损失；</w:t>
      </w:r>
      <w:r>
        <w:rPr>
          <w:rFonts w:hint="eastAsia" w:ascii="宋体" w:hAnsi="宋体" w:eastAsia="宋体" w:cs="宋体"/>
          <w:sz w:val="24"/>
          <w:lang w:val="en-US"/>
        </w:rPr>
        <w:t>不能按照合同约定上线期限完成，需要书面申请说明原因，得到甲方书面同意后最多延期一个月，否则（或者延期一个月后）按每超期7天（一周）从总合同金额扣除5%的违约金。扣除比例达到总合同金额的50%及以上的，视为乙方违约，甲方有权单方面解除合同，并要求乙方退回所有医院已支付款项，同时按合同总金额的20%支付违约金</w:t>
      </w:r>
      <w:r>
        <w:rPr>
          <w:rFonts w:hint="eastAsia" w:ascii="宋体" w:hAnsi="宋体" w:eastAsia="宋体" w:cs="宋体"/>
          <w:color w:val="auto"/>
          <w:sz w:val="24"/>
          <w:lang w:val="en-US"/>
        </w:rPr>
        <w:t>。</w:t>
      </w:r>
    </w:p>
    <w:p w14:paraId="1E4DB3E6">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6.6任何一方违反本技术要求中“保密、廉洁条款”要求的，应承担相应的违约责任并赔偿由此造成的损失，损失累计金额超过合同款项的5%的，损失方同时有权终止合同并收回已付款项。</w:t>
      </w:r>
    </w:p>
    <w:p w14:paraId="25FB4BBC">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6.7厂商方未按本技术要求和响应文件中规定的其他服务承诺提供售后服务的，按损失情况，每次应按合同合计金额的0.1‰-0.1%由乙方向甲方支付违约金，损失累计金额超过合同款项的5%的，损失方同时有权终止合同并收回已付款项。</w:t>
      </w:r>
    </w:p>
    <w:p w14:paraId="34952238">
      <w:pPr>
        <w:pStyle w:val="4"/>
        <w:spacing w:after="0" w:line="312" w:lineRule="auto"/>
        <w:ind w:firstLine="420"/>
        <w:rPr>
          <w:rFonts w:ascii="宋体" w:hAnsi="宋体" w:eastAsia="宋体" w:cs="宋体"/>
          <w:kern w:val="2"/>
          <w:sz w:val="24"/>
          <w:lang w:val="en-US"/>
        </w:rPr>
      </w:pPr>
      <w:r>
        <w:rPr>
          <w:rFonts w:hint="eastAsia" w:ascii="宋体" w:hAnsi="宋体" w:eastAsia="宋体" w:cs="宋体"/>
          <w:kern w:val="2"/>
          <w:sz w:val="24"/>
          <w:lang w:val="en-US"/>
        </w:rPr>
        <w:t>6.8厂商不得在提供的硬件及软件系统中设置包括且不限于如：软硬件加密狗、加密软件、时间锁、授权码等限制硬件及软件系统正常运行的措施，如有特殊需要必须提交纸质文件说明，经过我院签字同意才可设置，否则视为乙方违约，乙方需要支付医院违约金1500000元（壹佰伍拾万元），在此基础上医院有权要求乙方退回甲方已支付的所有款项。如对医院造成损失的，甲方有权要求乙方赔偿。</w:t>
      </w:r>
    </w:p>
    <w:p w14:paraId="584E9DA7">
      <w:pPr>
        <w:pStyle w:val="4"/>
        <w:spacing w:after="0" w:line="312" w:lineRule="auto"/>
        <w:ind w:firstLine="420"/>
        <w:rPr>
          <w:rFonts w:ascii="宋体" w:hAnsi="宋体" w:eastAsia="宋体" w:cs="宋体"/>
          <w:kern w:val="2"/>
          <w:sz w:val="24"/>
          <w:lang w:val="en-US"/>
        </w:rPr>
      </w:pPr>
      <w:r>
        <w:rPr>
          <w:rFonts w:hint="eastAsia" w:ascii="宋体" w:hAnsi="宋体" w:eastAsia="宋体" w:cs="宋体"/>
          <w:kern w:val="2"/>
          <w:sz w:val="24"/>
          <w:lang w:val="en-US"/>
        </w:rPr>
        <w:t>6.9厂商驻场工程师人员变更必须得到医院书面同意，否则视为乙方违约，甲方有权按5000元/人/次从合同总款中扣除。</w:t>
      </w:r>
    </w:p>
    <w:bookmarkEnd w:id="11"/>
    <w:p w14:paraId="5B02EB4E">
      <w:pPr>
        <w:pStyle w:val="3"/>
        <w:numPr>
          <w:ilvl w:val="0"/>
          <w:numId w:val="0"/>
        </w:numPr>
        <w:spacing w:before="0" w:after="0" w:line="312" w:lineRule="auto"/>
        <w:rPr>
          <w:rFonts w:ascii="宋体" w:hAnsi="宋体"/>
          <w:bCs w:val="0"/>
          <w:sz w:val="32"/>
          <w:szCs w:val="32"/>
        </w:rPr>
      </w:pPr>
      <w:bookmarkStart w:id="12" w:name="_Toc507405799"/>
      <w:bookmarkStart w:id="13" w:name="_Toc507405800"/>
      <w:r>
        <w:rPr>
          <w:rFonts w:hint="eastAsia" w:ascii="宋体" w:hAnsi="宋体"/>
          <w:bCs w:val="0"/>
          <w:sz w:val="32"/>
          <w:szCs w:val="32"/>
        </w:rPr>
        <w:t>七、保密、廉洁协议</w:t>
      </w:r>
    </w:p>
    <w:p w14:paraId="1A09EECC">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7.1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14:paraId="0A1ACB53">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7.2 双方不得以任何方式向第三方泄露本项目的软件技术、设计方案以及功能配置等内容。</w:t>
      </w:r>
    </w:p>
    <w:p w14:paraId="40F6E002">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7.3不以任何方式向第三方泄露在本协议开发实施过程中获取的经济、技术、数据以及双方其他非公开的信息。</w:t>
      </w:r>
    </w:p>
    <w:p w14:paraId="59FC70AF">
      <w:pPr>
        <w:spacing w:line="312" w:lineRule="auto"/>
        <w:ind w:firstLine="480" w:firstLineChars="200"/>
        <w:jc w:val="left"/>
        <w:rPr>
          <w:rFonts w:ascii="宋体" w:hAnsi="宋体" w:eastAsia="宋体" w:cs="宋体"/>
          <w:sz w:val="24"/>
          <w:szCs w:val="24"/>
        </w:rPr>
      </w:pPr>
      <w:r>
        <w:rPr>
          <w:rFonts w:hint="eastAsia" w:ascii="宋体" w:hAnsi="宋体" w:eastAsia="宋体" w:cs="宋体"/>
          <w:sz w:val="24"/>
          <w:szCs w:val="24"/>
        </w:rPr>
        <w:t>7.4 不从事商业贿赂行为，遵守廉洁协议或相关规定。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14:paraId="447BE01C">
      <w:pPr>
        <w:spacing w:line="312" w:lineRule="auto"/>
        <w:ind w:firstLine="480" w:firstLineChars="200"/>
        <w:jc w:val="left"/>
        <w:rPr>
          <w:rFonts w:ascii="宋体" w:hAnsi="宋体" w:eastAsia="宋体" w:cs="宋体"/>
          <w:strike/>
          <w:sz w:val="24"/>
          <w:szCs w:val="24"/>
        </w:rPr>
      </w:pPr>
      <w:r>
        <w:rPr>
          <w:rFonts w:hint="eastAsia" w:ascii="宋体" w:hAnsi="宋体" w:eastAsia="宋体" w:cs="宋体"/>
          <w:sz w:val="24"/>
          <w:szCs w:val="24"/>
        </w:rPr>
        <w:t>7.5保密期限自本合同生效之日起永久有效，如乙方需解除保密协议需向甲方提出书面申请，经双方协商同意签字确认后方可解除。</w:t>
      </w:r>
    </w:p>
    <w:p w14:paraId="53B4A939">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八、报价</w:t>
      </w:r>
    </w:p>
    <w:p w14:paraId="54CCDA54">
      <w:pPr>
        <w:pStyle w:val="4"/>
        <w:spacing w:after="0" w:line="312" w:lineRule="auto"/>
        <w:ind w:firstLine="420"/>
        <w:rPr>
          <w:rFonts w:ascii="宋体" w:hAnsi="宋体" w:eastAsia="宋体" w:cs="宋体"/>
          <w:sz w:val="24"/>
        </w:rPr>
      </w:pPr>
      <w:r>
        <w:rPr>
          <w:rFonts w:hint="eastAsia" w:ascii="宋体" w:hAnsi="宋体" w:eastAsia="宋体" w:cs="宋体"/>
          <w:sz w:val="24"/>
          <w:lang w:val="en-US"/>
        </w:rPr>
        <w:t>8.1</w:t>
      </w:r>
      <w:r>
        <w:rPr>
          <w:rFonts w:hint="eastAsia" w:ascii="宋体" w:hAnsi="宋体" w:eastAsia="宋体" w:cs="宋体"/>
          <w:sz w:val="24"/>
        </w:rPr>
        <w:t>竞标文件提供技术偏离表、</w:t>
      </w:r>
      <w:r>
        <w:rPr>
          <w:rFonts w:hint="eastAsia" w:ascii="宋体" w:hAnsi="宋体" w:eastAsia="宋体" w:cs="宋体"/>
          <w:sz w:val="24"/>
          <w:lang w:val="en-US"/>
        </w:rPr>
        <w:t>商务</w:t>
      </w:r>
      <w:r>
        <w:rPr>
          <w:rFonts w:hint="eastAsia" w:ascii="宋体" w:hAnsi="宋体" w:eastAsia="宋体" w:cs="宋体"/>
          <w:sz w:val="24"/>
        </w:rPr>
        <w:t>偏离表，并标明详细的技术和</w:t>
      </w:r>
      <w:r>
        <w:rPr>
          <w:rFonts w:hint="eastAsia" w:ascii="宋体" w:hAnsi="宋体" w:eastAsia="宋体" w:cs="宋体"/>
          <w:sz w:val="24"/>
          <w:lang w:val="en-US"/>
        </w:rPr>
        <w:t>商务</w:t>
      </w:r>
      <w:r>
        <w:rPr>
          <w:rFonts w:hint="eastAsia" w:ascii="宋体" w:hAnsi="宋体" w:eastAsia="宋体" w:cs="宋体"/>
          <w:sz w:val="24"/>
        </w:rPr>
        <w:t>内容。竞标文件按系统模块报价，报价表价格包含系统软硬件费用、产品安装、调试实施、培训费用、产品升级费用、</w:t>
      </w:r>
      <w:r>
        <w:rPr>
          <w:rFonts w:hint="eastAsia" w:ascii="宋体" w:hAnsi="宋体" w:eastAsia="宋体"/>
          <w:sz w:val="24"/>
        </w:rPr>
        <w:t>接口费（包括第三方厂家的接口费）等费用</w:t>
      </w:r>
      <w:r>
        <w:rPr>
          <w:rFonts w:hint="eastAsia" w:ascii="宋体" w:hAnsi="宋体" w:eastAsia="宋体" w:cs="宋体"/>
          <w:sz w:val="24"/>
        </w:rPr>
        <w:t>，以及明示所有责任、义务和一切风险。</w:t>
      </w:r>
    </w:p>
    <w:p w14:paraId="347BCF4E">
      <w:pPr>
        <w:pStyle w:val="4"/>
        <w:spacing w:after="0" w:line="312" w:lineRule="auto"/>
        <w:ind w:firstLine="420"/>
        <w:rPr>
          <w:rFonts w:ascii="宋体" w:hAnsi="宋体" w:eastAsia="宋体" w:cs="宋体"/>
          <w:sz w:val="24"/>
        </w:rPr>
      </w:pPr>
      <w:r>
        <w:rPr>
          <w:rFonts w:hint="eastAsia" w:ascii="宋体" w:hAnsi="宋体" w:eastAsia="宋体" w:cs="宋体"/>
          <w:sz w:val="24"/>
          <w:lang w:val="en-US"/>
        </w:rPr>
        <w:t>8.2</w:t>
      </w:r>
      <w:r>
        <w:rPr>
          <w:rFonts w:hint="eastAsia" w:ascii="宋体" w:hAnsi="宋体" w:eastAsia="宋体" w:cs="宋体"/>
          <w:sz w:val="24"/>
        </w:rPr>
        <w:t>竞标文件须分别提供质保期内软硬件服务方案及质保期满后软件维保服务方案。</w:t>
      </w:r>
    </w:p>
    <w:p w14:paraId="0CCCB8C2">
      <w:pPr>
        <w:pStyle w:val="4"/>
        <w:spacing w:after="0" w:line="312" w:lineRule="auto"/>
        <w:ind w:firstLine="420"/>
        <w:rPr>
          <w:rFonts w:ascii="宋体" w:hAnsi="宋体" w:eastAsia="宋体" w:cs="宋体"/>
          <w:sz w:val="24"/>
        </w:rPr>
      </w:pPr>
      <w:r>
        <w:rPr>
          <w:rFonts w:hint="eastAsia" w:ascii="宋体" w:hAnsi="宋体" w:eastAsia="宋体" w:cs="宋体"/>
          <w:sz w:val="24"/>
          <w:lang w:val="en-US"/>
        </w:rPr>
        <w:t>8.3</w:t>
      </w:r>
      <w:r>
        <w:rPr>
          <w:rFonts w:hint="eastAsia" w:ascii="宋体" w:hAnsi="宋体" w:eastAsia="宋体" w:cs="宋体"/>
          <w:sz w:val="24"/>
        </w:rPr>
        <w:t>竞标文件需提供系统详细图文介绍。系统实施验收参照本技术文档及竞标文件提供的图文介绍为依据。</w:t>
      </w:r>
    </w:p>
    <w:p w14:paraId="24D8A0A7">
      <w:pPr>
        <w:pStyle w:val="4"/>
        <w:spacing w:after="0" w:line="312" w:lineRule="auto"/>
        <w:ind w:firstLine="420"/>
        <w:rPr>
          <w:rFonts w:ascii="宋体" w:hAnsi="宋体" w:eastAsia="宋体" w:cs="宋体"/>
          <w:sz w:val="24"/>
        </w:rPr>
      </w:pPr>
      <w:r>
        <w:rPr>
          <w:rFonts w:hint="eastAsia" w:ascii="宋体" w:hAnsi="宋体" w:eastAsia="宋体" w:cs="宋体"/>
          <w:sz w:val="24"/>
        </w:rPr>
        <w:t>8.4如项目功能二次开发内容涉及我院采购的第三方产品，请在标书内标明哪些功能的实现需要二次开发接口。</w:t>
      </w:r>
    </w:p>
    <w:p w14:paraId="2597E6A9">
      <w:pPr>
        <w:pStyle w:val="4"/>
        <w:spacing w:after="0" w:line="312" w:lineRule="auto"/>
        <w:ind w:firstLine="420"/>
        <w:rPr>
          <w:rFonts w:ascii="宋体" w:hAnsi="宋体" w:eastAsia="宋体" w:cs="宋体"/>
          <w:sz w:val="24"/>
          <w:lang w:val="en-US"/>
        </w:rPr>
      </w:pPr>
      <w:r>
        <w:rPr>
          <w:rFonts w:hint="eastAsia" w:ascii="宋体" w:hAnsi="宋体" w:eastAsia="宋体" w:cs="宋体"/>
          <w:sz w:val="24"/>
          <w:lang w:val="en-US"/>
        </w:rPr>
        <w:t>8.</w:t>
      </w:r>
      <w:r>
        <w:rPr>
          <w:rFonts w:ascii="宋体" w:hAnsi="宋体" w:eastAsia="宋体" w:cs="宋体"/>
          <w:sz w:val="24"/>
          <w:lang w:val="en-US"/>
        </w:rPr>
        <w:t>5</w:t>
      </w:r>
      <w:bookmarkStart w:id="14" w:name="OLE_LINK49"/>
      <w:bookmarkStart w:id="15" w:name="OLE_LINK48"/>
      <w:r>
        <w:rPr>
          <w:rFonts w:hint="eastAsia" w:ascii="宋体" w:hAnsi="宋体" w:eastAsia="宋体" w:cs="宋体"/>
          <w:sz w:val="24"/>
          <w:lang w:val="en-US"/>
        </w:rPr>
        <w:t>竞标文件需提供近三年内（自2023年</w:t>
      </w:r>
      <w:r>
        <w:rPr>
          <w:rFonts w:ascii="宋体" w:hAnsi="宋体" w:eastAsia="宋体" w:cs="宋体"/>
          <w:sz w:val="24"/>
          <w:lang w:val="en-US"/>
        </w:rPr>
        <w:t>7</w:t>
      </w:r>
      <w:r>
        <w:rPr>
          <w:rFonts w:hint="eastAsia" w:ascii="宋体" w:hAnsi="宋体" w:eastAsia="宋体" w:cs="宋体"/>
          <w:sz w:val="24"/>
          <w:lang w:val="en-US"/>
        </w:rPr>
        <w:t>月起）在同等三级甲等医院实施并成功上线的同类软件系统案例说明及佐证材料。</w:t>
      </w:r>
      <w:bookmarkEnd w:id="14"/>
      <w:bookmarkEnd w:id="15"/>
    </w:p>
    <w:p w14:paraId="4F789984">
      <w:pPr>
        <w:pStyle w:val="3"/>
        <w:numPr>
          <w:ilvl w:val="0"/>
          <w:numId w:val="0"/>
        </w:numPr>
        <w:spacing w:before="0" w:after="0" w:line="312" w:lineRule="auto"/>
        <w:rPr>
          <w:rFonts w:ascii="宋体" w:hAnsi="宋体"/>
          <w:bCs w:val="0"/>
          <w:sz w:val="32"/>
          <w:szCs w:val="32"/>
        </w:rPr>
      </w:pPr>
      <w:r>
        <w:rPr>
          <w:rFonts w:hint="eastAsia" w:ascii="宋体" w:hAnsi="宋体"/>
          <w:bCs w:val="0"/>
          <w:sz w:val="32"/>
          <w:szCs w:val="32"/>
        </w:rPr>
        <w:t>九、付款方式</w:t>
      </w:r>
      <w:bookmarkEnd w:id="12"/>
    </w:p>
    <w:bookmarkEnd w:id="13"/>
    <w:p w14:paraId="6E482FD1">
      <w:pPr>
        <w:pStyle w:val="10"/>
        <w:spacing w:line="360" w:lineRule="auto"/>
        <w:ind w:firstLine="614" w:firstLineChars="256"/>
        <w:rPr>
          <w:rFonts w:ascii="宋体" w:hAnsi="宋体" w:eastAsia="宋体" w:cs="微软雅黑"/>
          <w:sz w:val="24"/>
          <w:szCs w:val="24"/>
        </w:rPr>
      </w:pPr>
      <w:r>
        <w:rPr>
          <w:rFonts w:hint="eastAsia" w:ascii="宋体" w:hAnsi="宋体" w:eastAsia="宋体" w:cs="微软雅黑"/>
          <w:color w:val="auto"/>
          <w:sz w:val="24"/>
          <w:szCs w:val="24"/>
        </w:rPr>
        <w:t>项目双方签订合同</w:t>
      </w:r>
      <w:r>
        <w:rPr>
          <w:rFonts w:hint="eastAsia" w:ascii="宋体" w:hAnsi="宋体" w:eastAsia="宋体" w:cs="微软雅黑"/>
          <w:color w:val="auto"/>
          <w:sz w:val="24"/>
          <w:szCs w:val="24"/>
          <w:lang w:eastAsia="zh-CN"/>
        </w:rPr>
        <w:t>，</w:t>
      </w:r>
      <w:r>
        <w:rPr>
          <w:rFonts w:hint="eastAsia" w:ascii="宋体" w:hAnsi="宋体" w:eastAsia="宋体" w:cs="微软雅黑"/>
          <w:color w:val="auto"/>
          <w:sz w:val="24"/>
          <w:szCs w:val="24"/>
        </w:rPr>
        <w:t>项目部署上线后，甲方支付合同款项的</w:t>
      </w:r>
      <w:r>
        <w:rPr>
          <w:rFonts w:ascii="宋体" w:hAnsi="宋体" w:eastAsia="宋体" w:cs="微软雅黑"/>
          <w:color w:val="auto"/>
          <w:sz w:val="24"/>
          <w:szCs w:val="24"/>
        </w:rPr>
        <w:t>30%</w:t>
      </w:r>
      <w:r>
        <w:rPr>
          <w:rFonts w:hint="eastAsia" w:ascii="宋体" w:hAnsi="宋体" w:eastAsia="宋体" w:cs="微软雅黑"/>
          <w:color w:val="auto"/>
          <w:sz w:val="24"/>
          <w:szCs w:val="24"/>
        </w:rPr>
        <w:t>；</w:t>
      </w:r>
      <w:r>
        <w:rPr>
          <w:rFonts w:hint="eastAsia" w:ascii="宋体" w:hAnsi="宋体" w:eastAsia="宋体" w:cs="微软雅黑"/>
          <w:sz w:val="24"/>
          <w:szCs w:val="24"/>
        </w:rPr>
        <w:t>合同中的所有模块实施完毕，系统上线稳定运行3个月后，启动项目验收，验收合格后甲方支付合同款项的</w:t>
      </w:r>
      <w:r>
        <w:rPr>
          <w:rFonts w:ascii="宋体" w:hAnsi="宋体" w:eastAsia="宋体" w:cs="微软雅黑"/>
          <w:sz w:val="24"/>
          <w:szCs w:val="24"/>
        </w:rPr>
        <w:t>6</w:t>
      </w:r>
      <w:r>
        <w:rPr>
          <w:rFonts w:hint="eastAsia" w:ascii="宋体" w:hAnsi="宋体" w:eastAsia="宋体" w:cs="微软雅黑"/>
          <w:sz w:val="24"/>
          <w:szCs w:val="24"/>
        </w:rPr>
        <w:t>0%；自项目验收合格之日起，稳定运行1年后，甲方支付合同款项的10%（不计利息）。</w:t>
      </w:r>
    </w:p>
    <w:p w14:paraId="63D8B82F">
      <w:pPr>
        <w:pStyle w:val="10"/>
        <w:spacing w:line="360" w:lineRule="auto"/>
        <w:ind w:firstLine="614" w:firstLineChars="256"/>
        <w:rPr>
          <w:color w:val="auto"/>
          <w:sz w:val="24"/>
        </w:rPr>
      </w:pPr>
    </w:p>
    <w:p w14:paraId="15DB3537">
      <w:bookmarkStart w:id="16" w:name="_GoBack"/>
      <w:bookmarkEnd w:id="16"/>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0953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98B9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E98B9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D84B87"/>
    <w:multiLevelType w:val="multilevel"/>
    <w:tmpl w:val="14D84B87"/>
    <w:lvl w:ilvl="0" w:tentative="0">
      <w:start w:val="1"/>
      <w:numFmt w:val="chineseCountingThousand"/>
      <w:pStyle w:val="3"/>
      <w:lvlText w:val="%1"/>
      <w:lvlJc w:val="left"/>
      <w:pPr>
        <w:ind w:left="425" w:hanging="425"/>
      </w:pPr>
      <w:rPr>
        <w:rFonts w:hint="eastAsia"/>
      </w:rPr>
    </w:lvl>
    <w:lvl w:ilvl="1" w:tentative="0">
      <w:start w:val="1"/>
      <w:numFmt w:val="chineseCountingThousand"/>
      <w:lvlText w:val="(%2)"/>
      <w:lvlJc w:val="left"/>
      <w:pPr>
        <w:ind w:left="850" w:hanging="567"/>
      </w:pPr>
      <w:rPr>
        <w:rFonts w:hint="eastAsia"/>
      </w:rPr>
    </w:lvl>
    <w:lvl w:ilvl="2" w:tentative="0">
      <w:start w:val="1"/>
      <w:numFmt w:val="decimal"/>
      <w:lvlText w:val="%3."/>
      <w:lvlJc w:val="left"/>
      <w:pPr>
        <w:ind w:left="1356" w:hanging="567"/>
      </w:pPr>
      <w:rPr>
        <w:rFonts w:hint="eastAsia"/>
      </w:rPr>
    </w:lvl>
    <w:lvl w:ilvl="3" w:tentative="0">
      <w:start w:val="1"/>
      <w:numFmt w:val="decimal"/>
      <w:isLgl/>
      <w:lvlText w:val="%1.%2.%3.%4"/>
      <w:lvlJc w:val="left"/>
      <w:pPr>
        <w:ind w:left="1984" w:hanging="708"/>
      </w:pPr>
      <w:rPr>
        <w:rFonts w:hint="eastAsia"/>
      </w:rPr>
    </w:lvl>
    <w:lvl w:ilvl="4" w:tentative="0">
      <w:start w:val="1"/>
      <w:numFmt w:val="decimal"/>
      <w:isLgl/>
      <w:lvlText w:val="%1.%2.%3.%4.%5"/>
      <w:lvlJc w:val="left"/>
      <w:pPr>
        <w:ind w:left="2551" w:hanging="850"/>
      </w:pPr>
      <w:rPr>
        <w:rFonts w:hint="eastAsia"/>
      </w:rPr>
    </w:lvl>
    <w:lvl w:ilvl="5" w:tentative="0">
      <w:start w:val="1"/>
      <w:numFmt w:val="decimal"/>
      <w:isLgl/>
      <w:lvlText w:val="%1.%2.%3.%4.%5.%6"/>
      <w:lvlJc w:val="left"/>
      <w:pPr>
        <w:ind w:left="3260" w:hanging="1134"/>
      </w:pPr>
      <w:rPr>
        <w:rFonts w:hint="eastAsia"/>
      </w:rPr>
    </w:lvl>
    <w:lvl w:ilvl="6" w:tentative="0">
      <w:start w:val="1"/>
      <w:numFmt w:val="decimal"/>
      <w:isLgl/>
      <w:lvlText w:val="%1.%2.%3.%4.%5.%6.%7"/>
      <w:lvlJc w:val="left"/>
      <w:pPr>
        <w:ind w:left="3827" w:hanging="1276"/>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F97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ind w:firstLine="630"/>
    </w:pPr>
    <w:rPr>
      <w:sz w:val="32"/>
      <w:szCs w:val="20"/>
    </w:rPr>
  </w:style>
  <w:style w:type="paragraph" w:styleId="4">
    <w:name w:val="Body Text"/>
    <w:basedOn w:val="1"/>
    <w:qFormat/>
    <w:uiPriority w:val="0"/>
    <w:pPr>
      <w:spacing w:after="120"/>
    </w:pPr>
    <w:rPr>
      <w:rFonts w:ascii="Times New Roman" w:hAnsi="Times New Roman"/>
      <w:kern w:val="0"/>
      <w:sz w:val="20"/>
      <w:szCs w:val="24"/>
      <w:lang w:val="zh-CN"/>
    </w:rPr>
  </w:style>
  <w:style w:type="paragraph" w:styleId="5">
    <w:name w:val="footer"/>
    <w:basedOn w:val="1"/>
    <w:qFormat/>
    <w:uiPriority w:val="0"/>
    <w:pPr>
      <w:tabs>
        <w:tab w:val="center" w:pos="4153"/>
        <w:tab w:val="right" w:pos="8306"/>
      </w:tabs>
      <w:snapToGrid w:val="0"/>
      <w:jc w:val="left"/>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2026-08-28T09:26:04Z</dcterms:created>
  <dc:creator>Administrator</dc:creator>
  <cp:lastModifiedBy>Administrator</cp:lastModifiedBy>
  <dcterms:modified xsi:type="dcterms:W3CDTF">2026-08-28T09:26:19Z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3E9C33F6FCEC48FDAADA32F52A3AA1F9_12</vt:lpwstr>
  </property>
</Properties>
</file>