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760CB">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柳州市工人医院202</w:t>
      </w:r>
      <w:r>
        <w:rPr>
          <w:rFonts w:hint="eastAsia" w:ascii="仿宋" w:hAnsi="仿宋" w:eastAsia="仿宋" w:cs="仿宋"/>
          <w:b/>
          <w:bCs/>
          <w:color w:val="auto"/>
          <w:sz w:val="36"/>
          <w:szCs w:val="36"/>
          <w:lang w:val="en-US" w:eastAsia="zh-CN"/>
        </w:rPr>
        <w:t>6</w:t>
      </w:r>
      <w:r>
        <w:rPr>
          <w:rFonts w:hint="eastAsia" w:ascii="仿宋" w:hAnsi="仿宋" w:eastAsia="仿宋" w:cs="仿宋"/>
          <w:b/>
          <w:bCs/>
          <w:color w:val="auto"/>
          <w:sz w:val="36"/>
          <w:szCs w:val="36"/>
        </w:rPr>
        <w:t>年</w:t>
      </w:r>
      <w:r>
        <w:rPr>
          <w:rFonts w:hint="eastAsia" w:ascii="仿宋" w:hAnsi="仿宋" w:eastAsia="仿宋" w:cs="仿宋"/>
          <w:b/>
          <w:bCs/>
          <w:color w:val="auto"/>
          <w:sz w:val="36"/>
          <w:szCs w:val="36"/>
          <w:lang w:val="en-US" w:eastAsia="zh-CN"/>
        </w:rPr>
        <w:t>离退休职工</w:t>
      </w:r>
      <w:r>
        <w:rPr>
          <w:rFonts w:hint="eastAsia" w:ascii="仿宋" w:hAnsi="仿宋" w:eastAsia="仿宋" w:cs="仿宋"/>
          <w:b/>
          <w:bCs/>
          <w:color w:val="auto"/>
          <w:sz w:val="36"/>
          <w:szCs w:val="36"/>
          <w:lang w:eastAsia="zh-CN"/>
        </w:rPr>
        <w:t>重阳节</w:t>
      </w:r>
      <w:r>
        <w:rPr>
          <w:rFonts w:hint="eastAsia" w:ascii="仿宋" w:hAnsi="仿宋" w:eastAsia="仿宋" w:cs="仿宋"/>
          <w:b/>
          <w:bCs/>
          <w:color w:val="auto"/>
          <w:sz w:val="36"/>
          <w:szCs w:val="36"/>
        </w:rPr>
        <w:t>慰问品采购</w:t>
      </w:r>
    </w:p>
    <w:p w14:paraId="0429B68D">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项目需求</w:t>
      </w:r>
    </w:p>
    <w:p w14:paraId="35C33B36">
      <w:pPr>
        <w:jc w:val="center"/>
        <w:rPr>
          <w:rFonts w:hint="eastAsia" w:ascii="仿宋" w:hAnsi="仿宋" w:eastAsia="仿宋" w:cs="仿宋"/>
          <w:b/>
          <w:bCs/>
          <w:color w:val="auto"/>
          <w:sz w:val="36"/>
          <w:szCs w:val="36"/>
        </w:rPr>
      </w:pPr>
    </w:p>
    <w:p w14:paraId="0F818CE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一、项目名称</w:t>
      </w:r>
    </w:p>
    <w:p w14:paraId="19AF8856">
      <w:pPr>
        <w:keepNext w:val="0"/>
        <w:keepLines w:val="0"/>
        <w:pageBreakBefore w:val="0"/>
        <w:widowControl w:val="0"/>
        <w:kinsoku/>
        <w:wordWrap/>
        <w:overflowPunct/>
        <w:topLinePunct w:val="0"/>
        <w:autoSpaceDE/>
        <w:autoSpaceDN/>
        <w:bidi w:val="0"/>
        <w:snapToGrid/>
        <w:spacing w:line="44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柳州市工人医院2026年离退休职工重阳节慰问品采购</w:t>
      </w:r>
    </w:p>
    <w:p w14:paraId="3ED53380">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二、项目概况</w:t>
      </w:r>
    </w:p>
    <w:p w14:paraId="6C99D8D8">
      <w:pPr>
        <w:keepNext w:val="0"/>
        <w:keepLines w:val="0"/>
        <w:pageBreakBefore w:val="0"/>
        <w:widowControl w:val="0"/>
        <w:kinsoku/>
        <w:wordWrap/>
        <w:overflowPunct/>
        <w:topLinePunct w:val="0"/>
        <w:autoSpaceDE/>
        <w:autoSpaceDN/>
        <w:bidi w:val="0"/>
        <w:snapToGrid/>
        <w:spacing w:line="440" w:lineRule="exact"/>
        <w:ind w:firstLine="560" w:firstLineChars="200"/>
        <w:jc w:val="left"/>
        <w:textAlignment w:val="auto"/>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遵照《中共柳州市委组织部中共柳州市委老干部局柳州市财政局关于进一步规范市直单位离退休干部服务管理有关工作的通知》（柳老通</w:t>
      </w:r>
      <w:r>
        <w:rPr>
          <w:rFonts w:hint="default" w:ascii="仿宋" w:hAnsi="仿宋" w:eastAsia="仿宋" w:cs="仿宋"/>
          <w:bCs/>
          <w:color w:val="auto"/>
          <w:sz w:val="28"/>
          <w:szCs w:val="28"/>
          <w:lang w:val="en-US" w:eastAsia="zh-CN"/>
        </w:rPr>
        <w:t>〔202</w:t>
      </w:r>
      <w:r>
        <w:rPr>
          <w:rFonts w:hint="eastAsia" w:ascii="仿宋" w:hAnsi="仿宋" w:eastAsia="仿宋" w:cs="仿宋"/>
          <w:bCs/>
          <w:color w:val="auto"/>
          <w:sz w:val="28"/>
          <w:szCs w:val="28"/>
          <w:lang w:val="en-US" w:eastAsia="zh-CN"/>
        </w:rPr>
        <w:t>3</w:t>
      </w:r>
      <w:r>
        <w:rPr>
          <w:rFonts w:hint="default" w:ascii="仿宋" w:hAnsi="仿宋" w:eastAsia="仿宋" w:cs="仿宋"/>
          <w:bCs/>
          <w:color w:val="auto"/>
          <w:sz w:val="28"/>
          <w:szCs w:val="28"/>
          <w:lang w:val="en-US" w:eastAsia="zh-CN"/>
        </w:rPr>
        <w:t>〕</w:t>
      </w:r>
      <w:r>
        <w:rPr>
          <w:rFonts w:hint="eastAsia" w:ascii="仿宋" w:hAnsi="仿宋" w:eastAsia="仿宋" w:cs="仿宋"/>
          <w:bCs/>
          <w:color w:val="auto"/>
          <w:sz w:val="28"/>
          <w:szCs w:val="28"/>
          <w:lang w:val="en-US" w:eastAsia="zh-CN"/>
        </w:rPr>
        <w:t>7号）精神，以及柳工医党</w:t>
      </w:r>
      <w:r>
        <w:rPr>
          <w:rFonts w:hint="default" w:ascii="仿宋" w:hAnsi="仿宋" w:eastAsia="仿宋" w:cs="仿宋"/>
          <w:bCs/>
          <w:color w:val="auto"/>
          <w:sz w:val="28"/>
          <w:szCs w:val="28"/>
          <w:lang w:val="en-US" w:eastAsia="zh-CN"/>
        </w:rPr>
        <w:t>〔202</w:t>
      </w:r>
      <w:r>
        <w:rPr>
          <w:rFonts w:hint="eastAsia" w:ascii="仿宋" w:hAnsi="仿宋" w:eastAsia="仿宋" w:cs="仿宋"/>
          <w:bCs/>
          <w:color w:val="auto"/>
          <w:sz w:val="28"/>
          <w:szCs w:val="28"/>
          <w:lang w:val="en-US" w:eastAsia="zh-CN"/>
        </w:rPr>
        <w:t>6</w:t>
      </w:r>
      <w:r>
        <w:rPr>
          <w:rFonts w:hint="default" w:ascii="仿宋" w:hAnsi="仿宋" w:eastAsia="仿宋" w:cs="仿宋"/>
          <w:bCs/>
          <w:color w:val="auto"/>
          <w:sz w:val="28"/>
          <w:szCs w:val="28"/>
          <w:lang w:val="en-US" w:eastAsia="zh-CN"/>
        </w:rPr>
        <w:t>〕1</w:t>
      </w:r>
      <w:r>
        <w:rPr>
          <w:rFonts w:hint="eastAsia" w:ascii="仿宋" w:hAnsi="仿宋" w:eastAsia="仿宋" w:cs="仿宋"/>
          <w:bCs/>
          <w:color w:val="auto"/>
          <w:sz w:val="28"/>
          <w:szCs w:val="28"/>
          <w:lang w:val="en-US" w:eastAsia="zh-CN"/>
        </w:rPr>
        <w:t>9</w:t>
      </w:r>
      <w:r>
        <w:rPr>
          <w:rFonts w:hint="default" w:ascii="仿宋" w:hAnsi="仿宋" w:eastAsia="仿宋" w:cs="仿宋"/>
          <w:bCs/>
          <w:color w:val="auto"/>
          <w:sz w:val="28"/>
          <w:szCs w:val="28"/>
          <w:lang w:val="en-US" w:eastAsia="zh-CN"/>
        </w:rPr>
        <w:t>号</w:t>
      </w:r>
      <w:r>
        <w:rPr>
          <w:rFonts w:hint="eastAsia" w:ascii="仿宋" w:hAnsi="仿宋" w:eastAsia="仿宋" w:cs="仿宋"/>
          <w:bCs/>
          <w:color w:val="auto"/>
          <w:sz w:val="28"/>
          <w:szCs w:val="28"/>
          <w:lang w:val="en-US" w:eastAsia="zh-CN"/>
        </w:rPr>
        <w:t>《关于印发〈柳州市工人医院工会会员慰问及奖励管理办法（试行）〉的通知》,重阳节应开展慰问活动，可发放慰问品，人均不超过100元，特遴选慰问品供应商。</w:t>
      </w:r>
    </w:p>
    <w:p w14:paraId="4CB0CE52">
      <w:pPr>
        <w:keepNext w:val="0"/>
        <w:keepLines w:val="0"/>
        <w:pageBreakBefore w:val="0"/>
        <w:widowControl w:val="0"/>
        <w:kinsoku/>
        <w:wordWrap/>
        <w:overflowPunct/>
        <w:topLinePunct w:val="0"/>
        <w:autoSpaceDE/>
        <w:autoSpaceDN/>
        <w:bidi w:val="0"/>
        <w:snapToGrid/>
        <w:spacing w:line="440" w:lineRule="exact"/>
        <w:textAlignment w:val="auto"/>
        <w:rPr>
          <w:rFonts w:hint="eastAsia" w:ascii="仿宋" w:hAnsi="仿宋" w:eastAsia="仿宋" w:cs="仿宋"/>
          <w:b/>
          <w:bCs/>
          <w:color w:val="auto"/>
          <w:sz w:val="28"/>
          <w:szCs w:val="28"/>
        </w:rPr>
      </w:pPr>
      <w:r>
        <w:rPr>
          <w:rFonts w:hint="eastAsia" w:ascii="仿宋" w:hAnsi="仿宋" w:eastAsia="仿宋" w:cs="仿宋"/>
          <w:b/>
          <w:color w:val="auto"/>
          <w:sz w:val="28"/>
          <w:szCs w:val="28"/>
        </w:rPr>
        <w:t>三、</w:t>
      </w:r>
      <w:r>
        <w:rPr>
          <w:rFonts w:hint="eastAsia" w:ascii="仿宋" w:hAnsi="仿宋" w:eastAsia="仿宋" w:cs="仿宋"/>
          <w:b/>
          <w:bCs/>
          <w:color w:val="auto"/>
          <w:sz w:val="28"/>
          <w:szCs w:val="28"/>
        </w:rPr>
        <w:t>供应商资质条件</w:t>
      </w:r>
    </w:p>
    <w:p w14:paraId="0B29CB96">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color w:val="auto"/>
          <w:sz w:val="28"/>
          <w:szCs w:val="28"/>
        </w:rPr>
        <w:t>1、</w:t>
      </w:r>
      <w:r>
        <w:rPr>
          <w:rFonts w:hint="eastAsia" w:ascii="仿宋" w:hAnsi="仿宋" w:eastAsia="仿宋" w:cs="仿宋"/>
          <w:bCs/>
          <w:color w:val="auto"/>
          <w:sz w:val="28"/>
          <w:szCs w:val="28"/>
        </w:rPr>
        <w:t>投标人需为国内注册（指按国家有关规定要求注册的）生产或经营本次招标采购货物及服务、具备法人资格的供应商。</w:t>
      </w:r>
    </w:p>
    <w:p w14:paraId="5BE26F7C">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2、投标人三年内在经营活动中没有重大违法记录和不良信用记录。</w:t>
      </w:r>
    </w:p>
    <w:p w14:paraId="71122A5B">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3、投标人有效的“营业执照”副本复印件。</w:t>
      </w:r>
    </w:p>
    <w:p w14:paraId="1D46F22D">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4、投标人有效的“税务登记证”副本复印件。</w:t>
      </w:r>
    </w:p>
    <w:p w14:paraId="27FD5AF2">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5、授权经营许可证，食品经营许可证。</w:t>
      </w:r>
    </w:p>
    <w:p w14:paraId="49A93DA9">
      <w:pPr>
        <w:keepNext w:val="0"/>
        <w:keepLines w:val="0"/>
        <w:pageBreakBefore w:val="0"/>
        <w:widowControl w:val="0"/>
        <w:numPr>
          <w:ilvl w:val="0"/>
          <w:numId w:val="0"/>
        </w:numPr>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bCs/>
          <w:color w:val="auto"/>
          <w:sz w:val="28"/>
          <w:szCs w:val="28"/>
          <w:lang w:val="en-US" w:eastAsia="zh-CN"/>
        </w:rPr>
        <w:t>6、</w:t>
      </w:r>
      <w:r>
        <w:rPr>
          <w:rFonts w:hint="eastAsia" w:ascii="仿宋" w:hAnsi="仿宋" w:eastAsia="仿宋" w:cs="仿宋"/>
          <w:color w:val="auto"/>
          <w:sz w:val="28"/>
          <w:szCs w:val="28"/>
          <w:lang w:val="en-US" w:eastAsia="zh-CN"/>
        </w:rPr>
        <w:t>产品检验报告。</w:t>
      </w:r>
    </w:p>
    <w:p w14:paraId="4DE23AE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jc w:val="both"/>
        <w:textAlignment w:val="auto"/>
        <w:rPr>
          <w:rFonts w:hint="eastAsia" w:ascii="仿宋" w:hAnsi="仿宋" w:eastAsia="仿宋" w:cs="仿宋"/>
          <w:b/>
          <w:color w:val="auto"/>
          <w:sz w:val="28"/>
          <w:szCs w:val="28"/>
        </w:rPr>
      </w:pPr>
      <w:r>
        <w:rPr>
          <w:rFonts w:hint="eastAsia" w:ascii="仿宋" w:hAnsi="仿宋" w:eastAsia="仿宋" w:cs="仿宋"/>
          <w:b/>
          <w:bCs/>
          <w:color w:val="auto"/>
          <w:sz w:val="28"/>
          <w:szCs w:val="28"/>
        </w:rPr>
        <w:t>具体内容如下：</w:t>
      </w:r>
    </w:p>
    <w:p w14:paraId="3D672F98">
      <w:pPr>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标段1：大米，参数如下（下表中数量为拟采购数量，按实际配送量结算）：</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832"/>
        <w:gridCol w:w="1759"/>
        <w:gridCol w:w="1569"/>
        <w:gridCol w:w="4164"/>
        <w:gridCol w:w="1292"/>
      </w:tblGrid>
      <w:tr w14:paraId="4A9E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11" w:type="dxa"/>
            <w:noWrap w:val="0"/>
            <w:vAlign w:val="center"/>
          </w:tcPr>
          <w:p w14:paraId="2ECADE98">
            <w:pPr>
              <w:jc w:val="center"/>
              <w:rPr>
                <w:rFonts w:ascii="仿宋" w:hAnsi="仿宋" w:eastAsia="仿宋" w:cs="仿宋"/>
                <w:b/>
                <w:color w:val="auto"/>
                <w:sz w:val="24"/>
                <w:szCs w:val="24"/>
              </w:rPr>
            </w:pPr>
            <w:r>
              <w:rPr>
                <w:rFonts w:hint="eastAsia" w:ascii="仿宋" w:hAnsi="仿宋" w:eastAsia="仿宋" w:cs="仿宋"/>
                <w:b/>
                <w:color w:val="auto"/>
                <w:sz w:val="24"/>
                <w:szCs w:val="24"/>
              </w:rPr>
              <w:t>序号</w:t>
            </w:r>
          </w:p>
        </w:tc>
        <w:tc>
          <w:tcPr>
            <w:tcW w:w="832" w:type="dxa"/>
            <w:noWrap w:val="0"/>
            <w:vAlign w:val="center"/>
          </w:tcPr>
          <w:p w14:paraId="11FBA347">
            <w:pPr>
              <w:jc w:val="center"/>
              <w:rPr>
                <w:rFonts w:ascii="仿宋" w:hAnsi="仿宋" w:eastAsia="仿宋" w:cs="仿宋"/>
                <w:b/>
                <w:color w:val="auto"/>
                <w:sz w:val="24"/>
                <w:szCs w:val="24"/>
              </w:rPr>
            </w:pPr>
            <w:r>
              <w:rPr>
                <w:rFonts w:hint="eastAsia" w:ascii="仿宋" w:hAnsi="仿宋" w:eastAsia="仿宋" w:cs="仿宋"/>
                <w:b/>
                <w:color w:val="auto"/>
                <w:sz w:val="24"/>
                <w:szCs w:val="24"/>
              </w:rPr>
              <w:t>货物</w:t>
            </w:r>
          </w:p>
          <w:p w14:paraId="527E4843">
            <w:pPr>
              <w:jc w:val="center"/>
              <w:rPr>
                <w:rFonts w:ascii="仿宋" w:hAnsi="仿宋" w:eastAsia="仿宋" w:cs="仿宋"/>
                <w:b/>
                <w:color w:val="auto"/>
                <w:sz w:val="24"/>
                <w:szCs w:val="24"/>
              </w:rPr>
            </w:pPr>
            <w:r>
              <w:rPr>
                <w:rFonts w:hint="eastAsia" w:ascii="仿宋" w:hAnsi="仿宋" w:eastAsia="仿宋" w:cs="仿宋"/>
                <w:b/>
                <w:color w:val="auto"/>
                <w:sz w:val="24"/>
                <w:szCs w:val="24"/>
              </w:rPr>
              <w:t>名称</w:t>
            </w:r>
          </w:p>
        </w:tc>
        <w:tc>
          <w:tcPr>
            <w:tcW w:w="1759" w:type="dxa"/>
            <w:noWrap w:val="0"/>
            <w:vAlign w:val="center"/>
          </w:tcPr>
          <w:p w14:paraId="25B88269">
            <w:pPr>
              <w:jc w:val="center"/>
              <w:rPr>
                <w:rFonts w:hint="default"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参考品牌</w:t>
            </w:r>
          </w:p>
        </w:tc>
        <w:tc>
          <w:tcPr>
            <w:tcW w:w="1569" w:type="dxa"/>
            <w:noWrap w:val="0"/>
            <w:vAlign w:val="center"/>
          </w:tcPr>
          <w:p w14:paraId="049296AE">
            <w:pPr>
              <w:jc w:val="center"/>
              <w:rPr>
                <w:rFonts w:ascii="仿宋" w:hAnsi="仿宋" w:eastAsia="仿宋" w:cs="仿宋"/>
                <w:b/>
                <w:color w:val="auto"/>
                <w:sz w:val="24"/>
                <w:szCs w:val="24"/>
              </w:rPr>
            </w:pPr>
            <w:r>
              <w:rPr>
                <w:rFonts w:hint="eastAsia" w:ascii="仿宋" w:hAnsi="仿宋" w:eastAsia="仿宋" w:cs="仿宋"/>
                <w:b/>
                <w:color w:val="auto"/>
                <w:sz w:val="24"/>
                <w:szCs w:val="24"/>
              </w:rPr>
              <w:t>数量</w:t>
            </w:r>
          </w:p>
          <w:p w14:paraId="780B7DBF">
            <w:pPr>
              <w:jc w:val="center"/>
              <w:rPr>
                <w:rFonts w:ascii="仿宋" w:hAnsi="仿宋" w:eastAsia="仿宋" w:cs="仿宋"/>
                <w:b/>
                <w:color w:val="auto"/>
                <w:sz w:val="24"/>
                <w:szCs w:val="24"/>
              </w:rPr>
            </w:pPr>
            <w:r>
              <w:rPr>
                <w:rFonts w:hint="eastAsia" w:ascii="仿宋" w:hAnsi="仿宋" w:eastAsia="仿宋" w:cs="仿宋"/>
                <w:b/>
                <w:color w:val="auto"/>
                <w:sz w:val="24"/>
                <w:szCs w:val="24"/>
                <w:lang w:val="en-US" w:eastAsia="zh-CN"/>
              </w:rPr>
              <w:t>/</w:t>
            </w:r>
            <w:r>
              <w:rPr>
                <w:rFonts w:hint="eastAsia" w:ascii="仿宋" w:hAnsi="仿宋" w:eastAsia="仿宋" w:cs="仿宋"/>
                <w:b/>
                <w:color w:val="auto"/>
                <w:sz w:val="24"/>
                <w:szCs w:val="24"/>
              </w:rPr>
              <w:t>单位</w:t>
            </w:r>
          </w:p>
        </w:tc>
        <w:tc>
          <w:tcPr>
            <w:tcW w:w="4164" w:type="dxa"/>
            <w:noWrap w:val="0"/>
            <w:vAlign w:val="center"/>
          </w:tcPr>
          <w:p w14:paraId="46FF3366">
            <w:pPr>
              <w:jc w:val="center"/>
              <w:rPr>
                <w:rFonts w:ascii="仿宋" w:hAnsi="仿宋" w:eastAsia="仿宋" w:cs="仿宋"/>
                <w:b/>
                <w:bCs/>
                <w:color w:val="auto"/>
                <w:sz w:val="24"/>
                <w:szCs w:val="24"/>
              </w:rPr>
            </w:pPr>
            <w:r>
              <w:rPr>
                <w:rFonts w:hint="eastAsia" w:ascii="仿宋" w:hAnsi="仿宋" w:eastAsia="仿宋" w:cs="仿宋"/>
                <w:b/>
                <w:color w:val="auto"/>
                <w:sz w:val="24"/>
                <w:szCs w:val="24"/>
              </w:rPr>
              <w:t>功能目标及技术指标</w:t>
            </w:r>
          </w:p>
        </w:tc>
        <w:tc>
          <w:tcPr>
            <w:tcW w:w="1292" w:type="dxa"/>
            <w:noWrap w:val="0"/>
            <w:vAlign w:val="center"/>
          </w:tcPr>
          <w:p w14:paraId="3F87CDB5">
            <w:pPr>
              <w:jc w:val="center"/>
              <w:rPr>
                <w:rFonts w:hint="default"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投标产品及报价</w:t>
            </w:r>
          </w:p>
        </w:tc>
      </w:tr>
      <w:tr w14:paraId="5448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511" w:type="dxa"/>
            <w:noWrap w:val="0"/>
            <w:vAlign w:val="center"/>
          </w:tcPr>
          <w:p w14:paraId="7D3D3F67">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32" w:type="dxa"/>
            <w:noWrap w:val="0"/>
            <w:vAlign w:val="center"/>
          </w:tcPr>
          <w:p w14:paraId="054B65C4">
            <w:pPr>
              <w:adjustRightInd w:val="0"/>
              <w:snapToGrid w:val="0"/>
              <w:jc w:val="center"/>
              <w:rPr>
                <w:rFonts w:hint="default" w:ascii="仿宋" w:hAnsi="仿宋" w:eastAsia="仿宋" w:cs="仿宋"/>
                <w:color w:val="auto"/>
                <w:sz w:val="24"/>
                <w:szCs w:val="24"/>
                <w:lang w:val="en-US" w:eastAsia="zh-CN"/>
              </w:rPr>
            </w:pPr>
            <w:r>
              <w:rPr>
                <w:rFonts w:hint="default" w:ascii="仿宋" w:hAnsi="仿宋" w:eastAsia="仿宋" w:cs="仿宋"/>
                <w:color w:val="auto"/>
                <w:sz w:val="24"/>
                <w:szCs w:val="24"/>
                <w:lang w:val="en-US" w:eastAsia="zh-CN"/>
              </w:rPr>
              <w:t>大米</w:t>
            </w:r>
          </w:p>
        </w:tc>
        <w:tc>
          <w:tcPr>
            <w:tcW w:w="1759" w:type="dxa"/>
            <w:noWrap w:val="0"/>
            <w:vAlign w:val="center"/>
          </w:tcPr>
          <w:p w14:paraId="3066657F">
            <w:pPr>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象州米、金秀瑶中瑶、柳江享美稻五星丝苗米</w:t>
            </w:r>
          </w:p>
        </w:tc>
        <w:tc>
          <w:tcPr>
            <w:tcW w:w="1569" w:type="dxa"/>
            <w:noWrap w:val="0"/>
            <w:vAlign w:val="center"/>
          </w:tcPr>
          <w:p w14:paraId="7A245A00">
            <w:pPr>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582人份（每份100元） </w:t>
            </w:r>
          </w:p>
        </w:tc>
        <w:tc>
          <w:tcPr>
            <w:tcW w:w="4164" w:type="dxa"/>
            <w:noWrap w:val="0"/>
            <w:vAlign w:val="center"/>
          </w:tcPr>
          <w:p w14:paraId="30D58ECA">
            <w:pPr>
              <w:widowControl/>
              <w:adjustRightInd w:val="0"/>
              <w:snapToGrid w:val="0"/>
              <w:jc w:val="left"/>
              <w:textAlignment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1.本次招标为10KG大米；</w:t>
            </w:r>
          </w:p>
          <w:p w14:paraId="451AF1EB">
            <w:pPr>
              <w:widowControl/>
              <w:adjustRightInd w:val="0"/>
              <w:snapToGrid w:val="0"/>
              <w:jc w:val="left"/>
              <w:textAlignment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2.真空包装，质保期不低于12个月，当季新米；</w:t>
            </w:r>
          </w:p>
          <w:p w14:paraId="24362823">
            <w:pPr>
              <w:widowControl/>
              <w:adjustRightInd w:val="0"/>
              <w:snapToGrid w:val="0"/>
              <w:jc w:val="left"/>
              <w:textAlignment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产品要求为供货前2个月内生产</w:t>
            </w:r>
            <w:r>
              <w:rPr>
                <w:rFonts w:hint="eastAsia" w:ascii="仿宋" w:hAnsi="仿宋" w:eastAsia="仿宋" w:cs="仿宋"/>
                <w:bCs/>
                <w:color w:val="auto"/>
                <w:sz w:val="24"/>
                <w:szCs w:val="24"/>
                <w:highlight w:val="none"/>
                <w:lang w:eastAsia="zh-CN"/>
              </w:rPr>
              <w:t>；</w:t>
            </w:r>
          </w:p>
          <w:p w14:paraId="09D15DCF">
            <w:pPr>
              <w:widowControl/>
              <w:adjustRightInd w:val="0"/>
              <w:snapToGrid w:val="0"/>
              <w:jc w:val="left"/>
              <w:textAlignment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4.投标人需带样品到现场；</w:t>
            </w:r>
          </w:p>
          <w:p w14:paraId="4CAB672C">
            <w:pPr>
              <w:widowControl/>
              <w:adjustRightInd w:val="0"/>
              <w:snapToGrid w:val="0"/>
              <w:jc w:val="left"/>
              <w:textAlignment w:val="center"/>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5.可搭配调料礼盒（葱、姜料酒、陈醋、蚝油、生抽等）,或鸡蛋、面条等产品</w:t>
            </w:r>
          </w:p>
        </w:tc>
        <w:tc>
          <w:tcPr>
            <w:tcW w:w="1292" w:type="dxa"/>
            <w:noWrap w:val="0"/>
            <w:vAlign w:val="center"/>
          </w:tcPr>
          <w:p w14:paraId="0BEFE31A">
            <w:pPr>
              <w:widowControl/>
              <w:adjustRightInd w:val="0"/>
              <w:snapToGrid w:val="0"/>
              <w:jc w:val="left"/>
              <w:textAlignment w:val="center"/>
              <w:rPr>
                <w:rFonts w:hint="eastAsia" w:ascii="仿宋" w:hAnsi="仿宋" w:eastAsia="仿宋" w:cs="仿宋"/>
                <w:bCs/>
                <w:color w:val="auto"/>
                <w:sz w:val="24"/>
                <w:szCs w:val="24"/>
                <w:highlight w:val="none"/>
                <w:lang w:val="en-US" w:eastAsia="zh-CN"/>
              </w:rPr>
            </w:pPr>
          </w:p>
        </w:tc>
      </w:tr>
    </w:tbl>
    <w:p w14:paraId="16CA1DAC">
      <w:pPr>
        <w:spacing w:line="40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标段2：蛋糕卡，参数如下（下表中数量为拟采购数量，按实际配送量结算）：</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912"/>
        <w:gridCol w:w="1838"/>
        <w:gridCol w:w="1494"/>
        <w:gridCol w:w="4251"/>
        <w:gridCol w:w="1234"/>
      </w:tblGrid>
      <w:tr w14:paraId="2526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98" w:type="dxa"/>
            <w:noWrap w:val="0"/>
            <w:vAlign w:val="center"/>
          </w:tcPr>
          <w:p w14:paraId="0A09C069">
            <w:pPr>
              <w:jc w:val="center"/>
              <w:rPr>
                <w:rFonts w:ascii="仿宋" w:hAnsi="仿宋" w:eastAsia="仿宋" w:cs="仿宋"/>
                <w:b/>
                <w:color w:val="auto"/>
                <w:sz w:val="24"/>
                <w:szCs w:val="24"/>
              </w:rPr>
            </w:pPr>
            <w:r>
              <w:rPr>
                <w:rFonts w:hint="eastAsia" w:ascii="仿宋" w:hAnsi="仿宋" w:eastAsia="仿宋" w:cs="仿宋"/>
                <w:b/>
                <w:color w:val="auto"/>
                <w:sz w:val="24"/>
                <w:szCs w:val="24"/>
              </w:rPr>
              <w:t>序号</w:t>
            </w:r>
          </w:p>
        </w:tc>
        <w:tc>
          <w:tcPr>
            <w:tcW w:w="912" w:type="dxa"/>
            <w:noWrap w:val="0"/>
            <w:vAlign w:val="center"/>
          </w:tcPr>
          <w:p w14:paraId="62BE50A2">
            <w:pPr>
              <w:jc w:val="center"/>
              <w:rPr>
                <w:rFonts w:ascii="仿宋" w:hAnsi="仿宋" w:eastAsia="仿宋" w:cs="仿宋"/>
                <w:b/>
                <w:color w:val="auto"/>
                <w:sz w:val="24"/>
                <w:szCs w:val="24"/>
              </w:rPr>
            </w:pPr>
            <w:r>
              <w:rPr>
                <w:rFonts w:hint="eastAsia" w:ascii="仿宋" w:hAnsi="仿宋" w:eastAsia="仿宋" w:cs="仿宋"/>
                <w:b/>
                <w:color w:val="auto"/>
                <w:sz w:val="24"/>
                <w:szCs w:val="24"/>
              </w:rPr>
              <w:t>货物</w:t>
            </w:r>
          </w:p>
          <w:p w14:paraId="2BD2260C">
            <w:pPr>
              <w:jc w:val="center"/>
              <w:rPr>
                <w:rFonts w:ascii="仿宋" w:hAnsi="仿宋" w:eastAsia="仿宋" w:cs="仿宋"/>
                <w:b/>
                <w:color w:val="auto"/>
                <w:sz w:val="24"/>
                <w:szCs w:val="24"/>
              </w:rPr>
            </w:pPr>
            <w:r>
              <w:rPr>
                <w:rFonts w:hint="eastAsia" w:ascii="仿宋" w:hAnsi="仿宋" w:eastAsia="仿宋" w:cs="仿宋"/>
                <w:b/>
                <w:color w:val="auto"/>
                <w:sz w:val="24"/>
                <w:szCs w:val="24"/>
              </w:rPr>
              <w:t>名称</w:t>
            </w:r>
          </w:p>
        </w:tc>
        <w:tc>
          <w:tcPr>
            <w:tcW w:w="1838" w:type="dxa"/>
            <w:noWrap w:val="0"/>
            <w:vAlign w:val="center"/>
          </w:tcPr>
          <w:p w14:paraId="620E3776">
            <w:pPr>
              <w:jc w:val="center"/>
              <w:rPr>
                <w:rFonts w:hint="default"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参考品牌</w:t>
            </w:r>
          </w:p>
        </w:tc>
        <w:tc>
          <w:tcPr>
            <w:tcW w:w="1494" w:type="dxa"/>
            <w:noWrap w:val="0"/>
            <w:vAlign w:val="center"/>
          </w:tcPr>
          <w:p w14:paraId="5410C588">
            <w:pPr>
              <w:jc w:val="center"/>
              <w:rPr>
                <w:rFonts w:ascii="仿宋" w:hAnsi="仿宋" w:eastAsia="仿宋" w:cs="仿宋"/>
                <w:b/>
                <w:color w:val="auto"/>
                <w:sz w:val="24"/>
                <w:szCs w:val="24"/>
              </w:rPr>
            </w:pPr>
            <w:r>
              <w:rPr>
                <w:rFonts w:hint="eastAsia" w:ascii="仿宋" w:hAnsi="仿宋" w:eastAsia="仿宋" w:cs="仿宋"/>
                <w:b/>
                <w:color w:val="auto"/>
                <w:sz w:val="24"/>
                <w:szCs w:val="24"/>
              </w:rPr>
              <w:t>数量</w:t>
            </w:r>
          </w:p>
          <w:p w14:paraId="3BB424E7">
            <w:pPr>
              <w:jc w:val="center"/>
              <w:rPr>
                <w:rFonts w:ascii="仿宋" w:hAnsi="仿宋" w:eastAsia="仿宋" w:cs="仿宋"/>
                <w:b/>
                <w:color w:val="auto"/>
                <w:sz w:val="24"/>
                <w:szCs w:val="24"/>
              </w:rPr>
            </w:pPr>
            <w:r>
              <w:rPr>
                <w:rFonts w:hint="eastAsia" w:ascii="仿宋" w:hAnsi="仿宋" w:eastAsia="仿宋" w:cs="仿宋"/>
                <w:b/>
                <w:color w:val="auto"/>
                <w:sz w:val="24"/>
                <w:szCs w:val="24"/>
                <w:lang w:val="en-US" w:eastAsia="zh-CN"/>
              </w:rPr>
              <w:t>/</w:t>
            </w:r>
            <w:r>
              <w:rPr>
                <w:rFonts w:hint="eastAsia" w:ascii="仿宋" w:hAnsi="仿宋" w:eastAsia="仿宋" w:cs="仿宋"/>
                <w:b/>
                <w:color w:val="auto"/>
                <w:sz w:val="24"/>
                <w:szCs w:val="24"/>
              </w:rPr>
              <w:t>单位</w:t>
            </w:r>
          </w:p>
        </w:tc>
        <w:tc>
          <w:tcPr>
            <w:tcW w:w="4251" w:type="dxa"/>
            <w:noWrap w:val="0"/>
            <w:vAlign w:val="center"/>
          </w:tcPr>
          <w:p w14:paraId="4025BFAA">
            <w:pPr>
              <w:jc w:val="center"/>
              <w:rPr>
                <w:rFonts w:ascii="仿宋" w:hAnsi="仿宋" w:eastAsia="仿宋" w:cs="仿宋"/>
                <w:b/>
                <w:bCs/>
                <w:color w:val="auto"/>
                <w:sz w:val="24"/>
                <w:szCs w:val="24"/>
              </w:rPr>
            </w:pPr>
            <w:r>
              <w:rPr>
                <w:rFonts w:hint="eastAsia" w:ascii="仿宋" w:hAnsi="仿宋" w:eastAsia="仿宋" w:cs="仿宋"/>
                <w:b/>
                <w:color w:val="auto"/>
                <w:sz w:val="24"/>
                <w:szCs w:val="24"/>
              </w:rPr>
              <w:t>功能目标及技术指标</w:t>
            </w:r>
          </w:p>
        </w:tc>
        <w:tc>
          <w:tcPr>
            <w:tcW w:w="1234" w:type="dxa"/>
            <w:noWrap w:val="0"/>
            <w:vAlign w:val="center"/>
          </w:tcPr>
          <w:p w14:paraId="13E80853">
            <w:pPr>
              <w:jc w:val="center"/>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投标产品及面额</w:t>
            </w:r>
          </w:p>
        </w:tc>
      </w:tr>
      <w:tr w14:paraId="79F8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8" w:type="dxa"/>
            <w:noWrap w:val="0"/>
            <w:vAlign w:val="center"/>
          </w:tcPr>
          <w:p w14:paraId="326A53C4">
            <w:pPr>
              <w:widowControl/>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912" w:type="dxa"/>
            <w:noWrap w:val="0"/>
            <w:vAlign w:val="center"/>
          </w:tcPr>
          <w:p w14:paraId="239F5B51">
            <w:pPr>
              <w:adjustRightInd w:val="0"/>
              <w:jc w:val="center"/>
              <w:rPr>
                <w:rFonts w:ascii="仿宋" w:hAnsi="仿宋" w:eastAsia="仿宋" w:cs="仿宋"/>
                <w:color w:val="auto"/>
                <w:sz w:val="24"/>
                <w:szCs w:val="24"/>
              </w:rPr>
            </w:pPr>
            <w:r>
              <w:rPr>
                <w:rFonts w:hint="eastAsia" w:ascii="仿宋" w:hAnsi="仿宋" w:eastAsia="仿宋" w:cs="仿宋"/>
                <w:color w:val="auto"/>
                <w:sz w:val="24"/>
                <w:szCs w:val="24"/>
                <w:lang w:val="en-US" w:eastAsia="zh-CN"/>
              </w:rPr>
              <w:t>蛋糕卡</w:t>
            </w:r>
          </w:p>
        </w:tc>
        <w:tc>
          <w:tcPr>
            <w:tcW w:w="1838" w:type="dxa"/>
            <w:noWrap w:val="0"/>
            <w:vAlign w:val="center"/>
          </w:tcPr>
          <w:p w14:paraId="7E077FAF">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喜莲娜、穗柳、龙城西点</w:t>
            </w:r>
          </w:p>
        </w:tc>
        <w:tc>
          <w:tcPr>
            <w:tcW w:w="1494" w:type="dxa"/>
            <w:noWrap w:val="0"/>
            <w:vAlign w:val="center"/>
          </w:tcPr>
          <w:p w14:paraId="12BEA050">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234份 </w:t>
            </w:r>
          </w:p>
        </w:tc>
        <w:tc>
          <w:tcPr>
            <w:tcW w:w="4251" w:type="dxa"/>
            <w:noWrap w:val="0"/>
            <w:vAlign w:val="center"/>
          </w:tcPr>
          <w:p w14:paraId="0FA74C2D">
            <w:pPr>
              <w:widowControl/>
              <w:numPr>
                <w:ilvl w:val="0"/>
                <w:numId w:val="0"/>
              </w:numPr>
              <w:adjustRightInd w:val="0"/>
              <w:snapToGrid w:val="0"/>
              <w:jc w:val="left"/>
              <w:textAlignment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★1.投标人需在柳州市区内有门店；</w:t>
            </w:r>
          </w:p>
          <w:p w14:paraId="715F629B">
            <w:pPr>
              <w:widowControl/>
              <w:numPr>
                <w:ilvl w:val="0"/>
                <w:numId w:val="0"/>
              </w:numPr>
              <w:adjustRightInd w:val="0"/>
              <w:snapToGrid w:val="0"/>
              <w:jc w:val="left"/>
              <w:textAlignment w:val="center"/>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2.</w:t>
            </w:r>
            <w:r>
              <w:rPr>
                <w:rFonts w:hint="default" w:ascii="仿宋" w:hAnsi="仿宋" w:eastAsia="仿宋" w:cs="仿宋"/>
                <w:bCs/>
                <w:color w:val="auto"/>
                <w:sz w:val="24"/>
                <w:szCs w:val="24"/>
                <w:lang w:val="en-US" w:eastAsia="zh-CN"/>
              </w:rPr>
              <w:t>本次采购的生日蛋糕卡，实际金额为人民币</w:t>
            </w:r>
            <w:r>
              <w:rPr>
                <w:rFonts w:hint="eastAsia" w:ascii="仿宋" w:hAnsi="仿宋" w:eastAsia="仿宋" w:cs="仿宋"/>
                <w:bCs/>
                <w:color w:val="auto"/>
                <w:sz w:val="24"/>
                <w:szCs w:val="24"/>
                <w:lang w:val="en-US" w:eastAsia="zh-CN"/>
              </w:rPr>
              <w:t>1</w:t>
            </w:r>
            <w:r>
              <w:rPr>
                <w:rFonts w:hint="default" w:ascii="仿宋" w:hAnsi="仿宋" w:eastAsia="仿宋" w:cs="仿宋"/>
                <w:bCs/>
                <w:color w:val="auto"/>
                <w:sz w:val="24"/>
                <w:szCs w:val="24"/>
                <w:lang w:val="en-US" w:eastAsia="zh-CN"/>
              </w:rPr>
              <w:t>00元，储值卡内金额≥</w:t>
            </w:r>
            <w:r>
              <w:rPr>
                <w:rFonts w:hint="eastAsia" w:ascii="仿宋" w:hAnsi="仿宋" w:eastAsia="仿宋" w:cs="仿宋"/>
                <w:bCs/>
                <w:color w:val="auto"/>
                <w:sz w:val="24"/>
                <w:szCs w:val="24"/>
                <w:lang w:val="en-US" w:eastAsia="zh-CN"/>
              </w:rPr>
              <w:t>1</w:t>
            </w:r>
            <w:r>
              <w:rPr>
                <w:rFonts w:hint="default" w:ascii="仿宋" w:hAnsi="仿宋" w:eastAsia="仿宋" w:cs="仿宋"/>
                <w:bCs/>
                <w:color w:val="auto"/>
                <w:sz w:val="24"/>
                <w:szCs w:val="24"/>
                <w:lang w:val="en-US" w:eastAsia="zh-CN"/>
              </w:rPr>
              <w:t>00元，不限定消费日期、不限消费门店。</w:t>
            </w:r>
          </w:p>
          <w:p w14:paraId="7FC35959">
            <w:pPr>
              <w:widowControl/>
              <w:numPr>
                <w:ilvl w:val="0"/>
                <w:numId w:val="0"/>
              </w:numPr>
              <w:adjustRightInd w:val="0"/>
              <w:snapToGrid w:val="0"/>
              <w:jc w:val="left"/>
              <w:textAlignment w:val="center"/>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3、投标文件中需提供门店内经营产品类别；</w:t>
            </w:r>
          </w:p>
          <w:p w14:paraId="36E4A333">
            <w:pPr>
              <w:widowControl/>
              <w:numPr>
                <w:ilvl w:val="0"/>
                <w:numId w:val="0"/>
              </w:numPr>
              <w:adjustRightInd w:val="0"/>
              <w:snapToGrid w:val="0"/>
              <w:jc w:val="left"/>
              <w:textAlignment w:val="center"/>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4、投标文件中需提供门店内销售的主要产品的价格；</w:t>
            </w:r>
          </w:p>
          <w:p w14:paraId="38CD75E5">
            <w:pPr>
              <w:widowControl/>
              <w:numPr>
                <w:ilvl w:val="0"/>
                <w:numId w:val="0"/>
              </w:numPr>
              <w:adjustRightInd w:val="0"/>
              <w:snapToGrid w:val="0"/>
              <w:jc w:val="left"/>
              <w:textAlignment w:val="center"/>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5、投标时可提供推荐产品的样品试吃。</w:t>
            </w:r>
          </w:p>
        </w:tc>
        <w:tc>
          <w:tcPr>
            <w:tcW w:w="1234" w:type="dxa"/>
            <w:noWrap w:val="0"/>
            <w:vAlign w:val="center"/>
          </w:tcPr>
          <w:p w14:paraId="0452754D">
            <w:pPr>
              <w:widowControl/>
              <w:numPr>
                <w:ilvl w:val="0"/>
                <w:numId w:val="0"/>
              </w:numPr>
              <w:adjustRightInd w:val="0"/>
              <w:snapToGrid w:val="0"/>
              <w:jc w:val="left"/>
              <w:textAlignment w:val="center"/>
              <w:rPr>
                <w:rFonts w:hint="eastAsia" w:ascii="仿宋" w:hAnsi="仿宋" w:eastAsia="仿宋" w:cs="仿宋"/>
                <w:bCs/>
                <w:color w:val="auto"/>
                <w:sz w:val="24"/>
                <w:szCs w:val="24"/>
                <w:lang w:val="en-US" w:eastAsia="zh-CN"/>
              </w:rPr>
            </w:pPr>
          </w:p>
        </w:tc>
      </w:tr>
    </w:tbl>
    <w:p w14:paraId="3B121DC9">
      <w:pPr>
        <w:adjustRightInd w:val="0"/>
        <w:spacing w:line="400" w:lineRule="exact"/>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rPr>
        <w:t>如需详细了解项目需求，请联系总务科：</w:t>
      </w:r>
      <w:r>
        <w:rPr>
          <w:rFonts w:hint="eastAsia" w:ascii="仿宋" w:hAnsi="仿宋" w:eastAsia="仿宋" w:cs="仿宋"/>
          <w:b/>
          <w:color w:val="auto"/>
          <w:sz w:val="28"/>
          <w:szCs w:val="28"/>
          <w:lang w:val="en-US" w:eastAsia="zh-CN"/>
        </w:rPr>
        <w:t>3837054</w:t>
      </w:r>
    </w:p>
    <w:p w14:paraId="2C55925D">
      <w:pPr>
        <w:adjustRightInd w:val="0"/>
        <w:spacing w:line="40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五、总体要求</w:t>
      </w:r>
    </w:p>
    <w:p w14:paraId="6121BB69">
      <w:pPr>
        <w:spacing w:line="400" w:lineRule="exact"/>
        <w:ind w:firstLine="560" w:firstLineChars="200"/>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1、该项目不接受联合体投标</w:t>
      </w:r>
      <w:r>
        <w:rPr>
          <w:rFonts w:hint="eastAsia" w:ascii="仿宋" w:hAnsi="仿宋" w:eastAsia="仿宋" w:cs="仿宋"/>
          <w:bCs/>
          <w:color w:val="auto"/>
          <w:sz w:val="28"/>
          <w:szCs w:val="28"/>
          <w:lang w:eastAsia="zh-CN"/>
        </w:rPr>
        <w:t>。</w:t>
      </w:r>
    </w:p>
    <w:p w14:paraId="3606ED10">
      <w:pPr>
        <w:spacing w:line="400" w:lineRule="exact"/>
        <w:ind w:firstLine="560" w:firstLineChars="200"/>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2、本次</w:t>
      </w:r>
      <w:r>
        <w:rPr>
          <w:rFonts w:hint="eastAsia" w:ascii="仿宋" w:hAnsi="仿宋" w:eastAsia="仿宋" w:cs="仿宋"/>
          <w:bCs/>
          <w:color w:val="auto"/>
          <w:sz w:val="28"/>
          <w:szCs w:val="28"/>
        </w:rPr>
        <w:t>采购</w:t>
      </w:r>
      <w:r>
        <w:rPr>
          <w:rFonts w:hint="eastAsia" w:ascii="仿宋" w:hAnsi="仿宋" w:eastAsia="仿宋" w:cs="仿宋"/>
          <w:bCs/>
          <w:color w:val="auto"/>
          <w:sz w:val="28"/>
          <w:szCs w:val="28"/>
          <w:lang w:val="en-US" w:eastAsia="zh-CN"/>
        </w:rPr>
        <w:t>为单价采购，</w:t>
      </w:r>
      <w:r>
        <w:rPr>
          <w:rFonts w:hint="eastAsia" w:ascii="仿宋" w:hAnsi="仿宋" w:eastAsia="仿宋" w:cs="仿宋"/>
          <w:color w:val="auto"/>
          <w:sz w:val="28"/>
          <w:szCs w:val="28"/>
          <w:lang w:val="en-US" w:eastAsia="zh-CN"/>
        </w:rPr>
        <w:t>按实际配送量结算</w:t>
      </w:r>
      <w:r>
        <w:rPr>
          <w:rFonts w:hint="eastAsia" w:ascii="仿宋" w:hAnsi="仿宋" w:eastAsia="仿宋" w:cs="仿宋"/>
          <w:i w:val="0"/>
          <w:color w:val="auto"/>
          <w:sz w:val="28"/>
          <w:szCs w:val="28"/>
          <w:u w:val="none"/>
          <w:lang w:val="en-US" w:eastAsia="zh-CN"/>
        </w:rPr>
        <w:t>。</w:t>
      </w:r>
    </w:p>
    <w:p w14:paraId="630A66C5">
      <w:pPr>
        <w:spacing w:line="400" w:lineRule="exact"/>
        <w:ind w:firstLine="560" w:firstLineChars="200"/>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3、本项目对投标人应标的商品品牌型号、品质、质保期、价格及服务及时性进行综合评价，遴选2家供应商。</w:t>
      </w:r>
    </w:p>
    <w:p w14:paraId="6C13308B">
      <w:pPr>
        <w:adjustRightInd w:val="0"/>
        <w:spacing w:line="40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六、供货要求</w:t>
      </w:r>
    </w:p>
    <w:p w14:paraId="07A20DD5">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1、为保障本项目供货进度和质量，投标人应根据实际情况制定出完整组织方案、进度计划、配送计划、人员配置及服务保障方法和措施等。</w:t>
      </w:r>
    </w:p>
    <w:p w14:paraId="03EB498F">
      <w:pPr>
        <w:spacing w:line="40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2、供应商根据离退休办公室要求配送，快递方式配送到个人</w:t>
      </w:r>
      <w:r>
        <w:rPr>
          <w:rFonts w:hint="eastAsia" w:ascii="仿宋" w:hAnsi="仿宋" w:eastAsia="仿宋" w:cs="仿宋"/>
          <w:color w:val="auto"/>
          <w:sz w:val="28"/>
          <w:szCs w:val="28"/>
          <w:lang w:eastAsia="zh-CN"/>
        </w:rPr>
        <w:t>。</w:t>
      </w:r>
    </w:p>
    <w:p w14:paraId="6CCA5016">
      <w:pPr>
        <w:adjustRightInd w:val="0"/>
        <w:spacing w:line="40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七、报价要求</w:t>
      </w:r>
    </w:p>
    <w:p w14:paraId="19964B4D">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1、报价包含：产品费用、人工费、材料费、装卸车费、运输费、管理费、保险、维护、利润、税金等为完成本项目所需的所有费用，在实施期间不因市场因素而变动。</w:t>
      </w:r>
    </w:p>
    <w:p w14:paraId="672EE78E">
      <w:pPr>
        <w:spacing w:line="40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2、标注★号的要求，投标人必须实质性响应，否则投标无效。</w:t>
      </w:r>
    </w:p>
    <w:p w14:paraId="2DB8125C">
      <w:pPr>
        <w:adjustRightInd w:val="0"/>
        <w:spacing w:line="400" w:lineRule="exact"/>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rPr>
        <w:t>八、</w:t>
      </w:r>
      <w:r>
        <w:rPr>
          <w:rFonts w:hint="eastAsia" w:ascii="仿宋" w:hAnsi="仿宋" w:eastAsia="仿宋" w:cs="仿宋"/>
          <w:b/>
          <w:color w:val="auto"/>
          <w:sz w:val="28"/>
          <w:szCs w:val="28"/>
          <w:lang w:val="en-US" w:eastAsia="zh-CN"/>
        </w:rPr>
        <w:t>产品质量及</w:t>
      </w:r>
      <w:r>
        <w:rPr>
          <w:rFonts w:hint="eastAsia" w:ascii="仿宋" w:hAnsi="仿宋" w:eastAsia="仿宋" w:cs="仿宋"/>
          <w:b/>
          <w:color w:val="auto"/>
          <w:sz w:val="28"/>
          <w:szCs w:val="28"/>
        </w:rPr>
        <w:t>售后</w:t>
      </w:r>
      <w:r>
        <w:rPr>
          <w:rFonts w:hint="eastAsia" w:ascii="仿宋" w:hAnsi="仿宋" w:eastAsia="仿宋" w:cs="仿宋"/>
          <w:b/>
          <w:color w:val="auto"/>
          <w:sz w:val="28"/>
          <w:szCs w:val="28"/>
          <w:lang w:val="en-US" w:eastAsia="zh-CN"/>
        </w:rPr>
        <w:t>要求</w:t>
      </w:r>
    </w:p>
    <w:p w14:paraId="6CB9758B">
      <w:pPr>
        <w:pStyle w:val="4"/>
        <w:spacing w:line="400" w:lineRule="exact"/>
        <w:ind w:firstLine="560"/>
        <w:rPr>
          <w:rFonts w:hint="eastAsia" w:ascii="仿宋" w:hAnsi="仿宋" w:eastAsia="仿宋" w:cs="仿宋"/>
          <w:color w:val="auto"/>
          <w:sz w:val="28"/>
          <w:szCs w:val="28"/>
        </w:rPr>
      </w:pPr>
      <w:r>
        <w:rPr>
          <w:rFonts w:hint="eastAsia" w:ascii="仿宋" w:hAnsi="仿宋" w:eastAsia="仿宋" w:cs="仿宋"/>
          <w:color w:val="auto"/>
          <w:sz w:val="28"/>
          <w:szCs w:val="28"/>
        </w:rPr>
        <w:t>1、产品须是按厂家出厂标准配置提供的全新产品，是具备正规合法经销渠道，符合《中华人民共和国食品安全法》、《中华人民共和国食品安全法实施条例》等有关规定的质量标准、环保标准或行业标准等国家相关质量标准的合格产品。交货后如出现质量达不到国家标准/行业标准的情况，供应商应无条件给予更换。</w:t>
      </w:r>
    </w:p>
    <w:p w14:paraId="40B9F443">
      <w:pPr>
        <w:pStyle w:val="4"/>
        <w:spacing w:line="400" w:lineRule="exact"/>
        <w:ind w:firstLine="560"/>
        <w:rPr>
          <w:rFonts w:hint="eastAsia" w:ascii="仿宋" w:hAnsi="仿宋" w:eastAsia="仿宋" w:cs="仿宋"/>
          <w:color w:val="auto"/>
          <w:sz w:val="28"/>
          <w:szCs w:val="28"/>
        </w:rPr>
      </w:pPr>
      <w:r>
        <w:rPr>
          <w:rFonts w:hint="eastAsia" w:ascii="仿宋" w:hAnsi="仿宋" w:eastAsia="仿宋" w:cs="仿宋"/>
          <w:color w:val="auto"/>
          <w:sz w:val="28"/>
          <w:szCs w:val="28"/>
        </w:rPr>
        <w:t>2、产品质量必须符合国家卫生标准，不得有腐烂、变质、油脂酸败、霉变、生虫、污秽不洁、混有异物或者其他感官性异常，并不得含有可能对人体健康有害的物质。交货验收时如发现商品破损、发霉等问题由中标人无条件调换。</w:t>
      </w:r>
    </w:p>
    <w:p w14:paraId="4552D9E4">
      <w:pPr>
        <w:pStyle w:val="4"/>
        <w:spacing w:line="400" w:lineRule="exact"/>
        <w:ind w:firstLine="56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投标人若中标后，提供的所有货物产品及原料的生产日期均不得超过自备货之日起的二个月范围，均须在安全的保质期内且每样货品均有生产许可证。如发现有质量问题和过期食品的，招标人有权退货，并依据《消费者权益保护法》和《食品安全法》相关条款要求中标人赔偿。在规定的保质期内，中标人应对由于运输装卸、保质期等引起的问题承担全部责任</w:t>
      </w:r>
      <w:r>
        <w:rPr>
          <w:rFonts w:hint="eastAsia" w:ascii="仿宋" w:hAnsi="仿宋" w:eastAsia="仿宋" w:cs="仿宋"/>
          <w:color w:val="auto"/>
          <w:sz w:val="28"/>
          <w:szCs w:val="28"/>
        </w:rPr>
        <w:t>。</w:t>
      </w:r>
    </w:p>
    <w:p w14:paraId="2FD5ED5E">
      <w:pPr>
        <w:pStyle w:val="4"/>
        <w:spacing w:line="400" w:lineRule="exact"/>
        <w:ind w:firstLine="56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如招标人需增补慰问品数量，将按合同价以实际采购量进行结算，中标人需根据招标人需求配送至指定地点。</w:t>
      </w:r>
    </w:p>
    <w:p w14:paraId="146FA103">
      <w:pPr>
        <w:pStyle w:val="4"/>
        <w:spacing w:line="400" w:lineRule="exact"/>
        <w:ind w:firstLine="0" w:firstLineChars="0"/>
        <w:rPr>
          <w:rFonts w:hint="eastAsia" w:ascii="仿宋" w:hAnsi="仿宋" w:eastAsia="仿宋" w:cs="仿宋"/>
          <w:color w:val="auto"/>
          <w:sz w:val="28"/>
          <w:szCs w:val="28"/>
        </w:rPr>
      </w:pPr>
      <w:r>
        <w:rPr>
          <w:rFonts w:hint="eastAsia" w:ascii="仿宋" w:hAnsi="仿宋" w:eastAsia="仿宋" w:cs="仿宋"/>
          <w:b/>
          <w:bCs/>
          <w:color w:val="auto"/>
          <w:sz w:val="28"/>
          <w:szCs w:val="28"/>
        </w:rPr>
        <w:t>九、慰问品验收</w:t>
      </w:r>
    </w:p>
    <w:p w14:paraId="20DF89CC">
      <w:pPr>
        <w:pStyle w:val="4"/>
        <w:spacing w:line="400" w:lineRule="exact"/>
        <w:ind w:firstLine="560"/>
        <w:rPr>
          <w:rFonts w:hint="eastAsia" w:ascii="仿宋" w:hAnsi="仿宋" w:eastAsia="仿宋" w:cs="仿宋"/>
          <w:color w:val="auto"/>
          <w:sz w:val="28"/>
          <w:szCs w:val="28"/>
        </w:rPr>
      </w:pPr>
      <w:r>
        <w:rPr>
          <w:rFonts w:hint="eastAsia" w:ascii="仿宋" w:hAnsi="仿宋" w:eastAsia="仿宋" w:cs="仿宋"/>
          <w:color w:val="auto"/>
          <w:sz w:val="28"/>
          <w:szCs w:val="28"/>
        </w:rPr>
        <w:t>甲方收到乙方货物检验无误后，应与乙方办理签收手续。验收中，如甲方发现包装破损或存在保质期、质量等问题应告知乙方，乙方须在甲方告知后三个工作日内予以退换。</w:t>
      </w:r>
    </w:p>
    <w:p w14:paraId="223E9E08">
      <w:pPr>
        <w:pStyle w:val="4"/>
        <w:spacing w:line="400" w:lineRule="exact"/>
        <w:ind w:firstLine="0" w:firstLineChars="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十、付款方式：</w:t>
      </w:r>
    </w:p>
    <w:p w14:paraId="7D73838E">
      <w:pPr>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本项目无预付款，按合同单价以实际</w:t>
      </w:r>
      <w:r>
        <w:rPr>
          <w:rFonts w:hint="eastAsia" w:ascii="仿宋" w:hAnsi="仿宋" w:eastAsia="仿宋" w:cs="仿宋"/>
          <w:color w:val="auto"/>
          <w:kern w:val="0"/>
          <w:sz w:val="28"/>
          <w:szCs w:val="28"/>
          <w:lang w:val="en-US" w:eastAsia="zh-CN" w:bidi="ar"/>
        </w:rPr>
        <w:t>配送、签收量进行结算</w:t>
      </w:r>
      <w:r>
        <w:rPr>
          <w:rFonts w:hint="eastAsia" w:ascii="仿宋" w:hAnsi="仿宋" w:eastAsia="仿宋" w:cs="仿宋"/>
          <w:color w:val="auto"/>
          <w:kern w:val="0"/>
          <w:sz w:val="28"/>
          <w:szCs w:val="28"/>
          <w:lang w:eastAsia="zh-CN" w:bidi="ar"/>
        </w:rPr>
        <w:t>，</w:t>
      </w:r>
      <w:r>
        <w:rPr>
          <w:rFonts w:hint="eastAsia" w:ascii="仿宋" w:hAnsi="仿宋" w:eastAsia="仿宋" w:cs="仿宋"/>
          <w:color w:val="auto"/>
          <w:kern w:val="0"/>
          <w:sz w:val="28"/>
          <w:szCs w:val="28"/>
          <w:lang w:val="en-US" w:eastAsia="zh-CN" w:bidi="ar"/>
        </w:rPr>
        <w:t>一次性付全款。</w:t>
      </w:r>
      <w:r>
        <w:rPr>
          <w:rFonts w:hint="eastAsia" w:ascii="仿宋" w:hAnsi="仿宋" w:eastAsia="仿宋" w:cs="仿宋"/>
          <w:color w:val="auto"/>
          <w:sz w:val="28"/>
          <w:szCs w:val="28"/>
        </w:rPr>
        <w:t xml:space="preserve">                                    </w:t>
      </w:r>
    </w:p>
    <w:p w14:paraId="00713E04">
      <w:pPr>
        <w:pStyle w:val="4"/>
        <w:spacing w:line="400" w:lineRule="exact"/>
        <w:ind w:firstLine="0" w:firstLineChars="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十一、服务商遴选方式</w:t>
      </w:r>
    </w:p>
    <w:p w14:paraId="08CAE5D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对服务商的服务质量、及时性及价格进行综合评价，遴选2家供应商。</w:t>
      </w:r>
    </w:p>
    <w:p w14:paraId="204F96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auto"/>
          <w:kern w:val="2"/>
          <w:sz w:val="28"/>
          <w:szCs w:val="28"/>
          <w:lang w:val="en-US" w:eastAsia="zh-CN" w:bidi="ar-SA"/>
        </w:rPr>
      </w:pPr>
    </w:p>
    <w:p w14:paraId="10DAD7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auto"/>
          <w:kern w:val="2"/>
          <w:sz w:val="28"/>
          <w:szCs w:val="28"/>
          <w:lang w:val="en-US" w:eastAsia="zh-CN" w:bidi="ar-SA"/>
        </w:rPr>
      </w:pPr>
    </w:p>
    <w:p w14:paraId="38611D99">
      <w:pPr>
        <w:pStyle w:val="4"/>
        <w:spacing w:line="500" w:lineRule="exact"/>
        <w:ind w:firstLine="0" w:firstLineChars="0"/>
        <w:rPr>
          <w:rFonts w:hint="eastAsia" w:ascii="仿宋" w:hAnsi="仿宋" w:eastAsia="仿宋" w:cs="仿宋"/>
          <w:color w:val="auto"/>
          <w:sz w:val="28"/>
          <w:szCs w:val="28"/>
        </w:rPr>
      </w:pPr>
      <w:bookmarkStart w:id="0" w:name="_GoBack"/>
      <w:bookmarkEnd w:id="0"/>
    </w:p>
    <w:p w14:paraId="05EC7846">
      <w:pPr>
        <w:rPr>
          <w:color w:val="auto"/>
          <w:sz w:val="28"/>
          <w:szCs w:val="28"/>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769E1"/>
    <w:multiLevelType w:val="singleLevel"/>
    <w:tmpl w:val="F8F769E1"/>
    <w:lvl w:ilvl="0" w:tentative="0">
      <w:start w:val="4"/>
      <w:numFmt w:val="chineseCounting"/>
      <w:suff w:val="nothing"/>
      <w:lvlText w:val="%1、"/>
      <w:lvlJc w:val="left"/>
      <w:pPr>
        <w:ind w:left="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23B24"/>
    <w:rsid w:val="1C3B3CC6"/>
    <w:rsid w:val="28260437"/>
    <w:rsid w:val="679C2B9B"/>
    <w:rsid w:val="694F5ED5"/>
    <w:rsid w:val="69F50927"/>
    <w:rsid w:val="7E1F7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1766</Words>
  <Characters>1808</Characters>
  <Lines>0</Lines>
  <Paragraphs>0</Paragraphs>
  <TotalTime>15</TotalTime>
  <ScaleCrop>false</ScaleCrop>
  <LinksUpToDate>false</LinksUpToDate>
  <CharactersWithSpaces>1940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2025-09-26T02:55:00Z</dcterms:created>
  <dc:creator>Administrator</dc:creator>
  <cp:lastModifiedBy>加深</cp:lastModifiedBy>
  <cp:lastPrinted>2026-08-26T01:08:00Z</cp:lastPrinted>
  <dcterms:modified xsi:type="dcterms:W3CDTF">2026-08-27T06:54:24Z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CD5346DE01F440839FE086856F3D14FC_13</vt:lpwstr>
  </property>
  <property fmtid="{D5CDD505-2E9C-101B-9397-08002B2CF9AE}" pid="4" name="KSOTemplateDocerSaveRecord">
    <vt:lpwstr>eyJoZGlkIjoiNmFkNzM0MjEyYTJlMGViYTU0N2EyNjMzYjM3OTNmZjIiLCJ1c2VySWQiOiIzNTY0MzY5ODAifQ==</vt:lpwstr>
  </property>
</Properties>
</file>