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3B731">
      <w:pPr>
        <w:keepNext/>
        <w:keepLines/>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s="微软雅黑"/>
          <w:b/>
          <w:bCs/>
          <w:color w:val="auto"/>
          <w:kern w:val="44"/>
          <w:sz w:val="30"/>
          <w:szCs w:val="30"/>
          <w:lang w:eastAsia="zh-CN"/>
        </w:rPr>
      </w:pPr>
      <w:bookmarkStart w:id="0" w:name="_Toc344816509"/>
      <w:r>
        <w:rPr>
          <w:rFonts w:hint="eastAsia" w:ascii="宋体" w:hAnsi="宋体" w:eastAsia="宋体" w:cs="微软雅黑"/>
          <w:b/>
          <w:bCs/>
          <w:color w:val="auto"/>
          <w:kern w:val="44"/>
          <w:sz w:val="30"/>
          <w:szCs w:val="30"/>
        </w:rPr>
        <w:t>柳州市</w:t>
      </w:r>
      <w:r>
        <w:rPr>
          <w:rFonts w:ascii="宋体" w:hAnsi="宋体" w:eastAsia="宋体" w:cs="微软雅黑"/>
          <w:b/>
          <w:bCs/>
          <w:color w:val="auto"/>
          <w:kern w:val="44"/>
          <w:sz w:val="30"/>
          <w:szCs w:val="30"/>
        </w:rPr>
        <w:t>工人医院</w:t>
      </w:r>
      <w:r>
        <w:rPr>
          <w:rFonts w:hint="eastAsia" w:ascii="宋体" w:hAnsi="宋体" w:eastAsia="宋体" w:cs="微软雅黑"/>
          <w:b/>
          <w:bCs/>
          <w:color w:val="auto"/>
          <w:kern w:val="44"/>
          <w:sz w:val="30"/>
          <w:szCs w:val="30"/>
          <w:lang w:val="en-US" w:eastAsia="zh-CN"/>
        </w:rPr>
        <w:t>招标项目管理系统</w:t>
      </w:r>
      <w:bookmarkStart w:id="4" w:name="_GoBack"/>
      <w:bookmarkEnd w:id="4"/>
      <w:r>
        <w:rPr>
          <w:rFonts w:hint="eastAsia" w:ascii="宋体" w:hAnsi="宋体" w:eastAsia="宋体" w:cs="微软雅黑"/>
          <w:b/>
          <w:bCs/>
          <w:color w:val="auto"/>
          <w:kern w:val="44"/>
          <w:sz w:val="30"/>
          <w:szCs w:val="30"/>
        </w:rPr>
        <w:t>技术参数</w:t>
      </w:r>
      <w:r>
        <w:rPr>
          <w:rFonts w:hint="eastAsia" w:ascii="宋体" w:hAnsi="宋体" w:eastAsia="宋体" w:cs="微软雅黑"/>
          <w:b/>
          <w:bCs/>
          <w:color w:val="auto"/>
          <w:kern w:val="44"/>
          <w:sz w:val="30"/>
          <w:szCs w:val="30"/>
          <w:lang w:eastAsia="zh-CN"/>
        </w:rPr>
        <w:t>要求</w:t>
      </w:r>
    </w:p>
    <w:p w14:paraId="765B6521">
      <w:pPr>
        <w:keepNext/>
        <w:keepLines/>
        <w:pageBreakBefore w:val="0"/>
        <w:widowControl w:val="0"/>
        <w:kinsoku/>
        <w:wordWrap/>
        <w:overflowPunct/>
        <w:topLinePunct w:val="0"/>
        <w:autoSpaceDE/>
        <w:autoSpaceDN/>
        <w:bidi w:val="0"/>
        <w:adjustRightInd/>
        <w:snapToGrid/>
        <w:spacing w:line="312" w:lineRule="auto"/>
        <w:ind w:left="420" w:leftChars="200"/>
        <w:jc w:val="left"/>
        <w:textAlignment w:val="auto"/>
        <w:rPr>
          <w:rFonts w:ascii="宋体" w:hAnsi="宋体" w:eastAsia="宋体" w:cs="微软雅黑"/>
          <w:b/>
          <w:bCs/>
          <w:color w:val="auto"/>
          <w:kern w:val="44"/>
          <w:sz w:val="24"/>
          <w:szCs w:val="24"/>
        </w:rPr>
      </w:pPr>
    </w:p>
    <w:bookmarkEnd w:id="0"/>
    <w:p w14:paraId="04335030">
      <w:pPr>
        <w:pStyle w:val="2"/>
        <w:pageBreakBefore w:val="0"/>
        <w:widowControl w:val="0"/>
        <w:numPr>
          <w:ilvl w:val="0"/>
          <w:numId w:val="0"/>
        </w:numPr>
        <w:kinsoku/>
        <w:wordWrap/>
        <w:overflowPunct/>
        <w:topLinePunct w:val="0"/>
        <w:autoSpaceDE/>
        <w:autoSpaceDN/>
        <w:bidi w:val="0"/>
        <w:adjustRightInd/>
        <w:snapToGrid/>
        <w:spacing w:before="0" w:after="0" w:line="312" w:lineRule="auto"/>
        <w:textAlignment w:val="auto"/>
        <w:rPr>
          <w:rFonts w:hint="eastAsia" w:ascii="宋体" w:hAnsi="宋体"/>
          <w:bCs w:val="0"/>
          <w:color w:val="auto"/>
          <w:sz w:val="32"/>
          <w:szCs w:val="32"/>
        </w:rPr>
      </w:pPr>
      <w:r>
        <w:rPr>
          <w:rFonts w:hint="eastAsia" w:ascii="宋体" w:hAnsi="宋体"/>
          <w:bCs w:val="0"/>
          <w:color w:val="auto"/>
          <w:sz w:val="32"/>
          <w:szCs w:val="32"/>
          <w:lang w:val="en-US" w:eastAsia="zh-CN"/>
        </w:rPr>
        <w:t>一、</w:t>
      </w:r>
      <w:r>
        <w:rPr>
          <w:rFonts w:hint="eastAsia" w:ascii="宋体" w:hAnsi="宋体"/>
          <w:bCs w:val="0"/>
          <w:color w:val="auto"/>
          <w:sz w:val="32"/>
          <w:szCs w:val="32"/>
        </w:rPr>
        <w:t>项目背景</w:t>
      </w:r>
    </w:p>
    <w:p w14:paraId="00942067">
      <w:pPr>
        <w:pStyle w:val="5"/>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rPr>
      </w:pPr>
      <w:r>
        <w:rPr>
          <w:rFonts w:hint="eastAsia" w:ascii="宋体" w:hAnsi="宋体" w:eastAsia="宋体" w:cs="宋体"/>
          <w:color w:val="auto"/>
          <w:sz w:val="24"/>
          <w:lang w:val="en-US"/>
        </w:rPr>
        <w:t>根据国家公立医院高质量发展及政府采购管理相关政策要求，为进一步规范我院采购行为、提升采购效率与透明度，我院拟建设一套</w:t>
      </w:r>
      <w:r>
        <w:rPr>
          <w:rFonts w:hint="eastAsia" w:ascii="宋体" w:hAnsi="宋体" w:eastAsia="宋体" w:cs="宋体"/>
          <w:color w:val="auto"/>
          <w:sz w:val="24"/>
          <w:lang w:val="en-US" w:eastAsia="zh-CN"/>
        </w:rPr>
        <w:t>招标项目管理</w:t>
      </w:r>
      <w:r>
        <w:rPr>
          <w:rFonts w:hint="eastAsia" w:ascii="宋体" w:hAnsi="宋体" w:eastAsia="宋体" w:cs="宋体"/>
          <w:color w:val="auto"/>
          <w:sz w:val="24"/>
          <w:lang w:val="en-US"/>
        </w:rPr>
        <w:t>系统。该系统需覆盖采购预算</w:t>
      </w:r>
      <w:r>
        <w:rPr>
          <w:rFonts w:hint="eastAsia" w:ascii="宋体" w:hAnsi="宋体" w:eastAsia="宋体" w:cs="宋体"/>
          <w:color w:val="auto"/>
          <w:sz w:val="24"/>
          <w:lang w:val="en-US" w:eastAsia="zh-CN"/>
        </w:rPr>
        <w:t>、市场调研、采购申请、采购实施、</w:t>
      </w:r>
      <w:r>
        <w:rPr>
          <w:rFonts w:hint="eastAsia" w:ascii="宋体" w:hAnsi="宋体" w:eastAsia="宋体" w:cs="宋体"/>
          <w:color w:val="auto"/>
          <w:sz w:val="24"/>
          <w:lang w:val="en-US"/>
        </w:rPr>
        <w:t>合同履约、验收归档等全流程环节。在此基础上，系统应融合人工智能技术，为采购各环节提供智能辅助决策与风险防控能力，以切实满足医院采购业务的合规管控、精细化运营与智能化管理需求。</w:t>
      </w:r>
    </w:p>
    <w:p w14:paraId="46D94FC5">
      <w:pPr>
        <w:pStyle w:val="2"/>
        <w:pageBreakBefore w:val="0"/>
        <w:widowControl w:val="0"/>
        <w:numPr>
          <w:ilvl w:val="0"/>
          <w:numId w:val="0"/>
        </w:numPr>
        <w:kinsoku/>
        <w:wordWrap/>
        <w:overflowPunct/>
        <w:topLinePunct w:val="0"/>
        <w:autoSpaceDE/>
        <w:autoSpaceDN/>
        <w:bidi w:val="0"/>
        <w:adjustRightInd/>
        <w:snapToGrid/>
        <w:spacing w:before="0" w:after="0" w:line="312" w:lineRule="auto"/>
        <w:textAlignment w:val="auto"/>
        <w:rPr>
          <w:rFonts w:hint="eastAsia" w:ascii="宋体" w:hAnsi="宋体" w:eastAsiaTheme="minorEastAsia"/>
          <w:bCs w:val="0"/>
          <w:color w:val="auto"/>
          <w:sz w:val="32"/>
          <w:szCs w:val="32"/>
          <w:lang w:eastAsia="zh-CN"/>
        </w:rPr>
      </w:pPr>
      <w:r>
        <w:rPr>
          <w:rFonts w:hint="eastAsia" w:ascii="宋体" w:hAnsi="宋体"/>
          <w:bCs w:val="0"/>
          <w:color w:val="auto"/>
          <w:sz w:val="32"/>
          <w:szCs w:val="32"/>
        </w:rPr>
        <w:t>二、项目建设内容及要求</w:t>
      </w:r>
    </w:p>
    <w:tbl>
      <w:tblPr>
        <w:tblStyle w:val="11"/>
        <w:tblW w:w="88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
        <w:gridCol w:w="846"/>
        <w:gridCol w:w="1060"/>
        <w:gridCol w:w="5659"/>
        <w:gridCol w:w="636"/>
      </w:tblGrid>
      <w:tr w14:paraId="71CE2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tcPr>
          <w:p w14:paraId="318440AA">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eastAsia="zh-CN"/>
              </w:rPr>
            </w:pPr>
            <w:r>
              <w:rPr>
                <w:rFonts w:hint="eastAsia" w:ascii="宋体" w:hAnsi="宋体" w:eastAsia="宋体"/>
                <w:color w:val="auto"/>
                <w:highlight w:val="none"/>
              </w:rPr>
              <w:t>序</w:t>
            </w:r>
            <w:r>
              <w:rPr>
                <w:rFonts w:hint="eastAsia" w:ascii="宋体" w:hAnsi="宋体" w:eastAsia="宋体"/>
                <w:color w:val="auto"/>
                <w:highlight w:val="none"/>
                <w:lang w:eastAsia="zh-CN"/>
              </w:rPr>
              <w:t>号</w:t>
            </w:r>
          </w:p>
        </w:tc>
        <w:tc>
          <w:tcPr>
            <w:tcW w:w="846" w:type="dxa"/>
          </w:tcPr>
          <w:p w14:paraId="1544AC1D">
            <w:pPr>
              <w:pageBreakBefore w:val="0"/>
              <w:widowControl w:val="0"/>
              <w:kinsoku/>
              <w:wordWrap/>
              <w:overflowPunct/>
              <w:topLinePunct w:val="0"/>
              <w:autoSpaceDE/>
              <w:autoSpaceDN/>
              <w:bidi w:val="0"/>
              <w:adjustRightInd/>
              <w:snapToGrid/>
              <w:spacing w:line="312" w:lineRule="auto"/>
              <w:jc w:val="center"/>
              <w:textAlignment w:val="auto"/>
              <w:rPr>
                <w:rFonts w:ascii="宋体" w:hAnsi="宋体" w:eastAsia="宋体"/>
                <w:color w:val="auto"/>
                <w:highlight w:val="none"/>
              </w:rPr>
            </w:pPr>
            <w:r>
              <w:rPr>
                <w:rFonts w:hint="eastAsia" w:ascii="宋体" w:hAnsi="宋体" w:eastAsia="宋体"/>
                <w:color w:val="auto"/>
                <w:highlight w:val="none"/>
              </w:rPr>
              <w:t>模块</w:t>
            </w:r>
          </w:p>
        </w:tc>
        <w:tc>
          <w:tcPr>
            <w:tcW w:w="1060" w:type="dxa"/>
          </w:tcPr>
          <w:p w14:paraId="4DF17049">
            <w:pPr>
              <w:pageBreakBefore w:val="0"/>
              <w:widowControl w:val="0"/>
              <w:kinsoku/>
              <w:wordWrap/>
              <w:overflowPunct/>
              <w:topLinePunct w:val="0"/>
              <w:autoSpaceDE/>
              <w:autoSpaceDN/>
              <w:bidi w:val="0"/>
              <w:adjustRightInd/>
              <w:snapToGrid/>
              <w:spacing w:line="312" w:lineRule="auto"/>
              <w:jc w:val="center"/>
              <w:textAlignment w:val="auto"/>
              <w:rPr>
                <w:rFonts w:ascii="宋体" w:hAnsi="宋体" w:eastAsia="宋体"/>
                <w:color w:val="auto"/>
                <w:highlight w:val="none"/>
              </w:rPr>
            </w:pPr>
            <w:r>
              <w:rPr>
                <w:rFonts w:hint="eastAsia" w:ascii="宋体" w:hAnsi="宋体" w:eastAsia="宋体"/>
                <w:color w:val="auto"/>
                <w:highlight w:val="none"/>
              </w:rPr>
              <w:t>功能</w:t>
            </w:r>
          </w:p>
        </w:tc>
        <w:tc>
          <w:tcPr>
            <w:tcW w:w="5659" w:type="dxa"/>
          </w:tcPr>
          <w:p w14:paraId="47043443">
            <w:pPr>
              <w:pageBreakBefore w:val="0"/>
              <w:widowControl w:val="0"/>
              <w:kinsoku/>
              <w:wordWrap/>
              <w:overflowPunct/>
              <w:topLinePunct w:val="0"/>
              <w:autoSpaceDE/>
              <w:autoSpaceDN/>
              <w:bidi w:val="0"/>
              <w:adjustRightInd/>
              <w:snapToGrid/>
              <w:spacing w:line="312" w:lineRule="auto"/>
              <w:jc w:val="center"/>
              <w:textAlignment w:val="auto"/>
              <w:rPr>
                <w:rFonts w:ascii="宋体" w:hAnsi="宋体" w:eastAsia="宋体"/>
                <w:color w:val="auto"/>
                <w:highlight w:val="none"/>
              </w:rPr>
            </w:pPr>
            <w:r>
              <w:rPr>
                <w:rFonts w:hint="eastAsia" w:ascii="宋体" w:hAnsi="宋体" w:eastAsia="宋体"/>
                <w:color w:val="auto"/>
                <w:highlight w:val="none"/>
              </w:rPr>
              <w:t>内涵描述</w:t>
            </w:r>
          </w:p>
        </w:tc>
        <w:tc>
          <w:tcPr>
            <w:tcW w:w="636" w:type="dxa"/>
          </w:tcPr>
          <w:p w14:paraId="254FC077">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eastAsia="zh-CN"/>
              </w:rPr>
            </w:pPr>
            <w:r>
              <w:rPr>
                <w:rFonts w:hint="eastAsia" w:ascii="宋体" w:hAnsi="宋体" w:eastAsia="宋体"/>
                <w:color w:val="auto"/>
                <w:highlight w:val="none"/>
                <w:lang w:eastAsia="zh-CN"/>
              </w:rPr>
              <w:t>质保</w:t>
            </w:r>
          </w:p>
        </w:tc>
      </w:tr>
      <w:tr w14:paraId="0DCEA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Align w:val="center"/>
          </w:tcPr>
          <w:p w14:paraId="0BDE19C7">
            <w:pPr>
              <w:pageBreakBefore w:val="0"/>
              <w:widowControl w:val="0"/>
              <w:kinsoku/>
              <w:wordWrap/>
              <w:overflowPunct/>
              <w:topLinePunct w:val="0"/>
              <w:autoSpaceDE/>
              <w:autoSpaceDN/>
              <w:bidi w:val="0"/>
              <w:adjustRightInd/>
              <w:snapToGrid/>
              <w:spacing w:line="312" w:lineRule="auto"/>
              <w:jc w:val="center"/>
              <w:textAlignment w:val="auto"/>
              <w:rPr>
                <w:rFonts w:ascii="宋体" w:hAnsi="宋体" w:eastAsia="宋体"/>
                <w:color w:val="auto"/>
                <w:highlight w:val="none"/>
              </w:rPr>
            </w:pPr>
            <w:r>
              <w:rPr>
                <w:rFonts w:hint="eastAsia" w:ascii="宋体" w:hAnsi="宋体" w:eastAsia="宋体"/>
                <w:color w:val="auto"/>
                <w:highlight w:val="none"/>
              </w:rPr>
              <w:t>1</w:t>
            </w:r>
          </w:p>
        </w:tc>
        <w:tc>
          <w:tcPr>
            <w:tcW w:w="846" w:type="dxa"/>
            <w:vAlign w:val="center"/>
          </w:tcPr>
          <w:p w14:paraId="10A8D29A">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信息门户</w:t>
            </w:r>
          </w:p>
        </w:tc>
        <w:tc>
          <w:tcPr>
            <w:tcW w:w="1060" w:type="dxa"/>
            <w:vAlign w:val="center"/>
          </w:tcPr>
          <w:p w14:paraId="3570B7B0">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w:t>
            </w:r>
          </w:p>
        </w:tc>
        <w:tc>
          <w:tcPr>
            <w:tcW w:w="5659" w:type="dxa"/>
          </w:tcPr>
          <w:p w14:paraId="00853BD2">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lang w:eastAsia="zh-CN"/>
              </w:rPr>
              <w:t>（</w:t>
            </w:r>
            <w:r>
              <w:rPr>
                <w:rFonts w:hint="eastAsia" w:ascii="宋体" w:hAnsi="宋体" w:eastAsia="宋体"/>
                <w:color w:val="auto"/>
                <w:highlight w:val="none"/>
                <w:lang w:val="en-US" w:eastAsia="zh-CN"/>
              </w:rPr>
              <w:t>1）</w:t>
            </w:r>
            <w:r>
              <w:rPr>
                <w:rFonts w:hint="eastAsia" w:ascii="宋体" w:hAnsi="宋体" w:eastAsia="宋体"/>
                <w:color w:val="auto"/>
                <w:highlight w:val="none"/>
              </w:rPr>
              <w:t>支持定制开发招标采购中心门户网站，满足招标采购中心的招标采购业务需求；</w:t>
            </w:r>
          </w:p>
          <w:p w14:paraId="3360047A">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lang w:eastAsia="zh-CN"/>
              </w:rPr>
              <w:t>（</w:t>
            </w:r>
            <w:r>
              <w:rPr>
                <w:rFonts w:hint="eastAsia" w:ascii="宋体" w:hAnsi="宋体" w:eastAsia="宋体"/>
                <w:color w:val="auto"/>
                <w:highlight w:val="none"/>
                <w:lang w:val="en-US" w:eastAsia="zh-CN"/>
              </w:rPr>
              <w:t>2）</w:t>
            </w:r>
            <w:r>
              <w:rPr>
                <w:rFonts w:hint="eastAsia" w:ascii="宋体" w:hAnsi="宋体" w:eastAsia="宋体"/>
                <w:color w:val="auto"/>
                <w:highlight w:val="none"/>
              </w:rPr>
              <w:t>支持不定期公开招标采购中心工作的相关信息，涵盖机构信息、新闻公告、规章制度、通知公告、供应商信息、办事指南、项目进展、采购意向公开、项目的招标和中标公告（可按工程类、货物类、服务类分别展示）、采购意向公告、采购需求公示、友情链接、下载中心、联系方式等；</w:t>
            </w:r>
          </w:p>
          <w:p w14:paraId="3296F8DA">
            <w:pPr>
              <w:pageBreakBefore w:val="0"/>
              <w:widowControl w:val="0"/>
              <w:kinsoku/>
              <w:wordWrap/>
              <w:overflowPunct/>
              <w:topLinePunct w:val="0"/>
              <w:autoSpaceDE/>
              <w:autoSpaceDN/>
              <w:bidi w:val="0"/>
              <w:adjustRightInd/>
              <w:snapToGrid/>
              <w:spacing w:line="312" w:lineRule="auto"/>
              <w:jc w:val="left"/>
              <w:textAlignment w:val="auto"/>
              <w:rPr>
                <w:rFonts w:ascii="宋体" w:hAnsi="宋体" w:eastAsia="宋体"/>
                <w:color w:val="auto"/>
                <w:highlight w:val="none"/>
              </w:rPr>
            </w:pPr>
            <w:r>
              <w:rPr>
                <w:rFonts w:hint="eastAsia" w:ascii="宋体" w:hAnsi="宋体" w:eastAsia="宋体"/>
                <w:color w:val="auto"/>
                <w:highlight w:val="none"/>
                <w:lang w:eastAsia="zh-CN"/>
              </w:rPr>
              <w:t>（</w:t>
            </w:r>
            <w:r>
              <w:rPr>
                <w:rFonts w:hint="eastAsia" w:ascii="宋体" w:hAnsi="宋体" w:eastAsia="宋体"/>
                <w:color w:val="auto"/>
                <w:highlight w:val="none"/>
                <w:lang w:val="en-US" w:eastAsia="zh-CN"/>
              </w:rPr>
              <w:t>3）</w:t>
            </w:r>
            <w:r>
              <w:rPr>
                <w:rFonts w:hint="eastAsia" w:ascii="宋体" w:hAnsi="宋体" w:eastAsia="宋体"/>
                <w:color w:val="auto"/>
                <w:highlight w:val="none"/>
              </w:rPr>
              <w:t>支持通过曝光台公开曝光违规供应商；</w:t>
            </w:r>
            <w:r>
              <w:rPr>
                <w:rFonts w:hint="eastAsia" w:ascii="宋体" w:hAnsi="宋体" w:eastAsia="宋体"/>
                <w:color w:val="auto"/>
                <w:highlight w:val="none"/>
                <w:lang w:eastAsia="zh-CN"/>
              </w:rPr>
              <w:t>（</w:t>
            </w:r>
            <w:r>
              <w:rPr>
                <w:rFonts w:hint="eastAsia" w:ascii="宋体" w:hAnsi="宋体" w:eastAsia="宋体"/>
                <w:color w:val="auto"/>
                <w:highlight w:val="none"/>
                <w:lang w:val="en-US" w:eastAsia="zh-CN"/>
              </w:rPr>
              <w:t>4）</w:t>
            </w:r>
            <w:r>
              <w:rPr>
                <w:rFonts w:hint="eastAsia" w:ascii="宋体" w:hAnsi="宋体" w:eastAsia="宋体"/>
                <w:color w:val="auto"/>
                <w:highlight w:val="none"/>
              </w:rPr>
              <w:t>支持在门户网站提供电子化采购平台</w:t>
            </w:r>
            <w:r>
              <w:rPr>
                <w:rFonts w:hint="eastAsia" w:ascii="宋体" w:hAnsi="宋体" w:eastAsia="宋体"/>
                <w:color w:val="auto"/>
                <w:highlight w:val="none"/>
                <w:lang w:eastAsia="zh-CN"/>
              </w:rPr>
              <w:t>登录</w:t>
            </w:r>
            <w:r>
              <w:rPr>
                <w:rFonts w:hint="eastAsia" w:ascii="宋体" w:hAnsi="宋体" w:eastAsia="宋体"/>
                <w:color w:val="auto"/>
                <w:highlight w:val="none"/>
              </w:rPr>
              <w:t>入口，集成供应商服务平台和代理机构服务平台，提供供应商注册、代理机构注册、登录等服务。</w:t>
            </w:r>
          </w:p>
        </w:tc>
        <w:tc>
          <w:tcPr>
            <w:tcW w:w="636" w:type="dxa"/>
            <w:vAlign w:val="center"/>
          </w:tcPr>
          <w:p w14:paraId="5DE490FB">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三年</w:t>
            </w:r>
          </w:p>
        </w:tc>
      </w:tr>
      <w:tr w14:paraId="17DDB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restart"/>
            <w:vAlign w:val="center"/>
          </w:tcPr>
          <w:p w14:paraId="7406A0FE">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2</w:t>
            </w:r>
          </w:p>
        </w:tc>
        <w:tc>
          <w:tcPr>
            <w:tcW w:w="846" w:type="dxa"/>
            <w:vMerge w:val="restart"/>
            <w:vAlign w:val="center"/>
          </w:tcPr>
          <w:p w14:paraId="71AD756D">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个人工作台</w:t>
            </w:r>
          </w:p>
        </w:tc>
        <w:tc>
          <w:tcPr>
            <w:tcW w:w="1060" w:type="dxa"/>
            <w:vAlign w:val="center"/>
          </w:tcPr>
          <w:p w14:paraId="597FCE37">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待办事项</w:t>
            </w:r>
          </w:p>
        </w:tc>
        <w:tc>
          <w:tcPr>
            <w:tcW w:w="5659" w:type="dxa"/>
          </w:tcPr>
          <w:p w14:paraId="3507EA8E">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支持分类展示用户的待办任务，包括待办事项、当前状态、快捷操作等信息。针对待审核的事项，用户可通过点击审核按钮进入审核办理页面处理采购业务。</w:t>
            </w:r>
          </w:p>
        </w:tc>
        <w:tc>
          <w:tcPr>
            <w:tcW w:w="636" w:type="dxa"/>
            <w:vAlign w:val="center"/>
          </w:tcPr>
          <w:p w14:paraId="471394AB">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47B02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21054C4D">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4FB4DE16">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13F5E98A">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开标日历</w:t>
            </w:r>
          </w:p>
        </w:tc>
        <w:tc>
          <w:tcPr>
            <w:tcW w:w="5659" w:type="dxa"/>
          </w:tcPr>
          <w:p w14:paraId="5F596A58">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通过关联项目的开标时间节点，形成采购经办人的待开标项目日历总览，了解本月开标项目的情况，点击日历中的项目名称可跳转至项目详情。</w:t>
            </w:r>
          </w:p>
        </w:tc>
        <w:tc>
          <w:tcPr>
            <w:tcW w:w="636" w:type="dxa"/>
            <w:vAlign w:val="center"/>
          </w:tcPr>
          <w:p w14:paraId="6D5CA308">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36568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32174E85">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107727C8">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33FADFF7">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项目一览表</w:t>
            </w:r>
          </w:p>
        </w:tc>
        <w:tc>
          <w:tcPr>
            <w:tcW w:w="5659" w:type="dxa"/>
          </w:tcPr>
          <w:p w14:paraId="7B74BBF7">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根据用户权限展示采购项目信息，包括但不限于采购项目名称、项目类型、预算金额、采购方式、当前状态等内容，点击可查看项目详情及进度信息。</w:t>
            </w:r>
          </w:p>
        </w:tc>
        <w:tc>
          <w:tcPr>
            <w:tcW w:w="636" w:type="dxa"/>
            <w:vAlign w:val="center"/>
          </w:tcPr>
          <w:p w14:paraId="03FA843D">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3EC26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restart"/>
            <w:vAlign w:val="center"/>
          </w:tcPr>
          <w:p w14:paraId="051C8CC1">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3</w:t>
            </w:r>
          </w:p>
        </w:tc>
        <w:tc>
          <w:tcPr>
            <w:tcW w:w="846" w:type="dxa"/>
            <w:vMerge w:val="restart"/>
            <w:vAlign w:val="center"/>
          </w:tcPr>
          <w:p w14:paraId="20D317F7">
            <w:pPr>
              <w:pageBreakBefore w:val="0"/>
              <w:widowControl w:val="0"/>
              <w:kinsoku/>
              <w:wordWrap/>
              <w:overflowPunct/>
              <w:topLinePunct w:val="0"/>
              <w:autoSpaceDE/>
              <w:autoSpaceDN/>
              <w:bidi w:val="0"/>
              <w:adjustRightInd/>
              <w:snapToGrid/>
              <w:spacing w:line="312" w:lineRule="auto"/>
              <w:jc w:val="left"/>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采购预算管理</w:t>
            </w:r>
          </w:p>
        </w:tc>
        <w:tc>
          <w:tcPr>
            <w:tcW w:w="1060" w:type="dxa"/>
            <w:vAlign w:val="center"/>
          </w:tcPr>
          <w:p w14:paraId="384E52C6">
            <w:pPr>
              <w:pageBreakBefore w:val="0"/>
              <w:widowControl w:val="0"/>
              <w:kinsoku/>
              <w:wordWrap/>
              <w:overflowPunct/>
              <w:topLinePunct w:val="0"/>
              <w:autoSpaceDE/>
              <w:autoSpaceDN/>
              <w:bidi w:val="0"/>
              <w:adjustRightInd/>
              <w:snapToGrid/>
              <w:spacing w:line="312" w:lineRule="auto"/>
              <w:jc w:val="left"/>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采购预算导入</w:t>
            </w:r>
          </w:p>
        </w:tc>
        <w:tc>
          <w:tcPr>
            <w:tcW w:w="5659" w:type="dxa"/>
          </w:tcPr>
          <w:p w14:paraId="582EEA1C">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lang w:eastAsia="zh-CN"/>
              </w:rPr>
            </w:pPr>
            <w:r>
              <w:rPr>
                <w:rFonts w:hint="eastAsia" w:ascii="宋体" w:hAnsi="宋体" w:eastAsia="宋体"/>
                <w:color w:val="auto"/>
                <w:highlight w:val="none"/>
              </w:rPr>
              <w:t>支持建立 Excel 预算经费导入模板，实现一次性导入年度立项预算项目</w:t>
            </w:r>
            <w:r>
              <w:rPr>
                <w:rFonts w:hint="eastAsia" w:ascii="宋体" w:hAnsi="宋体" w:eastAsia="宋体"/>
                <w:color w:val="auto"/>
                <w:highlight w:val="none"/>
                <w:lang w:eastAsia="zh-CN"/>
              </w:rPr>
              <w:t>。</w:t>
            </w:r>
          </w:p>
        </w:tc>
        <w:tc>
          <w:tcPr>
            <w:tcW w:w="636" w:type="dxa"/>
            <w:vAlign w:val="center"/>
          </w:tcPr>
          <w:p w14:paraId="31841359">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2917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4D784A41">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1F5A98F9">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lang w:val="en-US" w:eastAsia="zh-CN"/>
              </w:rPr>
            </w:pPr>
          </w:p>
        </w:tc>
        <w:tc>
          <w:tcPr>
            <w:tcW w:w="1060" w:type="dxa"/>
            <w:vAlign w:val="center"/>
          </w:tcPr>
          <w:p w14:paraId="61D02269">
            <w:pPr>
              <w:pageBreakBefore w:val="0"/>
              <w:widowControl w:val="0"/>
              <w:kinsoku/>
              <w:wordWrap/>
              <w:overflowPunct/>
              <w:topLinePunct w:val="0"/>
              <w:autoSpaceDE/>
              <w:autoSpaceDN/>
              <w:bidi w:val="0"/>
              <w:adjustRightInd/>
              <w:snapToGrid/>
              <w:spacing w:line="312" w:lineRule="auto"/>
              <w:jc w:val="left"/>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采购预算管理</w:t>
            </w:r>
          </w:p>
        </w:tc>
        <w:tc>
          <w:tcPr>
            <w:tcW w:w="5659" w:type="dxa"/>
          </w:tcPr>
          <w:p w14:paraId="4AC9EE7A">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支持通过多维度条件对预算项目进行查询，并可进行新增、删除、编辑等操作。</w:t>
            </w:r>
          </w:p>
        </w:tc>
        <w:tc>
          <w:tcPr>
            <w:tcW w:w="636" w:type="dxa"/>
            <w:vAlign w:val="center"/>
          </w:tcPr>
          <w:p w14:paraId="0D40871B">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331FF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Align w:val="center"/>
          </w:tcPr>
          <w:p w14:paraId="600F14A8">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73DA0BE1">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lang w:val="en-US" w:eastAsia="zh-CN"/>
              </w:rPr>
            </w:pPr>
          </w:p>
        </w:tc>
        <w:tc>
          <w:tcPr>
            <w:tcW w:w="1060" w:type="dxa"/>
            <w:shd w:val="clear" w:color="auto" w:fill="auto"/>
            <w:vAlign w:val="center"/>
          </w:tcPr>
          <w:p w14:paraId="6B9547F7">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项目及经费来源管理</w:t>
            </w:r>
          </w:p>
        </w:tc>
        <w:tc>
          <w:tcPr>
            <w:tcW w:w="5659" w:type="dxa"/>
            <w:shd w:val="clear" w:color="auto" w:fill="auto"/>
            <w:vAlign w:val="center"/>
          </w:tcPr>
          <w:p w14:paraId="088CFA8E">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Hans"/>
              </w:rPr>
              <w:t>对</w:t>
            </w:r>
            <w:r>
              <w:rPr>
                <w:rFonts w:hint="eastAsia" w:ascii="宋体" w:hAnsi="宋体" w:eastAsia="宋体"/>
                <w:color w:val="auto"/>
                <w:highlight w:val="none"/>
                <w:lang w:val="en-US" w:eastAsia="zh-CN"/>
              </w:rPr>
              <w:t>项目及经费来源</w:t>
            </w:r>
            <w:r>
              <w:rPr>
                <w:rFonts w:hint="eastAsia" w:ascii="宋体" w:hAnsi="宋体" w:eastAsia="宋体"/>
                <w:color w:val="auto"/>
                <w:highlight w:val="none"/>
                <w:lang w:val="en-US" w:eastAsia="zh-Hans"/>
              </w:rPr>
              <w:t>进行管理，包括新增、修改、失效、删除</w:t>
            </w:r>
          </w:p>
        </w:tc>
        <w:tc>
          <w:tcPr>
            <w:tcW w:w="636" w:type="dxa"/>
            <w:vAlign w:val="center"/>
          </w:tcPr>
          <w:p w14:paraId="100B8663">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三年</w:t>
            </w:r>
          </w:p>
        </w:tc>
      </w:tr>
      <w:tr w14:paraId="7FD6F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Align w:val="center"/>
          </w:tcPr>
          <w:p w14:paraId="2F874958">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4</w:t>
            </w:r>
          </w:p>
        </w:tc>
        <w:tc>
          <w:tcPr>
            <w:tcW w:w="846" w:type="dxa"/>
            <w:vAlign w:val="center"/>
          </w:tcPr>
          <w:p w14:paraId="698DAE35">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全网搜索</w:t>
            </w:r>
          </w:p>
        </w:tc>
        <w:tc>
          <w:tcPr>
            <w:tcW w:w="1060" w:type="dxa"/>
            <w:vAlign w:val="center"/>
          </w:tcPr>
          <w:p w14:paraId="55411FBA">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w:t>
            </w:r>
          </w:p>
        </w:tc>
        <w:tc>
          <w:tcPr>
            <w:tcW w:w="5659" w:type="dxa"/>
          </w:tcPr>
          <w:p w14:paraId="1E158600">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lang w:eastAsia="zh-CN"/>
              </w:rPr>
              <w:t>（</w:t>
            </w:r>
            <w:r>
              <w:rPr>
                <w:rFonts w:hint="eastAsia" w:ascii="宋体" w:hAnsi="宋体" w:eastAsia="宋体"/>
                <w:color w:val="auto"/>
                <w:highlight w:val="none"/>
                <w:lang w:val="en-US" w:eastAsia="zh-CN"/>
              </w:rPr>
              <w:t>1）</w:t>
            </w:r>
            <w:r>
              <w:rPr>
                <w:rFonts w:hint="eastAsia" w:ascii="宋体" w:hAnsi="宋体" w:eastAsia="宋体"/>
                <w:color w:val="auto"/>
                <w:highlight w:val="none"/>
              </w:rPr>
              <w:t>支持查询全国范围内的政府采购平台、电子卖场、主流电商平台的历史公开成交数据。支持根据商品分类逐层筛选影响价格的主要参数，定位所需比价商品。</w:t>
            </w:r>
          </w:p>
          <w:p w14:paraId="6731E1C9">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lang w:eastAsia="zh-CN"/>
              </w:rPr>
              <w:t>（</w:t>
            </w:r>
            <w:r>
              <w:rPr>
                <w:rFonts w:hint="eastAsia" w:ascii="宋体" w:hAnsi="宋体" w:eastAsia="宋体"/>
                <w:color w:val="auto"/>
                <w:highlight w:val="none"/>
                <w:lang w:val="en-US" w:eastAsia="zh-CN"/>
              </w:rPr>
              <w:t>2）</w:t>
            </w:r>
            <w:r>
              <w:rPr>
                <w:rFonts w:hint="eastAsia" w:ascii="宋体" w:hAnsi="宋体" w:eastAsia="宋体"/>
                <w:color w:val="auto"/>
                <w:highlight w:val="none"/>
              </w:rPr>
              <w:t>支持查看所筛选商品的最高价、最低价、当前平均价，以及商品信息、在售供应商数量、成交价范围、成交均价、合理价范围和所有供应商成交记录。</w:t>
            </w:r>
          </w:p>
          <w:p w14:paraId="4A6D895A">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lang w:eastAsia="zh-CN"/>
              </w:rPr>
              <w:t>（</w:t>
            </w:r>
            <w:r>
              <w:rPr>
                <w:rFonts w:hint="eastAsia" w:ascii="宋体" w:hAnsi="宋体" w:eastAsia="宋体"/>
                <w:color w:val="auto"/>
                <w:highlight w:val="none"/>
                <w:lang w:val="en-US" w:eastAsia="zh-CN"/>
              </w:rPr>
              <w:t>3）</w:t>
            </w:r>
            <w:r>
              <w:rPr>
                <w:rFonts w:hint="eastAsia" w:ascii="宋体" w:hAnsi="宋体" w:eastAsia="宋体"/>
                <w:color w:val="auto"/>
                <w:highlight w:val="none"/>
              </w:rPr>
              <w:t>支持查看包括采购人、供应商、项目编号、商品名称、数量、单价、生产制造商、参数等在内的商品详情。</w:t>
            </w:r>
          </w:p>
          <w:p w14:paraId="4B77038D">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lang w:eastAsia="zh-CN"/>
              </w:rPr>
              <w:t>（</w:t>
            </w:r>
            <w:r>
              <w:rPr>
                <w:rFonts w:hint="eastAsia" w:ascii="宋体" w:hAnsi="宋体" w:eastAsia="宋体"/>
                <w:color w:val="auto"/>
                <w:highlight w:val="none"/>
                <w:lang w:val="en-US" w:eastAsia="zh-CN"/>
              </w:rPr>
              <w:t>4）</w:t>
            </w:r>
            <w:r>
              <w:rPr>
                <w:rFonts w:hint="eastAsia" w:ascii="宋体" w:hAnsi="宋体" w:eastAsia="宋体"/>
                <w:color w:val="auto"/>
                <w:highlight w:val="none"/>
              </w:rPr>
              <w:t>支持添加 3 个以上供应商成交记录至比价列表，查看比价表，比价表支持不同项高亮、合并相同项查看，以及收藏、下载、打印。</w:t>
            </w:r>
          </w:p>
          <w:p w14:paraId="013A8743">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lang w:eastAsia="zh-CN"/>
              </w:rPr>
              <w:t>（</w:t>
            </w:r>
            <w:r>
              <w:rPr>
                <w:rFonts w:hint="eastAsia" w:ascii="宋体" w:hAnsi="宋体" w:eastAsia="宋体"/>
                <w:color w:val="auto"/>
                <w:highlight w:val="none"/>
                <w:lang w:val="en-US" w:eastAsia="zh-CN"/>
              </w:rPr>
              <w:t>5）</w:t>
            </w:r>
            <w:r>
              <w:rPr>
                <w:rFonts w:hint="eastAsia" w:ascii="宋体" w:hAnsi="宋体" w:eastAsia="宋体"/>
                <w:color w:val="auto"/>
                <w:highlight w:val="none"/>
              </w:rPr>
              <w:t>支持收藏比价结果表，在市场调查环节引用作为比价依据。</w:t>
            </w:r>
          </w:p>
        </w:tc>
        <w:tc>
          <w:tcPr>
            <w:tcW w:w="636" w:type="dxa"/>
            <w:vAlign w:val="center"/>
          </w:tcPr>
          <w:p w14:paraId="05C61549">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1E04F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restart"/>
            <w:vAlign w:val="center"/>
          </w:tcPr>
          <w:p w14:paraId="6E5EFB33">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5</w:t>
            </w:r>
          </w:p>
        </w:tc>
        <w:tc>
          <w:tcPr>
            <w:tcW w:w="846" w:type="dxa"/>
            <w:vMerge w:val="restart"/>
            <w:vAlign w:val="center"/>
          </w:tcPr>
          <w:p w14:paraId="14251384">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市场调研管理</w:t>
            </w:r>
          </w:p>
        </w:tc>
        <w:tc>
          <w:tcPr>
            <w:tcW w:w="1060" w:type="dxa"/>
            <w:vAlign w:val="center"/>
          </w:tcPr>
          <w:p w14:paraId="22D1514C">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调研公告发布</w:t>
            </w:r>
          </w:p>
        </w:tc>
        <w:tc>
          <w:tcPr>
            <w:tcW w:w="5659" w:type="dxa"/>
          </w:tcPr>
          <w:p w14:paraId="04C75B5B">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支持编辑并发布调研公告，关联发布及报名截止时间，</w:t>
            </w:r>
            <w:r>
              <w:rPr>
                <w:rFonts w:hint="eastAsia" w:ascii="宋体" w:hAnsi="宋体" w:eastAsia="宋体"/>
                <w:color w:val="auto"/>
                <w:highlight w:val="none"/>
                <w:lang w:eastAsia="zh-CN"/>
              </w:rPr>
              <w:t>支持设置开启、关闭报名入口</w:t>
            </w:r>
            <w:r>
              <w:rPr>
                <w:rFonts w:hint="eastAsia" w:ascii="宋体" w:hAnsi="宋体" w:eastAsia="宋体"/>
                <w:color w:val="auto"/>
                <w:highlight w:val="none"/>
              </w:rPr>
              <w:t>。</w:t>
            </w:r>
          </w:p>
          <w:p w14:paraId="5A4E5778">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支持报名供应商不足 3 家时提示二次（三次）挂网，提供一键挂网功能，挂网时间顺延且内容不变。</w:t>
            </w:r>
          </w:p>
        </w:tc>
        <w:tc>
          <w:tcPr>
            <w:tcW w:w="636" w:type="dxa"/>
            <w:vAlign w:val="center"/>
          </w:tcPr>
          <w:p w14:paraId="6641C657">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1D039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24B6FE7F">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516F7AB3">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2704761F">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供应商报名</w:t>
            </w:r>
          </w:p>
        </w:tc>
        <w:tc>
          <w:tcPr>
            <w:tcW w:w="5659" w:type="dxa"/>
          </w:tcPr>
          <w:p w14:paraId="50009E95">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支持供应商通过网上入口或线下报名，递交电子版材料及报价，由招采中心或归口部门审核，材料不全可补充，审核通过后线上登记结果。</w:t>
            </w:r>
          </w:p>
        </w:tc>
        <w:tc>
          <w:tcPr>
            <w:tcW w:w="636" w:type="dxa"/>
            <w:vAlign w:val="center"/>
          </w:tcPr>
          <w:p w14:paraId="1E001999">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463C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68DD4783">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1D789CA2">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65B93E20">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抽选市场调研专家</w:t>
            </w:r>
          </w:p>
        </w:tc>
        <w:tc>
          <w:tcPr>
            <w:tcW w:w="5659" w:type="dxa"/>
          </w:tcPr>
          <w:p w14:paraId="642046C1">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color w:val="auto"/>
                <w:highlight w:val="none"/>
              </w:rPr>
              <w:t>支持报名截止后，在系统内完成评审专家抽选</w:t>
            </w:r>
            <w:r>
              <w:rPr>
                <w:rFonts w:hint="eastAsia"/>
                <w:color w:val="auto"/>
                <w:highlight w:val="none"/>
                <w:lang w:eastAsia="zh-CN"/>
              </w:rPr>
              <w:t>或登记结果</w:t>
            </w:r>
            <w:r>
              <w:rPr>
                <w:rFonts w:hint="eastAsia"/>
                <w:color w:val="auto"/>
                <w:highlight w:val="none"/>
              </w:rPr>
              <w:t>。系统提供三种模式：（1）随机抽取，按预设规则从专家库自动筛选符合条件的专家并随机选定，选定结果可根据需求选择备选人数，备选人选均无法参加后，可继续调整规则进行随机选取；（2）手动指定，由经办人从专家库中直接选择指定专家。选定结果支持登记与确认。（3）线下确认，支持经办人在线下随机抽取后，上传抽取记录，确认结果支持直接登记与确认。</w:t>
            </w:r>
          </w:p>
        </w:tc>
        <w:tc>
          <w:tcPr>
            <w:tcW w:w="636" w:type="dxa"/>
            <w:vAlign w:val="center"/>
          </w:tcPr>
          <w:p w14:paraId="02439155">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r>
      <w:tr w14:paraId="4A86F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27158423">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7EEED667">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7D519087">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文件补录</w:t>
            </w:r>
          </w:p>
        </w:tc>
        <w:tc>
          <w:tcPr>
            <w:tcW w:w="5659" w:type="dxa"/>
          </w:tcPr>
          <w:p w14:paraId="1EE96327">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支持市场调研结束后，按环节规范补录会议纪要等滞后性缺失文件。</w:t>
            </w:r>
          </w:p>
        </w:tc>
        <w:tc>
          <w:tcPr>
            <w:tcW w:w="636" w:type="dxa"/>
            <w:vAlign w:val="center"/>
          </w:tcPr>
          <w:p w14:paraId="4E1CA0C3">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232A4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4694E2BE">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7EDF9CF6">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6A1D858A">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市场调研报告</w:t>
            </w:r>
          </w:p>
        </w:tc>
        <w:tc>
          <w:tcPr>
            <w:tcW w:w="5659" w:type="dxa"/>
          </w:tcPr>
          <w:p w14:paraId="7447036F">
            <w:pPr>
              <w:pageBreakBefore w:val="0"/>
              <w:widowControl w:val="0"/>
              <w:kinsoku/>
              <w:wordWrap/>
              <w:overflowPunct/>
              <w:topLinePunct w:val="0"/>
              <w:autoSpaceDE/>
              <w:autoSpaceDN/>
              <w:bidi w:val="0"/>
              <w:adjustRightInd/>
              <w:snapToGrid/>
              <w:spacing w:line="312" w:lineRule="auto"/>
              <w:jc w:val="left"/>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支持按模版编辑生成市场调研报告，可在报告添加附件，能插入网络询价</w:t>
            </w:r>
            <w:r>
              <w:rPr>
                <w:rFonts w:hint="eastAsia" w:ascii="宋体" w:hAnsi="宋体" w:eastAsia="宋体"/>
                <w:color w:val="auto"/>
                <w:highlight w:val="none"/>
              </w:rPr>
              <w:t>比价结果表</w:t>
            </w:r>
            <w:r>
              <w:rPr>
                <w:rFonts w:hint="eastAsia" w:ascii="宋体" w:hAnsi="宋体" w:eastAsia="宋体"/>
                <w:color w:val="auto"/>
                <w:highlight w:val="none"/>
                <w:lang w:eastAsia="zh-CN"/>
              </w:rPr>
              <w:t>。</w:t>
            </w:r>
          </w:p>
        </w:tc>
        <w:tc>
          <w:tcPr>
            <w:tcW w:w="636" w:type="dxa"/>
            <w:vAlign w:val="center"/>
          </w:tcPr>
          <w:p w14:paraId="202CF492">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三年</w:t>
            </w:r>
          </w:p>
        </w:tc>
      </w:tr>
      <w:tr w14:paraId="47ED8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0178AABB">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6EB7043B">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72C8A21E">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采购需求及预控价审核</w:t>
            </w:r>
          </w:p>
        </w:tc>
        <w:tc>
          <w:tcPr>
            <w:tcW w:w="5659" w:type="dxa"/>
          </w:tcPr>
          <w:p w14:paraId="7ED81A85">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支持采购需求及预控价审核功能，能提供AI审核建议。</w:t>
            </w:r>
          </w:p>
          <w:p w14:paraId="2640EE8D">
            <w:pPr>
              <w:pageBreakBefore w:val="0"/>
              <w:widowControl w:val="0"/>
              <w:kinsoku/>
              <w:wordWrap/>
              <w:overflowPunct/>
              <w:topLinePunct w:val="0"/>
              <w:autoSpaceDE/>
              <w:autoSpaceDN/>
              <w:bidi w:val="0"/>
              <w:adjustRightInd/>
              <w:snapToGrid/>
              <w:spacing w:line="312" w:lineRule="auto"/>
              <w:jc w:val="left"/>
              <w:textAlignment w:val="auto"/>
              <w:rPr>
                <w:rFonts w:hint="eastAsia" w:eastAsiaTheme="minorEastAsia"/>
                <w:color w:val="auto"/>
                <w:lang w:val="en-US" w:eastAsia="zh-CN"/>
              </w:rPr>
            </w:pPr>
            <w:r>
              <w:rPr>
                <w:rFonts w:hint="eastAsia" w:ascii="宋体" w:hAnsi="宋体" w:eastAsia="宋体"/>
                <w:color w:val="auto"/>
                <w:highlight w:val="none"/>
              </w:rPr>
              <w:t>发起</w:t>
            </w:r>
            <w:r>
              <w:rPr>
                <w:rFonts w:hint="eastAsia" w:ascii="宋体" w:hAnsi="宋体" w:eastAsia="宋体"/>
                <w:color w:val="auto"/>
                <w:highlight w:val="none"/>
                <w:lang w:val="en-US" w:eastAsia="zh-CN"/>
              </w:rPr>
              <w:t>市场调研报告</w:t>
            </w:r>
            <w:r>
              <w:rPr>
                <w:rFonts w:hint="eastAsia" w:ascii="宋体" w:hAnsi="宋体" w:eastAsia="宋体"/>
                <w:color w:val="auto"/>
                <w:highlight w:val="none"/>
              </w:rPr>
              <w:t>审批流程，审批流程支持按照医院业务定制；</w:t>
            </w:r>
            <w:r>
              <w:rPr>
                <w:rFonts w:hint="eastAsia" w:ascii="宋体" w:hAnsi="宋体" w:eastAsia="宋体"/>
                <w:color w:val="auto"/>
                <w:highlight w:val="none"/>
                <w:lang w:eastAsia="zh-CN"/>
              </w:rPr>
              <w:t>持与第三方系统</w:t>
            </w:r>
            <w:r>
              <w:rPr>
                <w:rFonts w:hint="eastAsia" w:ascii="宋体" w:hAnsi="宋体" w:eastAsia="宋体"/>
                <w:color w:val="auto"/>
                <w:highlight w:val="none"/>
                <w:lang w:val="en-US" w:eastAsia="zh-CN"/>
              </w:rPr>
              <w:t>对接，推送审批流及回传审批结果</w:t>
            </w:r>
          </w:p>
        </w:tc>
        <w:tc>
          <w:tcPr>
            <w:tcW w:w="636" w:type="dxa"/>
            <w:vAlign w:val="center"/>
          </w:tcPr>
          <w:p w14:paraId="253BD9F1">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三年</w:t>
            </w:r>
          </w:p>
        </w:tc>
      </w:tr>
      <w:tr w14:paraId="3621D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74A0738E">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5ECB8213">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74D6BC68">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调研结果</w:t>
            </w:r>
          </w:p>
        </w:tc>
        <w:tc>
          <w:tcPr>
            <w:tcW w:w="5659" w:type="dxa"/>
          </w:tcPr>
          <w:p w14:paraId="28440C62">
            <w:pPr>
              <w:pageBreakBefore w:val="0"/>
              <w:widowControl w:val="0"/>
              <w:kinsoku/>
              <w:wordWrap/>
              <w:overflowPunct/>
              <w:topLinePunct w:val="0"/>
              <w:autoSpaceDE/>
              <w:autoSpaceDN/>
              <w:bidi w:val="0"/>
              <w:adjustRightInd/>
              <w:snapToGrid/>
              <w:spacing w:line="312" w:lineRule="auto"/>
              <w:jc w:val="left"/>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支持市场调研后项目执行流程转归，如转为政府采购、院内自主采购，暂缓或终止。并按转归进入响应的执行流程或存档</w:t>
            </w:r>
          </w:p>
        </w:tc>
        <w:tc>
          <w:tcPr>
            <w:tcW w:w="636" w:type="dxa"/>
            <w:vAlign w:val="center"/>
          </w:tcPr>
          <w:p w14:paraId="0B304B51">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三年</w:t>
            </w:r>
          </w:p>
        </w:tc>
      </w:tr>
      <w:tr w14:paraId="60499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restart"/>
            <w:vAlign w:val="center"/>
          </w:tcPr>
          <w:p w14:paraId="664D7734">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6</w:t>
            </w:r>
          </w:p>
        </w:tc>
        <w:tc>
          <w:tcPr>
            <w:tcW w:w="846" w:type="dxa"/>
            <w:vMerge w:val="restart"/>
            <w:vAlign w:val="center"/>
          </w:tcPr>
          <w:p w14:paraId="3AD7FED9">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采购申请管理</w:t>
            </w:r>
          </w:p>
        </w:tc>
        <w:tc>
          <w:tcPr>
            <w:tcW w:w="1060" w:type="dxa"/>
            <w:vAlign w:val="center"/>
          </w:tcPr>
          <w:p w14:paraId="61E08C52">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采购申请填报</w:t>
            </w:r>
          </w:p>
        </w:tc>
        <w:tc>
          <w:tcPr>
            <w:tcW w:w="5659" w:type="dxa"/>
          </w:tcPr>
          <w:p w14:paraId="5311C94B">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提供填报指引，支持根据国家法规、地方政策和医院采购内控管理进行自定义编辑指引内容；支持在线提交采购申请，支持新增、查询、修改、删除、上传附件等功能：支持根据</w:t>
            </w:r>
            <w:r>
              <w:rPr>
                <w:rFonts w:hint="eastAsia" w:ascii="宋体" w:hAnsi="宋体" w:eastAsia="宋体"/>
                <w:color w:val="auto"/>
                <w:highlight w:val="none"/>
                <w:lang w:val="en-US" w:eastAsia="zh-CN"/>
              </w:rPr>
              <w:t>不同</w:t>
            </w:r>
            <w:r>
              <w:rPr>
                <w:rFonts w:hint="eastAsia" w:ascii="宋体" w:hAnsi="宋体" w:eastAsia="宋体"/>
                <w:color w:val="auto"/>
                <w:highlight w:val="none"/>
              </w:rPr>
              <w:t>项目类别（工程、货物、服务）自动切换采购申请表单；采购申请表单的部门基础数据自动关联用户管理信息，对关键性信息字段明确标识出是否为必填项，且基础参数可从表单下拉中直接选择；支持上传相关附件材料。</w:t>
            </w:r>
          </w:p>
        </w:tc>
        <w:tc>
          <w:tcPr>
            <w:tcW w:w="636" w:type="dxa"/>
            <w:vAlign w:val="center"/>
          </w:tcPr>
          <w:p w14:paraId="48412F3A">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7BF9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33EEC759">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3DE7C84B">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Merge w:val="restart"/>
            <w:vAlign w:val="center"/>
          </w:tcPr>
          <w:p w14:paraId="3395C650">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采购申请审核</w:t>
            </w:r>
          </w:p>
        </w:tc>
        <w:tc>
          <w:tcPr>
            <w:tcW w:w="5659" w:type="dxa"/>
          </w:tcPr>
          <w:p w14:paraId="73B5D337">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支持登记审核意见，上传相关说明附件材料；支持系统内置审批流程</w:t>
            </w:r>
            <w:r>
              <w:rPr>
                <w:rFonts w:hint="eastAsia" w:ascii="宋体" w:hAnsi="宋体" w:eastAsia="宋体"/>
                <w:color w:val="auto"/>
                <w:highlight w:val="none"/>
                <w:lang w:eastAsia="zh-CN"/>
              </w:rPr>
              <w:t>，</w:t>
            </w:r>
            <w:r>
              <w:rPr>
                <w:rFonts w:hint="eastAsia" w:ascii="宋体" w:hAnsi="宋体" w:eastAsia="宋体"/>
                <w:color w:val="auto"/>
                <w:highlight w:val="none"/>
                <w:lang w:val="en-US" w:eastAsia="zh-CN"/>
              </w:rPr>
              <w:t>具体流程</w:t>
            </w:r>
            <w:r>
              <w:rPr>
                <w:rFonts w:hint="eastAsia" w:ascii="宋体" w:hAnsi="宋体" w:eastAsia="宋体"/>
                <w:color w:val="auto"/>
                <w:highlight w:val="none"/>
              </w:rPr>
              <w:t>根据医院需求定制，审核操作按钮包括同意、退回、加签、催办。</w:t>
            </w:r>
          </w:p>
        </w:tc>
        <w:tc>
          <w:tcPr>
            <w:tcW w:w="636" w:type="dxa"/>
            <w:vAlign w:val="center"/>
          </w:tcPr>
          <w:p w14:paraId="5995C212">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151A5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6B4198D0">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59EA4AA2">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Merge w:val="continue"/>
            <w:vAlign w:val="center"/>
          </w:tcPr>
          <w:p w14:paraId="52DD16E1">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5659" w:type="dxa"/>
          </w:tcPr>
          <w:p w14:paraId="5E2D0803">
            <w:pPr>
              <w:pageBreakBefore w:val="0"/>
              <w:widowControl w:val="0"/>
              <w:kinsoku/>
              <w:wordWrap/>
              <w:overflowPunct/>
              <w:topLinePunct w:val="0"/>
              <w:autoSpaceDE/>
              <w:autoSpaceDN/>
              <w:bidi w:val="0"/>
              <w:adjustRightInd/>
              <w:snapToGrid/>
              <w:spacing w:line="312" w:lineRule="auto"/>
              <w:jc w:val="left"/>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支持对项目进行市场比价，生成比价结果，为预算金额提供参考</w:t>
            </w:r>
          </w:p>
        </w:tc>
        <w:tc>
          <w:tcPr>
            <w:tcW w:w="636" w:type="dxa"/>
            <w:vAlign w:val="center"/>
          </w:tcPr>
          <w:p w14:paraId="00A6C1CD">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三年</w:t>
            </w:r>
          </w:p>
        </w:tc>
      </w:tr>
      <w:tr w14:paraId="24EAF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464B71CE">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11A977BF">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2BCE844E">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采购申请汇总</w:t>
            </w:r>
          </w:p>
        </w:tc>
        <w:tc>
          <w:tcPr>
            <w:tcW w:w="5659" w:type="dxa"/>
          </w:tcPr>
          <w:p w14:paraId="78EC2C20">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lang w:eastAsia="zh-CN"/>
              </w:rPr>
            </w:pPr>
            <w:r>
              <w:rPr>
                <w:rFonts w:hint="eastAsia" w:ascii="宋体" w:hAnsi="宋体" w:eastAsia="宋体"/>
                <w:color w:val="auto"/>
                <w:highlight w:val="none"/>
              </w:rPr>
              <w:t>支持分类展示个人未提交、已提交、已终止、已通过的项目；支持修改未提交的项目信息，并可对已提交项目进行撤回或终止操作。支持通过多种查询方式，如按时间、项目</w:t>
            </w:r>
            <w:r>
              <w:rPr>
                <w:rFonts w:hint="eastAsia" w:ascii="宋体" w:hAnsi="宋体" w:eastAsia="宋体"/>
                <w:color w:val="auto"/>
                <w:highlight w:val="none"/>
                <w:lang w:val="en-US" w:eastAsia="zh-CN"/>
              </w:rPr>
              <w:t>名称</w:t>
            </w:r>
            <w:r>
              <w:rPr>
                <w:rFonts w:hint="eastAsia" w:ascii="宋体" w:hAnsi="宋体" w:eastAsia="宋体"/>
                <w:color w:val="auto"/>
                <w:highlight w:val="none"/>
              </w:rPr>
              <w:t>等，查询采购申请以及采购执行进度</w:t>
            </w:r>
            <w:r>
              <w:rPr>
                <w:rFonts w:hint="eastAsia" w:ascii="宋体" w:hAnsi="宋体" w:eastAsia="宋体"/>
                <w:color w:val="auto"/>
                <w:highlight w:val="none"/>
                <w:lang w:eastAsia="zh-CN"/>
              </w:rPr>
              <w:t>。</w:t>
            </w:r>
          </w:p>
          <w:p w14:paraId="04F29868">
            <w:pPr>
              <w:pageBreakBefore w:val="0"/>
              <w:widowControl w:val="0"/>
              <w:kinsoku/>
              <w:wordWrap/>
              <w:overflowPunct/>
              <w:topLinePunct w:val="0"/>
              <w:autoSpaceDE/>
              <w:autoSpaceDN/>
              <w:bidi w:val="0"/>
              <w:adjustRightInd/>
              <w:snapToGrid/>
              <w:spacing w:line="312" w:lineRule="auto"/>
              <w:jc w:val="left"/>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支持自定义汇总审核通过的项目信息列表，发送至医学装备委员会等专业管理委员会成员，进行评分审核。审核完毕，生成项目评审及意见汇总，计算委员会评审结果。</w:t>
            </w:r>
          </w:p>
        </w:tc>
        <w:tc>
          <w:tcPr>
            <w:tcW w:w="636" w:type="dxa"/>
            <w:vAlign w:val="center"/>
          </w:tcPr>
          <w:p w14:paraId="79FE6D5C">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24437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restart"/>
            <w:vAlign w:val="center"/>
          </w:tcPr>
          <w:p w14:paraId="5CDF5ACD">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7</w:t>
            </w:r>
          </w:p>
        </w:tc>
        <w:tc>
          <w:tcPr>
            <w:tcW w:w="846" w:type="dxa"/>
            <w:vMerge w:val="restart"/>
            <w:vAlign w:val="center"/>
          </w:tcPr>
          <w:p w14:paraId="6A0B465F">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项目调配管理</w:t>
            </w:r>
          </w:p>
        </w:tc>
        <w:tc>
          <w:tcPr>
            <w:tcW w:w="1060" w:type="dxa"/>
            <w:vAlign w:val="center"/>
          </w:tcPr>
          <w:p w14:paraId="0E0F66B2">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分配采购方式</w:t>
            </w:r>
          </w:p>
        </w:tc>
        <w:tc>
          <w:tcPr>
            <w:tcW w:w="5659" w:type="dxa"/>
          </w:tcPr>
          <w:p w14:paraId="5CEC3436">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支持根据采购标的参数、金额、品目等设置采购方式，分配采购经办人。</w:t>
            </w:r>
          </w:p>
        </w:tc>
        <w:tc>
          <w:tcPr>
            <w:tcW w:w="636" w:type="dxa"/>
            <w:vAlign w:val="center"/>
          </w:tcPr>
          <w:p w14:paraId="01020332">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0106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64641CCC">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67DA519B">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63A38897">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分包、打包管理</w:t>
            </w:r>
          </w:p>
        </w:tc>
        <w:tc>
          <w:tcPr>
            <w:tcW w:w="5659" w:type="dxa"/>
          </w:tcPr>
          <w:p w14:paraId="61B1669A">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支持根据不同品目、限额标准、组织形式和采购方式，并可根据项目中所包含的申请项类型对项目进行分包、打包。</w:t>
            </w:r>
          </w:p>
        </w:tc>
        <w:tc>
          <w:tcPr>
            <w:tcW w:w="636" w:type="dxa"/>
            <w:vAlign w:val="center"/>
          </w:tcPr>
          <w:p w14:paraId="41CB3A30">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2488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620" w:type="dxa"/>
            <w:vAlign w:val="center"/>
          </w:tcPr>
          <w:p w14:paraId="247015F3">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Align w:val="center"/>
          </w:tcPr>
          <w:p w14:paraId="3ADD2929">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26806644">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优先级设置</w:t>
            </w:r>
          </w:p>
        </w:tc>
        <w:tc>
          <w:tcPr>
            <w:tcW w:w="5659" w:type="dxa"/>
          </w:tcPr>
          <w:p w14:paraId="78D12B05">
            <w:pPr>
              <w:numPr>
                <w:ilvl w:val="0"/>
                <w:numId w:val="0"/>
              </w:numPr>
              <w:tabs>
                <w:tab w:val="left" w:pos="0"/>
              </w:tabs>
              <w:rPr>
                <w:rFonts w:hint="eastAsia" w:ascii="宋体" w:hAnsi="宋体" w:eastAsia="宋体"/>
                <w:color w:val="auto"/>
                <w:highlight w:val="none"/>
              </w:rPr>
            </w:pPr>
            <w:r>
              <w:rPr>
                <w:rFonts w:hint="eastAsia"/>
                <w:color w:val="auto"/>
                <w:highlight w:val="none"/>
                <w:lang w:eastAsia="zh-CN"/>
              </w:rPr>
              <w:t>优</w:t>
            </w:r>
            <w:r>
              <w:rPr>
                <w:rFonts w:hint="eastAsia" w:ascii="宋体" w:hAnsi="宋体" w:eastAsia="宋体"/>
                <w:color w:val="auto"/>
                <w:highlight w:val="none"/>
                <w:lang w:val="en-US" w:eastAsia="zh-CN"/>
              </w:rPr>
              <w:t>先级设置：支持对重点项目、紧急项目进行优先级设置，并在执行环节及报表显示中有明显标记，以便合理安排招采及处置顺序。</w:t>
            </w:r>
          </w:p>
        </w:tc>
        <w:tc>
          <w:tcPr>
            <w:tcW w:w="636" w:type="dxa"/>
            <w:vAlign w:val="center"/>
          </w:tcPr>
          <w:p w14:paraId="4AA9ECF4">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r>
      <w:tr w14:paraId="2EDD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restart"/>
            <w:vAlign w:val="center"/>
          </w:tcPr>
          <w:p w14:paraId="7B76F1A9">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58</w:t>
            </w:r>
          </w:p>
        </w:tc>
        <w:tc>
          <w:tcPr>
            <w:tcW w:w="846" w:type="dxa"/>
            <w:vMerge w:val="restart"/>
            <w:vAlign w:val="center"/>
          </w:tcPr>
          <w:p w14:paraId="6850B331">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采购实施管理</w:t>
            </w:r>
          </w:p>
        </w:tc>
        <w:tc>
          <w:tcPr>
            <w:tcW w:w="1060" w:type="dxa"/>
            <w:vAlign w:val="center"/>
          </w:tcPr>
          <w:p w14:paraId="5E6B241C">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政府平台采购</w:t>
            </w:r>
          </w:p>
        </w:tc>
        <w:tc>
          <w:tcPr>
            <w:tcW w:w="5659" w:type="dxa"/>
          </w:tcPr>
          <w:p w14:paraId="70D64223">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通过政府电子化采购平台执行具体采购的项目，支持完成后在采购系统登记采购结果。</w:t>
            </w:r>
          </w:p>
        </w:tc>
        <w:tc>
          <w:tcPr>
            <w:tcW w:w="636" w:type="dxa"/>
            <w:vAlign w:val="center"/>
          </w:tcPr>
          <w:p w14:paraId="697685A6">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7EB9F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5A913A6B">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4CFDA95C">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7AD6AE7E">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Theme="minorEastAsia"/>
                <w:color w:val="auto"/>
                <w:highlight w:val="none"/>
                <w:lang w:val="en-US" w:eastAsia="zh-CN"/>
              </w:rPr>
            </w:pPr>
            <w:r>
              <w:rPr>
                <w:rFonts w:hint="eastAsia" w:ascii="宋体" w:hAnsi="宋体" w:eastAsia="宋体"/>
                <w:color w:val="auto"/>
                <w:highlight w:val="none"/>
                <w:lang w:val="en-US" w:eastAsia="zh-CN"/>
              </w:rPr>
              <w:t>代理</w:t>
            </w:r>
            <w:r>
              <w:rPr>
                <w:rFonts w:hint="eastAsia"/>
                <w:color w:val="auto"/>
                <w:highlight w:val="none"/>
                <w:lang w:eastAsia="zh-CN"/>
              </w:rPr>
              <w:t>机构管理</w:t>
            </w:r>
          </w:p>
        </w:tc>
        <w:tc>
          <w:tcPr>
            <w:tcW w:w="5659" w:type="dxa"/>
          </w:tcPr>
          <w:p w14:paraId="4CBA54AC">
            <w:pPr>
              <w:pageBreakBefore w:val="0"/>
              <w:widowControl w:val="0"/>
              <w:kinsoku/>
              <w:wordWrap/>
              <w:overflowPunct/>
              <w:topLinePunct w:val="0"/>
              <w:autoSpaceDE/>
              <w:autoSpaceDN/>
              <w:bidi w:val="0"/>
              <w:adjustRightInd/>
              <w:snapToGrid/>
              <w:spacing w:line="312" w:lineRule="auto"/>
              <w:jc w:val="left"/>
              <w:textAlignment w:val="auto"/>
              <w:rPr>
                <w:rFonts w:hint="eastAsia"/>
                <w:color w:val="auto"/>
                <w:highlight w:val="none"/>
              </w:rPr>
            </w:pPr>
            <w:r>
              <w:rPr>
                <w:rFonts w:hint="eastAsia"/>
                <w:color w:val="auto"/>
                <w:highlight w:val="none"/>
                <w:lang w:eastAsia="zh-CN"/>
              </w:rPr>
              <w:t>支持</w:t>
            </w:r>
            <w:r>
              <w:rPr>
                <w:rFonts w:hint="eastAsia"/>
                <w:color w:val="auto"/>
                <w:highlight w:val="none"/>
              </w:rPr>
              <w:t>对采购代理机构信息进行录入、管理、查询、代理项目统计等操作。</w:t>
            </w:r>
          </w:p>
          <w:p w14:paraId="3C339740">
            <w:pPr>
              <w:pageBreakBefore w:val="0"/>
              <w:widowControl w:val="0"/>
              <w:kinsoku/>
              <w:wordWrap/>
              <w:overflowPunct/>
              <w:topLinePunct w:val="0"/>
              <w:autoSpaceDE/>
              <w:autoSpaceDN/>
              <w:bidi w:val="0"/>
              <w:adjustRightInd/>
              <w:snapToGrid/>
              <w:spacing w:line="312" w:lineRule="auto"/>
              <w:jc w:val="left"/>
              <w:textAlignment w:val="auto"/>
              <w:rPr>
                <w:rFonts w:hint="eastAsia" w:eastAsiaTheme="minorEastAsia"/>
                <w:color w:val="auto"/>
                <w:highlight w:val="none"/>
                <w:lang w:eastAsia="zh-CN"/>
              </w:rPr>
            </w:pPr>
            <w:r>
              <w:rPr>
                <w:rFonts w:hint="eastAsia"/>
                <w:color w:val="auto"/>
                <w:highlight w:val="none"/>
                <w:lang w:eastAsia="zh-CN"/>
              </w:rPr>
              <w:t>系统支持随机抽取</w:t>
            </w:r>
            <w:r>
              <w:rPr>
                <w:rFonts w:hint="eastAsia"/>
                <w:color w:val="auto"/>
                <w:highlight w:val="none"/>
              </w:rPr>
              <w:t>委托代理机构</w:t>
            </w:r>
            <w:r>
              <w:rPr>
                <w:rFonts w:hint="eastAsia"/>
                <w:color w:val="auto"/>
                <w:highlight w:val="none"/>
                <w:lang w:eastAsia="zh-CN"/>
              </w:rPr>
              <w:t>。系统支持线下随机抽取后，上传抽取记录，确认结果支持直接登记与确认。</w:t>
            </w:r>
          </w:p>
          <w:p w14:paraId="05F8986D">
            <w:pPr>
              <w:pageBreakBefore w:val="0"/>
              <w:widowControl w:val="0"/>
              <w:kinsoku/>
              <w:wordWrap/>
              <w:overflowPunct/>
              <w:topLinePunct w:val="0"/>
              <w:autoSpaceDE/>
              <w:autoSpaceDN/>
              <w:bidi w:val="0"/>
              <w:adjustRightInd/>
              <w:snapToGrid/>
              <w:spacing w:line="312" w:lineRule="auto"/>
              <w:jc w:val="left"/>
              <w:textAlignment w:val="auto"/>
              <w:rPr>
                <w:rFonts w:hint="eastAsia"/>
                <w:color w:val="auto"/>
                <w:highlight w:val="none"/>
              </w:rPr>
            </w:pPr>
            <w:r>
              <w:rPr>
                <w:rFonts w:hint="eastAsia"/>
                <w:color w:val="auto"/>
                <w:highlight w:val="none"/>
              </w:rPr>
              <w:t>支持招标完成后用户对招标代理机构填写量化评价指标，支持对代理商进行量化指标评价。</w:t>
            </w:r>
          </w:p>
        </w:tc>
        <w:tc>
          <w:tcPr>
            <w:tcW w:w="636" w:type="dxa"/>
            <w:vAlign w:val="center"/>
          </w:tcPr>
          <w:p w14:paraId="3B43F963">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三年</w:t>
            </w:r>
          </w:p>
        </w:tc>
      </w:tr>
      <w:tr w14:paraId="46FD4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12E6275F">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587D1865">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728D0B02">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委托代理采购</w:t>
            </w:r>
          </w:p>
        </w:tc>
        <w:tc>
          <w:tcPr>
            <w:tcW w:w="5659" w:type="dxa"/>
          </w:tcPr>
          <w:p w14:paraId="625B5879">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支持制作采购文件并上传采购系统；发布招标公告；开评标记录管理；采购结果管理；发布成交公告。</w:t>
            </w:r>
          </w:p>
          <w:p w14:paraId="7E32032B">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（1）采购（招标）文件编制及审核</w:t>
            </w:r>
          </w:p>
          <w:p w14:paraId="3B96973C">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支持代理机构下载采购需求书，制作、上传采购（招标）文件及附件，并发起采购文件审批流程，审批流程支持按照医院业务定制；审批完成后，支持上传采购文件最终稿存档备案；</w:t>
            </w:r>
          </w:p>
          <w:p w14:paraId="1A247680">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（2）发布采购（招标）公告</w:t>
            </w:r>
          </w:p>
          <w:p w14:paraId="2218F364">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支持选择公告模板，在线编写招标公告并发布；</w:t>
            </w:r>
          </w:p>
          <w:p w14:paraId="57C8232B">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（3）开评标记录管理</w:t>
            </w:r>
          </w:p>
          <w:p w14:paraId="7ACD74DC">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支持评审过程材料在线记录及线下材料归集上传；支持对评审过程材料进行在线审核；</w:t>
            </w:r>
          </w:p>
          <w:p w14:paraId="2172D9D4">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（4）采购结果管理</w:t>
            </w:r>
          </w:p>
          <w:p w14:paraId="1B42ED7C">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支持在线确认采购结果，并可通过评标结果确认函模板在线编写并发送至代理机构；</w:t>
            </w:r>
          </w:p>
          <w:p w14:paraId="1979079A">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（5）发布成交公告</w:t>
            </w:r>
          </w:p>
          <w:p w14:paraId="58517138">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支持根据公告模板和成交（中标）信息，生成成交公告并发布。</w:t>
            </w:r>
          </w:p>
        </w:tc>
        <w:tc>
          <w:tcPr>
            <w:tcW w:w="636" w:type="dxa"/>
            <w:vAlign w:val="center"/>
          </w:tcPr>
          <w:p w14:paraId="6AE8B359">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464E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33B686D2">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735E3620">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194DFC4B">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采购文件确认与审核</w:t>
            </w:r>
          </w:p>
        </w:tc>
        <w:tc>
          <w:tcPr>
            <w:tcW w:w="5659" w:type="dxa"/>
          </w:tcPr>
          <w:p w14:paraId="5DA698EF">
            <w:pPr>
              <w:pageBreakBefore w:val="0"/>
              <w:widowControl w:val="0"/>
              <w:numPr>
                <w:ilvl w:val="0"/>
                <w:numId w:val="2"/>
              </w:numPr>
              <w:kinsoku/>
              <w:wordWrap/>
              <w:overflowPunct/>
              <w:topLinePunct w:val="0"/>
              <w:autoSpaceDE/>
              <w:autoSpaceDN/>
              <w:bidi w:val="0"/>
              <w:adjustRightInd/>
              <w:snapToGrid/>
              <w:spacing w:line="312" w:lineRule="auto"/>
              <w:jc w:val="left"/>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采购代理机构编制采购文件后上传系统招标办接收，支持采购文件需求与市场调研报告的采购需求内容差异进行比对，按模板生成采购需求调整记录。经招标办和承办科室确认后，附于采购文件按医院采购文件审核流程进入审核程序。</w:t>
            </w:r>
          </w:p>
          <w:p w14:paraId="0F999AF2">
            <w:pPr>
              <w:pageBreakBefore w:val="0"/>
              <w:widowControl w:val="0"/>
              <w:numPr>
                <w:ilvl w:val="0"/>
                <w:numId w:val="2"/>
              </w:numPr>
              <w:kinsoku/>
              <w:wordWrap/>
              <w:overflowPunct/>
              <w:topLinePunct w:val="0"/>
              <w:autoSpaceDE/>
              <w:autoSpaceDN/>
              <w:bidi w:val="0"/>
              <w:adjustRightInd/>
              <w:snapToGrid/>
              <w:spacing w:line="312" w:lineRule="auto"/>
              <w:jc w:val="left"/>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1000万以上项目、进口项目等特殊项目，支持采购需求一般性和重点审查流程。</w:t>
            </w:r>
          </w:p>
        </w:tc>
        <w:tc>
          <w:tcPr>
            <w:tcW w:w="636" w:type="dxa"/>
            <w:vAlign w:val="center"/>
          </w:tcPr>
          <w:p w14:paraId="439C6BBF">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三年</w:t>
            </w:r>
          </w:p>
        </w:tc>
      </w:tr>
      <w:tr w14:paraId="0FA1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44AE57AB">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46B9FAB4">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20FDE20C">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院内自主招标</w:t>
            </w:r>
          </w:p>
        </w:tc>
        <w:tc>
          <w:tcPr>
            <w:tcW w:w="5659" w:type="dxa"/>
          </w:tcPr>
          <w:p w14:paraId="2E9C5E6F">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支持院内磋商、院内比选等采购方式。适用于技术、服务等标准较复杂或者特殊的货物、工程和服务采购项目。采用综合评分。允许多轮磋商及报价。</w:t>
            </w:r>
          </w:p>
          <w:p w14:paraId="4EF9AC77">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（1）采购文件编制及审核</w:t>
            </w:r>
          </w:p>
          <w:p w14:paraId="6AAC5D66">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 xml:space="preserve">支持上传招标文件，允许对招标文件、资格性符合性审查项、评分标准项等内容进行编制； </w:t>
            </w:r>
          </w:p>
          <w:p w14:paraId="248C2541">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（2）发布采购公告</w:t>
            </w:r>
          </w:p>
          <w:p w14:paraId="250ACE63">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支持选择公告模板，在线编写招标公告并发布；</w:t>
            </w:r>
          </w:p>
          <w:p w14:paraId="6A46E3FC">
            <w:pPr>
              <w:pageBreakBefore w:val="0"/>
              <w:widowControl w:val="0"/>
              <w:shd w:val="clear"/>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（3）专家抽取管理</w:t>
            </w:r>
          </w:p>
          <w:p w14:paraId="0433642E">
            <w:pPr>
              <w:pageBreakBefore w:val="0"/>
              <w:widowControl w:val="0"/>
              <w:shd w:val="clear"/>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支持报名截止后，由招标采购中心在系统</w:t>
            </w:r>
            <w:r>
              <w:rPr>
                <w:rFonts w:hint="eastAsia" w:ascii="宋体" w:hAnsi="宋体" w:eastAsia="宋体"/>
                <w:color w:val="auto"/>
                <w:highlight w:val="none"/>
                <w:lang w:val="en-US" w:eastAsia="zh-CN"/>
              </w:rPr>
              <w:t>专家库中</w:t>
            </w:r>
            <w:r>
              <w:rPr>
                <w:rFonts w:hint="eastAsia" w:ascii="宋体" w:hAnsi="宋体" w:eastAsia="宋体"/>
                <w:color w:val="auto"/>
                <w:highlight w:val="none"/>
              </w:rPr>
              <w:t>随机抽取或</w:t>
            </w:r>
            <w:r>
              <w:rPr>
                <w:rFonts w:hint="eastAsia" w:ascii="宋体" w:hAnsi="宋体" w:eastAsia="宋体"/>
                <w:color w:val="auto"/>
                <w:highlight w:val="none"/>
                <w:lang w:val="en-US" w:eastAsia="zh-CN"/>
              </w:rPr>
              <w:t>直接</w:t>
            </w:r>
            <w:r>
              <w:rPr>
                <w:rFonts w:hint="eastAsia" w:ascii="宋体" w:hAnsi="宋体" w:eastAsia="宋体"/>
                <w:color w:val="auto"/>
                <w:highlight w:val="none"/>
              </w:rPr>
              <w:t>选定</w:t>
            </w:r>
            <w:r>
              <w:rPr>
                <w:rFonts w:hint="eastAsia" w:ascii="宋体" w:hAnsi="宋体" w:eastAsia="宋体"/>
                <w:color w:val="auto"/>
                <w:highlight w:val="none"/>
                <w:lang w:val="en-US" w:eastAsia="zh-CN"/>
              </w:rPr>
              <w:t>评审</w:t>
            </w:r>
            <w:r>
              <w:rPr>
                <w:rFonts w:hint="eastAsia" w:ascii="宋体" w:hAnsi="宋体" w:eastAsia="宋体"/>
                <w:color w:val="auto"/>
                <w:highlight w:val="none"/>
              </w:rPr>
              <w:t>专家，评审专家确定后推送短信/微信提醒信息。</w:t>
            </w:r>
          </w:p>
          <w:p w14:paraId="7DD1076D">
            <w:pPr>
              <w:pageBreakBefore w:val="0"/>
              <w:widowControl w:val="0"/>
              <w:shd w:val="clear"/>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（4）</w:t>
            </w:r>
            <w:r>
              <w:rPr>
                <w:rFonts w:hint="eastAsia" w:ascii="宋体" w:hAnsi="宋体" w:eastAsia="宋体"/>
                <w:color w:val="auto"/>
                <w:highlight w:val="none"/>
                <w:lang w:val="en-US" w:eastAsia="zh-CN"/>
              </w:rPr>
              <w:t>评审记录</w:t>
            </w:r>
            <w:r>
              <w:rPr>
                <w:rFonts w:hint="eastAsia" w:ascii="宋体" w:hAnsi="宋体" w:eastAsia="宋体"/>
                <w:color w:val="auto"/>
                <w:highlight w:val="none"/>
              </w:rPr>
              <w:t>管理</w:t>
            </w:r>
          </w:p>
          <w:p w14:paraId="21E75315">
            <w:pPr>
              <w:keepNext w:val="0"/>
              <w:keepLines w:val="0"/>
              <w:pageBreakBefore w:val="0"/>
              <w:widowControl w:val="0"/>
              <w:numPr>
                <w:ilvl w:val="0"/>
                <w:numId w:val="3"/>
              </w:numPr>
              <w:shd w:val="clear"/>
              <w:kinsoku/>
              <w:wordWrap/>
              <w:overflowPunct/>
              <w:topLinePunct w:val="0"/>
              <w:autoSpaceDE/>
              <w:autoSpaceDN/>
              <w:bidi w:val="0"/>
              <w:adjustRightInd/>
              <w:snapToGrid/>
              <w:spacing w:line="300" w:lineRule="auto"/>
              <w:ind w:left="0" w:leftChars="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评分模板</w:t>
            </w:r>
            <w:r>
              <w:rPr>
                <w:rFonts w:hint="eastAsia" w:ascii="宋体" w:hAnsi="宋体" w:eastAsia="宋体"/>
                <w:color w:val="auto"/>
                <w:highlight w:val="none"/>
                <w:lang w:eastAsia="zh-CN"/>
              </w:rPr>
              <w:t>：</w:t>
            </w:r>
            <w:r>
              <w:rPr>
                <w:rFonts w:hint="eastAsia" w:ascii="宋体" w:hAnsi="宋体" w:eastAsia="宋体"/>
                <w:color w:val="auto"/>
                <w:highlight w:val="none"/>
              </w:rPr>
              <w:t>支持自定义资格预审、评技术标节点的评分模板，模板内容包含：模板名称、类型、评分类型、评审内容、分项、分项分值、评审标准、备注。</w:t>
            </w:r>
          </w:p>
          <w:p w14:paraId="518491EB">
            <w:pPr>
              <w:keepNext w:val="0"/>
              <w:keepLines w:val="0"/>
              <w:pageBreakBefore w:val="0"/>
              <w:widowControl w:val="0"/>
              <w:numPr>
                <w:ilvl w:val="0"/>
                <w:numId w:val="3"/>
              </w:numPr>
              <w:shd w:val="clear"/>
              <w:kinsoku/>
              <w:wordWrap/>
              <w:overflowPunct/>
              <w:topLinePunct w:val="0"/>
              <w:autoSpaceDE/>
              <w:autoSpaceDN/>
              <w:bidi w:val="0"/>
              <w:adjustRightInd/>
              <w:snapToGrid/>
              <w:spacing w:line="300" w:lineRule="auto"/>
              <w:ind w:left="0" w:leftChars="0" w:firstLine="0" w:firstLineChars="0"/>
              <w:textAlignment w:val="auto"/>
              <w:rPr>
                <w:rFonts w:hint="eastAsia" w:ascii="宋体" w:hAnsi="宋体" w:eastAsia="宋体"/>
                <w:color w:val="auto"/>
                <w:highlight w:val="none"/>
              </w:rPr>
            </w:pPr>
            <w:r>
              <w:rPr>
                <w:rFonts w:hint="eastAsia" w:ascii="宋体" w:hAnsi="宋体" w:eastAsia="宋体"/>
                <w:color w:val="auto"/>
                <w:highlight w:val="none"/>
              </w:rPr>
              <w:t>报价模板</w:t>
            </w:r>
            <w:r>
              <w:rPr>
                <w:rFonts w:hint="eastAsia" w:ascii="宋体" w:hAnsi="宋体" w:eastAsia="宋体"/>
                <w:color w:val="auto"/>
                <w:highlight w:val="none"/>
                <w:lang w:eastAsia="zh-CN"/>
              </w:rPr>
              <w:t>：</w:t>
            </w:r>
            <w:r>
              <w:rPr>
                <w:rFonts w:hint="eastAsia" w:ascii="宋体" w:hAnsi="宋体" w:eastAsia="宋体"/>
                <w:color w:val="auto"/>
                <w:highlight w:val="none"/>
              </w:rPr>
              <w:t>支持自定义供应商报价模板，针对高值耗材、资产设备、药品试剂等设置不同的报价模板，报价明细包含但不限于：含税单价、税率、材料费、机械费、运输包装费、伴随服务费、品牌、产地、质保期、付款方式等。</w:t>
            </w:r>
          </w:p>
          <w:p w14:paraId="2B16F032">
            <w:pPr>
              <w:pageBreakBefore w:val="0"/>
              <w:widowControl w:val="0"/>
              <w:shd w:val="clear"/>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default" w:ascii="Calibri" w:hAnsi="Calibri" w:eastAsia="宋体" w:cs="Calibri"/>
                <w:color w:val="auto"/>
                <w:highlight w:val="none"/>
              </w:rPr>
              <w:t>③</w:t>
            </w:r>
            <w:r>
              <w:rPr>
                <w:rFonts w:hint="eastAsia" w:ascii="宋体" w:hAnsi="宋体" w:eastAsia="宋体"/>
                <w:color w:val="auto"/>
                <w:highlight w:val="none"/>
              </w:rPr>
              <w:t>支持招标采购中心线下组织开标、评标后在系统中录入评审信息（包括评审专家信息、成交候选人名单、预成交供应商、预成交产品信息、成交金额等），上传评审</w:t>
            </w:r>
            <w:r>
              <w:rPr>
                <w:rFonts w:hint="eastAsia" w:ascii="宋体" w:hAnsi="宋体" w:eastAsia="宋体"/>
                <w:color w:val="auto"/>
                <w:highlight w:val="none"/>
                <w:lang w:val="en-US" w:eastAsia="zh-CN"/>
              </w:rPr>
              <w:t>报告</w:t>
            </w:r>
            <w:r>
              <w:rPr>
                <w:rFonts w:hint="eastAsia" w:ascii="宋体" w:hAnsi="宋体" w:eastAsia="宋体"/>
                <w:color w:val="auto"/>
                <w:highlight w:val="none"/>
              </w:rPr>
              <w:t xml:space="preserve">等； </w:t>
            </w:r>
          </w:p>
          <w:p w14:paraId="22AAFE73">
            <w:pPr>
              <w:keepNext w:val="0"/>
              <w:keepLines w:val="0"/>
              <w:pageBreakBefore w:val="0"/>
              <w:widowControl w:val="0"/>
              <w:numPr>
                <w:ilvl w:val="0"/>
                <w:numId w:val="4"/>
              </w:numPr>
              <w:shd w:val="clear"/>
              <w:kinsoku/>
              <w:wordWrap/>
              <w:overflowPunct/>
              <w:topLinePunct w:val="0"/>
              <w:autoSpaceDE/>
              <w:autoSpaceDN/>
              <w:bidi w:val="0"/>
              <w:adjustRightInd/>
              <w:snapToGrid/>
              <w:spacing w:line="300" w:lineRule="auto"/>
              <w:ind w:leftChars="0"/>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数据分析</w:t>
            </w:r>
          </w:p>
          <w:p w14:paraId="398753FF">
            <w:pPr>
              <w:keepNext w:val="0"/>
              <w:keepLines w:val="0"/>
              <w:pageBreakBefore w:val="0"/>
              <w:widowControl w:val="0"/>
              <w:numPr>
                <w:ilvl w:val="0"/>
                <w:numId w:val="0"/>
              </w:numPr>
              <w:shd w:val="clear"/>
              <w:kinsoku/>
              <w:wordWrap/>
              <w:overflowPunct/>
              <w:topLinePunct w:val="0"/>
              <w:autoSpaceDE/>
              <w:autoSpaceDN/>
              <w:bidi w:val="0"/>
              <w:adjustRightInd/>
              <w:snapToGrid/>
              <w:spacing w:line="300" w:lineRule="auto"/>
              <w:textAlignment w:val="auto"/>
              <w:rPr>
                <w:rFonts w:hint="eastAsia" w:ascii="宋体" w:hAnsi="宋体" w:eastAsia="宋体"/>
                <w:color w:val="auto"/>
                <w:highlight w:val="none"/>
              </w:rPr>
            </w:pPr>
            <w:r>
              <w:rPr>
                <w:rFonts w:hint="eastAsia" w:ascii="宋体" w:hAnsi="宋体" w:eastAsia="宋体"/>
                <w:color w:val="auto"/>
                <w:highlight w:val="none"/>
              </w:rPr>
              <w:t>供应商投标统计</w:t>
            </w:r>
            <w:r>
              <w:rPr>
                <w:rFonts w:hint="eastAsia" w:ascii="宋体" w:hAnsi="宋体" w:eastAsia="宋体"/>
                <w:color w:val="auto"/>
                <w:highlight w:val="none"/>
                <w:lang w:eastAsia="zh-CN"/>
              </w:rPr>
              <w:t>：</w:t>
            </w:r>
            <w:r>
              <w:rPr>
                <w:rFonts w:hint="eastAsia" w:ascii="宋体" w:hAnsi="宋体" w:eastAsia="宋体"/>
                <w:color w:val="auto"/>
                <w:highlight w:val="none"/>
              </w:rPr>
              <w:t>对供应商报名情况、供应商投标情况进行统计分析，支持在线查看。</w:t>
            </w:r>
          </w:p>
          <w:p w14:paraId="218F81C6">
            <w:pPr>
              <w:pageBreakBefore w:val="0"/>
              <w:widowControl w:val="0"/>
              <w:shd w:val="clear"/>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供应商比价分析</w:t>
            </w:r>
            <w:r>
              <w:rPr>
                <w:rFonts w:hint="eastAsia" w:ascii="宋体" w:hAnsi="宋体" w:eastAsia="宋体"/>
                <w:color w:val="auto"/>
                <w:highlight w:val="none"/>
                <w:lang w:eastAsia="zh-CN"/>
              </w:rPr>
              <w:t>：</w:t>
            </w:r>
            <w:r>
              <w:rPr>
                <w:rFonts w:hint="eastAsia" w:ascii="宋体" w:hAnsi="宋体" w:eastAsia="宋体"/>
                <w:color w:val="auto"/>
                <w:highlight w:val="none"/>
              </w:rPr>
              <w:t>系统自动比对供应商报价、实现智能分析对比并给出智能推荐，标注最新总价最低、每项最低价、报价排名、历史多轮报价查询及比价分析，支持在线、导出查看</w:t>
            </w:r>
            <w:r>
              <w:rPr>
                <w:rFonts w:hint="eastAsia" w:ascii="宋体" w:hAnsi="宋体" w:eastAsia="宋体"/>
                <w:color w:val="auto"/>
                <w:highlight w:val="none"/>
                <w:lang w:eastAsia="zh-CN"/>
              </w:rPr>
              <w:t>、</w:t>
            </w:r>
            <w:r>
              <w:rPr>
                <w:rFonts w:hint="eastAsia" w:ascii="宋体" w:hAnsi="宋体" w:eastAsia="宋体"/>
                <w:color w:val="auto"/>
                <w:highlight w:val="none"/>
                <w:lang w:val="en-US" w:eastAsia="zh-CN"/>
              </w:rPr>
              <w:t>编辑</w:t>
            </w:r>
            <w:r>
              <w:rPr>
                <w:rFonts w:hint="eastAsia" w:ascii="宋体" w:hAnsi="宋体" w:eastAsia="宋体"/>
                <w:color w:val="auto"/>
                <w:highlight w:val="none"/>
              </w:rPr>
              <w:t>。</w:t>
            </w:r>
          </w:p>
          <w:p w14:paraId="717B23A7">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（6）采购结果管理</w:t>
            </w:r>
            <w:r>
              <w:rPr>
                <w:rFonts w:hint="eastAsia" w:ascii="宋体" w:hAnsi="宋体" w:eastAsia="宋体"/>
                <w:color w:val="auto"/>
                <w:highlight w:val="none"/>
              </w:rPr>
              <w:t>：支持在线登记评审结果及成交信息；预制评标结果确认函模板，支持在线进行评审结果确认；</w:t>
            </w:r>
          </w:p>
          <w:p w14:paraId="30BE9303">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（6）</w:t>
            </w:r>
            <w:r>
              <w:rPr>
                <w:rFonts w:hint="eastAsia" w:ascii="宋体" w:hAnsi="宋体" w:eastAsia="宋体"/>
                <w:color w:val="auto"/>
                <w:highlight w:val="none"/>
                <w:lang w:val="en-US" w:eastAsia="zh-CN"/>
              </w:rPr>
              <w:t>发布成交公告</w:t>
            </w:r>
            <w:r>
              <w:rPr>
                <w:rFonts w:hint="eastAsia" w:ascii="宋体" w:hAnsi="宋体" w:eastAsia="宋体"/>
                <w:color w:val="auto"/>
                <w:highlight w:val="none"/>
              </w:rPr>
              <w:t>：支持系统预制成交公告模板，招标采购中心在线编辑成交公告时，系统根据公告模板和成交信息自动生成公告内容并发布。</w:t>
            </w:r>
          </w:p>
          <w:p w14:paraId="5FF4DBF4">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eastAsia="zh-CN"/>
              </w:rPr>
              <w:t>（</w:t>
            </w:r>
            <w:r>
              <w:rPr>
                <w:rFonts w:hint="eastAsia" w:ascii="宋体" w:hAnsi="宋体" w:eastAsia="宋体"/>
                <w:color w:val="auto"/>
                <w:highlight w:val="none"/>
                <w:lang w:val="en-US" w:eastAsia="zh-CN"/>
              </w:rPr>
              <w:t>7）变更、澄清、答疑</w:t>
            </w:r>
          </w:p>
          <w:p w14:paraId="3CCF546D">
            <w:pPr>
              <w:pageBreakBefore w:val="0"/>
              <w:widowControl w:val="0"/>
              <w:kinsoku/>
              <w:wordWrap/>
              <w:overflowPunct/>
              <w:topLinePunct w:val="0"/>
              <w:autoSpaceDE/>
              <w:autoSpaceDN/>
              <w:bidi w:val="0"/>
              <w:adjustRightInd/>
              <w:snapToGrid/>
              <w:spacing w:line="312" w:lineRule="auto"/>
              <w:jc w:val="left"/>
              <w:textAlignment w:val="auto"/>
              <w:rPr>
                <w:rFonts w:hint="default" w:ascii="宋体" w:hAnsi="宋体" w:eastAsia="宋体"/>
                <w:color w:val="auto"/>
                <w:highlight w:val="none"/>
                <w:lang w:val="en-US" w:eastAsia="zh-CN"/>
              </w:rPr>
            </w:pPr>
            <w:r>
              <w:rPr>
                <w:rFonts w:hint="default" w:ascii="宋体" w:hAnsi="宋体" w:eastAsia="宋体"/>
                <w:color w:val="auto"/>
                <w:highlight w:val="none"/>
                <w:lang w:val="en-US" w:eastAsia="zh-CN"/>
              </w:rPr>
              <w:t>支持发布变更公告、澄清公告，上传答疑处理文件，支持变更公告、澄清、答</w:t>
            </w:r>
          </w:p>
          <w:p w14:paraId="121AD642">
            <w:pPr>
              <w:pageBreakBefore w:val="0"/>
              <w:widowControl w:val="0"/>
              <w:kinsoku/>
              <w:wordWrap/>
              <w:overflowPunct/>
              <w:topLinePunct w:val="0"/>
              <w:autoSpaceDE/>
              <w:autoSpaceDN/>
              <w:bidi w:val="0"/>
              <w:adjustRightInd/>
              <w:snapToGrid/>
              <w:spacing w:line="312" w:lineRule="auto"/>
              <w:jc w:val="left"/>
              <w:textAlignment w:val="auto"/>
              <w:rPr>
                <w:rFonts w:hint="default" w:ascii="宋体" w:hAnsi="宋体" w:eastAsia="宋体"/>
                <w:color w:val="auto"/>
                <w:highlight w:val="none"/>
                <w:lang w:val="en-US" w:eastAsia="zh-CN"/>
              </w:rPr>
            </w:pPr>
            <w:r>
              <w:rPr>
                <w:rFonts w:hint="default" w:ascii="宋体" w:hAnsi="宋体" w:eastAsia="宋体"/>
                <w:color w:val="auto"/>
                <w:highlight w:val="none"/>
                <w:lang w:val="en-US" w:eastAsia="zh-CN"/>
              </w:rPr>
              <w:t>疑文件在线模板自动生成。</w:t>
            </w:r>
          </w:p>
        </w:tc>
        <w:tc>
          <w:tcPr>
            <w:tcW w:w="636" w:type="dxa"/>
            <w:vAlign w:val="center"/>
          </w:tcPr>
          <w:p w14:paraId="5AB1E1F4">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7B96F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5F3DC20B">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38C05013">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327E7E66">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科室自行采购</w:t>
            </w:r>
          </w:p>
        </w:tc>
        <w:tc>
          <w:tcPr>
            <w:tcW w:w="5659" w:type="dxa"/>
          </w:tcPr>
          <w:p w14:paraId="62986BD0">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对于符合科室自行采购条件的项目，支持采购经办人线下采购完成后在线登记采购结果。</w:t>
            </w:r>
          </w:p>
          <w:p w14:paraId="115E8667">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lang w:eastAsia="zh-CN"/>
              </w:rPr>
            </w:pPr>
            <w:r>
              <w:rPr>
                <w:rFonts w:hint="eastAsia" w:ascii="宋体" w:hAnsi="宋体" w:eastAsia="宋体"/>
                <w:color w:val="auto"/>
                <w:highlight w:val="none"/>
                <w:lang w:eastAsia="zh-CN"/>
              </w:rPr>
              <w:t>支持线上流程，根据各承办项目特点制定流程。</w:t>
            </w:r>
          </w:p>
        </w:tc>
        <w:tc>
          <w:tcPr>
            <w:tcW w:w="636" w:type="dxa"/>
            <w:vAlign w:val="center"/>
          </w:tcPr>
          <w:p w14:paraId="6BEA7832">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38CA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restart"/>
            <w:vAlign w:val="center"/>
          </w:tcPr>
          <w:p w14:paraId="22B232EA">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9</w:t>
            </w:r>
          </w:p>
        </w:tc>
        <w:tc>
          <w:tcPr>
            <w:tcW w:w="846" w:type="dxa"/>
            <w:vMerge w:val="restart"/>
            <w:vAlign w:val="center"/>
          </w:tcPr>
          <w:p w14:paraId="6C3A3CBC">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耗材遴选采购</w:t>
            </w:r>
          </w:p>
        </w:tc>
        <w:tc>
          <w:tcPr>
            <w:tcW w:w="1060" w:type="dxa"/>
            <w:vAlign w:val="center"/>
          </w:tcPr>
          <w:p w14:paraId="668032B5">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耗材遴选申请</w:t>
            </w:r>
          </w:p>
        </w:tc>
        <w:tc>
          <w:tcPr>
            <w:tcW w:w="5659" w:type="dxa"/>
          </w:tcPr>
          <w:p w14:paraId="1B73E408">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支持在线填写耗材准入表单发起遴选申请，</w:t>
            </w:r>
            <w:r>
              <w:rPr>
                <w:rFonts w:hint="eastAsia" w:ascii="宋体" w:hAnsi="宋体" w:eastAsia="宋体"/>
                <w:color w:val="auto"/>
                <w:highlight w:val="none"/>
                <w:lang w:val="en-US" w:eastAsia="zh-CN"/>
              </w:rPr>
              <w:t>设置遴选规则，</w:t>
            </w:r>
            <w:r>
              <w:rPr>
                <w:rFonts w:hint="eastAsia" w:ascii="宋体" w:hAnsi="宋体" w:eastAsia="宋体"/>
                <w:color w:val="auto"/>
                <w:highlight w:val="none"/>
              </w:rPr>
              <w:t>支持</w:t>
            </w:r>
            <w:r>
              <w:rPr>
                <w:rFonts w:hint="eastAsia" w:ascii="宋体" w:hAnsi="宋体" w:eastAsia="宋体"/>
                <w:color w:val="auto"/>
                <w:highlight w:val="none"/>
                <w:lang w:val="en-US" w:eastAsia="zh-CN"/>
              </w:rPr>
              <w:t>相关部门</w:t>
            </w:r>
            <w:r>
              <w:rPr>
                <w:rFonts w:hint="eastAsia" w:ascii="宋体" w:hAnsi="宋体" w:eastAsia="宋体"/>
                <w:color w:val="auto"/>
                <w:highlight w:val="none"/>
              </w:rPr>
              <w:t>在线管控审批过程。</w:t>
            </w:r>
          </w:p>
        </w:tc>
        <w:tc>
          <w:tcPr>
            <w:tcW w:w="636" w:type="dxa"/>
            <w:vAlign w:val="center"/>
          </w:tcPr>
          <w:p w14:paraId="26E16DD6">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1A2A9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7BFF2E43">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7B9C6F38">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21CB6B18">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遴选公告编制</w:t>
            </w:r>
          </w:p>
        </w:tc>
        <w:tc>
          <w:tcPr>
            <w:tcW w:w="5659" w:type="dxa"/>
          </w:tcPr>
          <w:p w14:paraId="6AA6463E">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支持在线编辑耗材遴选公告，编制后送审，已发布公告可撤回修改并重新发布。</w:t>
            </w:r>
          </w:p>
        </w:tc>
        <w:tc>
          <w:tcPr>
            <w:tcW w:w="636" w:type="dxa"/>
            <w:vAlign w:val="center"/>
          </w:tcPr>
          <w:p w14:paraId="545D3106">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582FD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610E36DF">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54792BCB">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5390A7F4">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专家抽取</w:t>
            </w:r>
          </w:p>
        </w:tc>
        <w:tc>
          <w:tcPr>
            <w:tcW w:w="5659" w:type="dxa"/>
          </w:tcPr>
          <w:p w14:paraId="5E30AC00">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支持配置专家抽取规则，指定</w:t>
            </w:r>
            <w:r>
              <w:rPr>
                <w:rFonts w:hint="eastAsia" w:ascii="宋体" w:hAnsi="宋体" w:eastAsia="宋体"/>
                <w:color w:val="auto"/>
                <w:highlight w:val="none"/>
                <w:lang w:val="en-US" w:eastAsia="zh-CN"/>
              </w:rPr>
              <w:t>或</w:t>
            </w:r>
            <w:r>
              <w:rPr>
                <w:rFonts w:hint="eastAsia" w:ascii="宋体" w:hAnsi="宋体" w:eastAsia="宋体"/>
                <w:color w:val="auto"/>
                <w:highlight w:val="none"/>
              </w:rPr>
              <w:t>随机抽取专家。</w:t>
            </w:r>
          </w:p>
        </w:tc>
        <w:tc>
          <w:tcPr>
            <w:tcW w:w="636" w:type="dxa"/>
            <w:vAlign w:val="center"/>
          </w:tcPr>
          <w:p w14:paraId="3F1AF494">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38FC8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5A16C0BE">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4AA90A46">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6C2019FB">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资格预审</w:t>
            </w:r>
          </w:p>
        </w:tc>
        <w:tc>
          <w:tcPr>
            <w:tcW w:w="5659" w:type="dxa"/>
          </w:tcPr>
          <w:p w14:paraId="40F58993">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支持报名截止后初审供应商资格材料，允许不通过供应商在指定时间内补交材料。</w:t>
            </w:r>
          </w:p>
        </w:tc>
        <w:tc>
          <w:tcPr>
            <w:tcW w:w="636" w:type="dxa"/>
            <w:vAlign w:val="center"/>
          </w:tcPr>
          <w:p w14:paraId="2FD85B9C">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30AE9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1F690646">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2CF812E9">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415DB64C">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评审记录管理</w:t>
            </w:r>
          </w:p>
        </w:tc>
        <w:tc>
          <w:tcPr>
            <w:tcW w:w="5659" w:type="dxa"/>
          </w:tcPr>
          <w:p w14:paraId="315B439C">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lang w:eastAsia="zh-CN"/>
              </w:rPr>
            </w:pPr>
            <w:r>
              <w:rPr>
                <w:rFonts w:hint="eastAsia" w:ascii="宋体" w:hAnsi="宋体" w:eastAsia="宋体"/>
                <w:color w:val="auto"/>
                <w:highlight w:val="none"/>
              </w:rPr>
              <w:t>支持招标采购中心线下组织开标、评标后在系统中录入评审信息（包括评审专家信息、成交候选人名单、预成交供应商、预成交产品信息、成交金额等），上传评审</w:t>
            </w:r>
            <w:r>
              <w:rPr>
                <w:rFonts w:hint="eastAsia" w:ascii="宋体" w:hAnsi="宋体" w:eastAsia="宋体"/>
                <w:color w:val="auto"/>
                <w:highlight w:val="none"/>
                <w:lang w:val="en-US" w:eastAsia="zh-CN"/>
              </w:rPr>
              <w:t>报告</w:t>
            </w:r>
            <w:r>
              <w:rPr>
                <w:rFonts w:hint="eastAsia" w:ascii="宋体" w:hAnsi="宋体" w:eastAsia="宋体"/>
                <w:color w:val="auto"/>
                <w:highlight w:val="none"/>
              </w:rPr>
              <w:t>等</w:t>
            </w:r>
            <w:r>
              <w:rPr>
                <w:rFonts w:hint="eastAsia" w:ascii="宋体" w:hAnsi="宋体" w:eastAsia="宋体"/>
                <w:color w:val="auto"/>
                <w:highlight w:val="none"/>
                <w:lang w:eastAsia="zh-CN"/>
              </w:rPr>
              <w:t>。</w:t>
            </w:r>
          </w:p>
        </w:tc>
        <w:tc>
          <w:tcPr>
            <w:tcW w:w="636" w:type="dxa"/>
            <w:vAlign w:val="center"/>
          </w:tcPr>
          <w:p w14:paraId="2D17DD10">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24E6B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33935722">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5C8044C4">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78EBA207">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发布结果公告</w:t>
            </w:r>
          </w:p>
        </w:tc>
        <w:tc>
          <w:tcPr>
            <w:tcW w:w="5659" w:type="dxa"/>
          </w:tcPr>
          <w:p w14:paraId="02B04393">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支持统一管理模板，在线编辑结果公告，支持发布、撤回公告及配置审批流。</w:t>
            </w:r>
          </w:p>
        </w:tc>
        <w:tc>
          <w:tcPr>
            <w:tcW w:w="636" w:type="dxa"/>
            <w:vAlign w:val="center"/>
          </w:tcPr>
          <w:p w14:paraId="03163D6C">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596B5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restart"/>
            <w:vAlign w:val="center"/>
          </w:tcPr>
          <w:p w14:paraId="49B77650">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10</w:t>
            </w:r>
          </w:p>
        </w:tc>
        <w:tc>
          <w:tcPr>
            <w:tcW w:w="846" w:type="dxa"/>
            <w:vMerge w:val="restart"/>
            <w:vAlign w:val="center"/>
          </w:tcPr>
          <w:p w14:paraId="71EF395A">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采购合同管理</w:t>
            </w:r>
          </w:p>
        </w:tc>
        <w:tc>
          <w:tcPr>
            <w:tcW w:w="1060" w:type="dxa"/>
            <w:vAlign w:val="center"/>
          </w:tcPr>
          <w:p w14:paraId="01B5CCFF">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合同预警</w:t>
            </w:r>
          </w:p>
        </w:tc>
        <w:tc>
          <w:tcPr>
            <w:tcW w:w="5659" w:type="dxa"/>
          </w:tcPr>
          <w:p w14:paraId="617FC9A1">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支持确认成交供应商后，自动提醒待签合同项目在中标次日起 30 天内签订，并向使用单位和成交供应商发送预警提醒；支持根据合同</w:t>
            </w:r>
            <w:r>
              <w:rPr>
                <w:rFonts w:hint="eastAsia" w:ascii="宋体" w:hAnsi="宋体" w:eastAsia="宋体"/>
                <w:color w:val="auto"/>
                <w:highlight w:val="none"/>
                <w:lang w:val="en-US" w:eastAsia="zh-CN"/>
              </w:rPr>
              <w:t>到期</w:t>
            </w:r>
            <w:r>
              <w:rPr>
                <w:rFonts w:hint="eastAsia" w:ascii="宋体" w:hAnsi="宋体" w:eastAsia="宋体"/>
                <w:color w:val="auto"/>
                <w:highlight w:val="none"/>
              </w:rPr>
              <w:t>提醒。</w:t>
            </w:r>
          </w:p>
        </w:tc>
        <w:tc>
          <w:tcPr>
            <w:tcW w:w="636" w:type="dxa"/>
            <w:vAlign w:val="center"/>
          </w:tcPr>
          <w:p w14:paraId="399E3580">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5382C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759A394A">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7052DA22">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417987C2">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合同备案</w:t>
            </w:r>
          </w:p>
        </w:tc>
        <w:tc>
          <w:tcPr>
            <w:tcW w:w="5659" w:type="dxa"/>
          </w:tcPr>
          <w:p w14:paraId="2A0C6E9D">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lang w:eastAsia="zh-CN"/>
              </w:rPr>
            </w:pPr>
            <w:r>
              <w:rPr>
                <w:rFonts w:hint="eastAsia" w:ascii="宋体" w:hAnsi="宋体" w:eastAsia="宋体"/>
                <w:color w:val="auto"/>
                <w:highlight w:val="none"/>
              </w:rPr>
              <w:t>支持上传合同</w:t>
            </w:r>
            <w:r>
              <w:rPr>
                <w:rFonts w:hint="eastAsia" w:ascii="宋体" w:hAnsi="宋体" w:eastAsia="宋体"/>
                <w:color w:val="auto"/>
                <w:highlight w:val="none"/>
                <w:lang w:eastAsia="zh-CN"/>
              </w:rPr>
              <w:t>及相关批复</w:t>
            </w:r>
            <w:r>
              <w:rPr>
                <w:rFonts w:hint="eastAsia" w:ascii="宋体" w:hAnsi="宋体" w:eastAsia="宋体"/>
                <w:color w:val="auto"/>
                <w:highlight w:val="none"/>
              </w:rPr>
              <w:t>电子版</w:t>
            </w:r>
            <w:r>
              <w:rPr>
                <w:rFonts w:hint="eastAsia" w:ascii="宋体" w:hAnsi="宋体" w:eastAsia="宋体"/>
                <w:color w:val="auto"/>
                <w:highlight w:val="none"/>
                <w:lang w:eastAsia="zh-CN"/>
              </w:rPr>
              <w:t>、扫描版</w:t>
            </w:r>
          </w:p>
        </w:tc>
        <w:tc>
          <w:tcPr>
            <w:tcW w:w="636" w:type="dxa"/>
            <w:vAlign w:val="center"/>
          </w:tcPr>
          <w:p w14:paraId="0C9C638C">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3CE71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7A10BC75">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5E119DD7">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73FF2C7C">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信息查询</w:t>
            </w:r>
          </w:p>
        </w:tc>
        <w:tc>
          <w:tcPr>
            <w:tcW w:w="5659" w:type="dxa"/>
          </w:tcPr>
          <w:p w14:paraId="7DC2D968">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支持自动归集合同到合同库，按多种条件查询合同，自定义展示字段，以 PDF、EXCEL 格式导出，支持批量下载、打印、补充续签、终止合同等功能。</w:t>
            </w:r>
          </w:p>
        </w:tc>
        <w:tc>
          <w:tcPr>
            <w:tcW w:w="636" w:type="dxa"/>
            <w:vAlign w:val="center"/>
          </w:tcPr>
          <w:p w14:paraId="10DEDFF3">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6F87D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1F3A3C5F">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5483EE5F">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636B55D6">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合同执行</w:t>
            </w:r>
          </w:p>
        </w:tc>
        <w:tc>
          <w:tcPr>
            <w:tcW w:w="5659" w:type="dxa"/>
          </w:tcPr>
          <w:p w14:paraId="0F2D1A14">
            <w:pPr>
              <w:numPr>
                <w:ilvl w:val="0"/>
                <w:numId w:val="0"/>
              </w:numPr>
              <w:tabs>
                <w:tab w:val="left" w:pos="0"/>
              </w:tabs>
              <w:rPr>
                <w:rFonts w:hint="eastAsia"/>
                <w:color w:val="auto"/>
                <w:highlight w:val="none"/>
                <w:lang w:eastAsia="zh-CN"/>
              </w:rPr>
            </w:pPr>
            <w:r>
              <w:rPr>
                <w:rFonts w:hint="eastAsia"/>
                <w:color w:val="auto"/>
                <w:highlight w:val="none"/>
                <w:lang w:eastAsia="zh-CN"/>
              </w:rPr>
              <w:t>支持合同设置各种预警，包括合同到期预警、付款预警，等</w:t>
            </w:r>
            <w:r>
              <w:rPr>
                <w:rFonts w:hint="eastAsia"/>
                <w:color w:val="auto"/>
                <w:highlight w:val="none"/>
                <w:lang w:val="en-US" w:eastAsia="zh-CN"/>
              </w:rPr>
              <w:t>合同</w:t>
            </w:r>
            <w:r>
              <w:rPr>
                <w:rFonts w:hint="eastAsia"/>
                <w:color w:val="auto"/>
                <w:highlight w:val="none"/>
              </w:rPr>
              <w:t>事项通知</w:t>
            </w:r>
            <w:r>
              <w:rPr>
                <w:rFonts w:hint="eastAsia"/>
                <w:color w:val="auto"/>
                <w:highlight w:val="none"/>
                <w:lang w:eastAsia="zh-CN"/>
              </w:rPr>
              <w:t>：</w:t>
            </w:r>
          </w:p>
          <w:p w14:paraId="4450841D">
            <w:pPr>
              <w:numPr>
                <w:ilvl w:val="0"/>
                <w:numId w:val="0"/>
              </w:numPr>
              <w:tabs>
                <w:tab w:val="left" w:pos="0"/>
              </w:tabs>
              <w:rPr>
                <w:rFonts w:hint="eastAsia" w:ascii="宋体" w:hAnsi="宋体" w:eastAsia="宋体"/>
                <w:color w:val="auto"/>
                <w:highlight w:val="none"/>
              </w:rPr>
            </w:pPr>
            <w:r>
              <w:rPr>
                <w:rFonts w:hint="eastAsia"/>
                <w:color w:val="auto"/>
                <w:highlight w:val="none"/>
              </w:rPr>
              <w:t>支持由归口</w:t>
            </w:r>
            <w:r>
              <w:rPr>
                <w:rFonts w:hint="eastAsia"/>
                <w:color w:val="auto"/>
                <w:highlight w:val="none"/>
                <w:lang w:eastAsia="zh-CN"/>
              </w:rPr>
              <w:t>管理</w:t>
            </w:r>
            <w:r>
              <w:rPr>
                <w:rFonts w:hint="eastAsia"/>
                <w:color w:val="auto"/>
                <w:highlight w:val="none"/>
              </w:rPr>
              <w:t>部门根据合同内容要求，通过本系统</w:t>
            </w:r>
            <w:r>
              <w:rPr>
                <w:rFonts w:hint="eastAsia"/>
                <w:color w:val="auto"/>
                <w:highlight w:val="none"/>
                <w:lang w:val="en-US" w:eastAsia="zh-CN"/>
              </w:rPr>
              <w:t>按合同约定时限</w:t>
            </w:r>
            <w:r>
              <w:rPr>
                <w:rFonts w:hint="eastAsia"/>
                <w:color w:val="auto"/>
                <w:highlight w:val="none"/>
              </w:rPr>
              <w:t>推送</w:t>
            </w:r>
            <w:r>
              <w:rPr>
                <w:rFonts w:hint="eastAsia"/>
                <w:color w:val="auto"/>
                <w:highlight w:val="none"/>
                <w:lang w:val="en-US" w:eastAsia="zh-CN"/>
              </w:rPr>
              <w:t>提醒采购员，推送</w:t>
            </w:r>
            <w:r>
              <w:rPr>
                <w:rFonts w:hint="eastAsia"/>
                <w:color w:val="auto"/>
                <w:highlight w:val="none"/>
              </w:rPr>
              <w:t>给中标供应商进行上门维修。</w:t>
            </w:r>
          </w:p>
        </w:tc>
        <w:tc>
          <w:tcPr>
            <w:tcW w:w="636" w:type="dxa"/>
            <w:vAlign w:val="center"/>
          </w:tcPr>
          <w:p w14:paraId="30E696B2">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三年</w:t>
            </w:r>
          </w:p>
        </w:tc>
      </w:tr>
      <w:tr w14:paraId="6B7F2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restart"/>
            <w:vAlign w:val="center"/>
          </w:tcPr>
          <w:p w14:paraId="1E9DBB54">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11</w:t>
            </w:r>
          </w:p>
        </w:tc>
        <w:tc>
          <w:tcPr>
            <w:tcW w:w="846" w:type="dxa"/>
            <w:vMerge w:val="restart"/>
            <w:vAlign w:val="center"/>
          </w:tcPr>
          <w:p w14:paraId="0CE86D4F">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履约验收管理</w:t>
            </w:r>
          </w:p>
        </w:tc>
        <w:tc>
          <w:tcPr>
            <w:tcW w:w="1060" w:type="dxa"/>
            <w:vAlign w:val="center"/>
          </w:tcPr>
          <w:p w14:paraId="32E6F4E2">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验收提醒</w:t>
            </w:r>
          </w:p>
        </w:tc>
        <w:tc>
          <w:tcPr>
            <w:tcW w:w="5659" w:type="dxa"/>
          </w:tcPr>
          <w:p w14:paraId="289C534F">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支持根据合同验收时间自动提醒项目相关负责人进行验收流程，支持对特殊情况进行说明备注并申请延期，经审批通过后自动更新验收截止时间并重新触发提醒。</w:t>
            </w:r>
          </w:p>
        </w:tc>
        <w:tc>
          <w:tcPr>
            <w:tcW w:w="636" w:type="dxa"/>
            <w:vAlign w:val="center"/>
          </w:tcPr>
          <w:p w14:paraId="1679D7CF">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263A8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3C710D0C">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6FCE27DB">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140A01E7">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验收申请</w:t>
            </w:r>
          </w:p>
        </w:tc>
        <w:tc>
          <w:tcPr>
            <w:tcW w:w="5659" w:type="dxa"/>
          </w:tcPr>
          <w:p w14:paraId="7BC0981B">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支持使用单位在系统中填写验收时间、地点、验收组成员等信息并提交验收申请。</w:t>
            </w:r>
          </w:p>
        </w:tc>
        <w:tc>
          <w:tcPr>
            <w:tcW w:w="636" w:type="dxa"/>
            <w:vAlign w:val="center"/>
          </w:tcPr>
          <w:p w14:paraId="56FC6488">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26D20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56CCDFB0">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20C9770D">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3CFE4E90">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补充验收材料</w:t>
            </w:r>
          </w:p>
        </w:tc>
        <w:tc>
          <w:tcPr>
            <w:tcW w:w="5659" w:type="dxa"/>
          </w:tcPr>
          <w:p w14:paraId="283B3BDB">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支持在验收过程中项目缺少材料时在线补充验收材料。</w:t>
            </w:r>
          </w:p>
        </w:tc>
        <w:tc>
          <w:tcPr>
            <w:tcW w:w="636" w:type="dxa"/>
            <w:vAlign w:val="center"/>
          </w:tcPr>
          <w:p w14:paraId="70B1BBF6">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2602B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57DF360C">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5F1F6A07">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7B15E13E">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生成验收报告</w:t>
            </w:r>
          </w:p>
        </w:tc>
        <w:tc>
          <w:tcPr>
            <w:tcW w:w="5659" w:type="dxa"/>
          </w:tcPr>
          <w:p w14:paraId="19B5B856">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支持验收材料审核完成后，根据验收材料和内容生成验收报告。</w:t>
            </w:r>
          </w:p>
        </w:tc>
        <w:tc>
          <w:tcPr>
            <w:tcW w:w="636" w:type="dxa"/>
            <w:vAlign w:val="center"/>
          </w:tcPr>
          <w:p w14:paraId="1290B043">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681C0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039B19E6">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2C340AC6">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6F945A9D">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验收结果备案</w:t>
            </w:r>
          </w:p>
        </w:tc>
        <w:tc>
          <w:tcPr>
            <w:tcW w:w="5659" w:type="dxa"/>
          </w:tcPr>
          <w:p w14:paraId="2207BE40">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支持归口管理部门和申购（用户）单位线下完成验收后，生成及打印验收报告，登记验收结果并上传附件。</w:t>
            </w:r>
          </w:p>
          <w:p w14:paraId="1CB4088E">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color w:val="auto"/>
                <w:highlight w:val="none"/>
                <w:lang w:val="en-US" w:eastAsia="zh-CN"/>
              </w:rPr>
              <w:t>支持验收异常情况记录，支持图片、影音视频记录。</w:t>
            </w:r>
          </w:p>
        </w:tc>
        <w:tc>
          <w:tcPr>
            <w:tcW w:w="636" w:type="dxa"/>
            <w:vAlign w:val="center"/>
          </w:tcPr>
          <w:p w14:paraId="60E0FAA9">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4FC01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66A653EE">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5BFB2E26">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5E7FACB5">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验收查询</w:t>
            </w:r>
          </w:p>
        </w:tc>
        <w:tc>
          <w:tcPr>
            <w:tcW w:w="5659" w:type="dxa"/>
          </w:tcPr>
          <w:p w14:paraId="55E34FB3">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w:t>
            </w:r>
            <w:r>
              <w:rPr>
                <w:rFonts w:hint="eastAsia" w:ascii="宋体" w:hAnsi="宋体" w:eastAsia="宋体"/>
                <w:color w:val="auto"/>
                <w:highlight w:val="none"/>
                <w:lang w:val="en-US" w:eastAsia="zh-CN"/>
              </w:rPr>
              <w:t>多维度</w:t>
            </w:r>
            <w:r>
              <w:rPr>
                <w:rFonts w:hint="eastAsia" w:ascii="宋体" w:hAnsi="宋体" w:eastAsia="宋体"/>
                <w:color w:val="auto"/>
                <w:highlight w:val="none"/>
              </w:rPr>
              <w:t>查询验收与未验收的项目，查看验收报告。</w:t>
            </w:r>
          </w:p>
        </w:tc>
        <w:tc>
          <w:tcPr>
            <w:tcW w:w="636" w:type="dxa"/>
            <w:vAlign w:val="center"/>
          </w:tcPr>
          <w:p w14:paraId="6ACD1D35">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39C7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restart"/>
            <w:vAlign w:val="center"/>
          </w:tcPr>
          <w:p w14:paraId="46D28C9E">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12</w:t>
            </w:r>
          </w:p>
        </w:tc>
        <w:tc>
          <w:tcPr>
            <w:tcW w:w="846" w:type="dxa"/>
            <w:vMerge w:val="restart"/>
            <w:vAlign w:val="center"/>
          </w:tcPr>
          <w:p w14:paraId="500F7A12">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采购归档管理</w:t>
            </w:r>
          </w:p>
        </w:tc>
        <w:tc>
          <w:tcPr>
            <w:tcW w:w="1060" w:type="dxa"/>
            <w:vAlign w:val="center"/>
          </w:tcPr>
          <w:p w14:paraId="5EA851B2">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一键归档</w:t>
            </w:r>
          </w:p>
        </w:tc>
        <w:tc>
          <w:tcPr>
            <w:tcW w:w="5659" w:type="dxa"/>
          </w:tcPr>
          <w:p w14:paraId="2DE0F946">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实现采购资料的电子化建档管理，支持将在各个流程中所上传的附件资料自动整理汇总并进行归档；</w:t>
            </w:r>
          </w:p>
          <w:p w14:paraId="30E81BCC">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支持手动增加、删除档案条目、调整条目顺序、补充上传相关附件材料等。</w:t>
            </w:r>
          </w:p>
        </w:tc>
        <w:tc>
          <w:tcPr>
            <w:tcW w:w="636" w:type="dxa"/>
            <w:vAlign w:val="center"/>
          </w:tcPr>
          <w:p w14:paraId="4D0B0198">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40C71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6209BFA4">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5DABA17F">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52C9E27A">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档案查询与下载</w:t>
            </w:r>
          </w:p>
        </w:tc>
        <w:tc>
          <w:tcPr>
            <w:tcW w:w="5659" w:type="dxa"/>
          </w:tcPr>
          <w:p w14:paraId="679E4607">
            <w:pPr>
              <w:pageBreakBefore w:val="0"/>
              <w:widowControl w:val="0"/>
              <w:kinsoku/>
              <w:wordWrap/>
              <w:overflowPunct/>
              <w:topLinePunct w:val="0"/>
              <w:autoSpaceDE/>
              <w:autoSpaceDN/>
              <w:bidi w:val="0"/>
              <w:adjustRightInd/>
              <w:snapToGrid/>
              <w:spacing w:line="312" w:lineRule="auto"/>
              <w:jc w:val="left"/>
              <w:textAlignment w:val="auto"/>
              <w:rPr>
                <w:rFonts w:hint="default" w:ascii="宋体" w:hAnsi="宋体" w:eastAsiaTheme="minorEastAsia"/>
                <w:color w:val="auto"/>
                <w:highlight w:val="none"/>
                <w:lang w:val="en-US" w:eastAsia="zh-CN"/>
              </w:rPr>
            </w:pPr>
            <w:r>
              <w:rPr>
                <w:rFonts w:hint="eastAsia"/>
                <w:color w:val="auto"/>
                <w:lang w:val="en-US" w:eastAsia="zh-CN"/>
              </w:rPr>
              <w:t>支持按年度形成采购项目档案目录</w:t>
            </w:r>
          </w:p>
          <w:p w14:paraId="6CBF9398">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支持通过多条件查询采购项目档案；</w:t>
            </w:r>
          </w:p>
          <w:p w14:paraId="6E2E04B6">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支持查看采购项目过程产生的附件材料；</w:t>
            </w:r>
          </w:p>
          <w:p w14:paraId="0D2F9620">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lang w:eastAsia="zh-CN"/>
              </w:rPr>
            </w:pPr>
            <w:r>
              <w:rPr>
                <w:rFonts w:hint="eastAsia" w:ascii="宋体" w:hAnsi="宋体" w:eastAsia="宋体"/>
                <w:color w:val="auto"/>
                <w:highlight w:val="none"/>
              </w:rPr>
              <w:t>支持一键导出并打印项目的档案材料</w:t>
            </w:r>
            <w:r>
              <w:rPr>
                <w:rFonts w:hint="eastAsia" w:ascii="宋体" w:hAnsi="宋体" w:eastAsia="宋体"/>
                <w:color w:val="auto"/>
                <w:highlight w:val="none"/>
                <w:lang w:eastAsia="zh-CN"/>
              </w:rPr>
              <w:t>。</w:t>
            </w:r>
          </w:p>
        </w:tc>
        <w:tc>
          <w:tcPr>
            <w:tcW w:w="636" w:type="dxa"/>
            <w:vAlign w:val="center"/>
          </w:tcPr>
          <w:p w14:paraId="3EB8C638">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1557D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restart"/>
            <w:vAlign w:val="center"/>
          </w:tcPr>
          <w:p w14:paraId="0B2F2972">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13</w:t>
            </w:r>
          </w:p>
        </w:tc>
        <w:tc>
          <w:tcPr>
            <w:tcW w:w="846" w:type="dxa"/>
            <w:vMerge w:val="restart"/>
            <w:vAlign w:val="center"/>
          </w:tcPr>
          <w:p w14:paraId="3968B3B9">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数据统计分析</w:t>
            </w:r>
          </w:p>
        </w:tc>
        <w:tc>
          <w:tcPr>
            <w:tcW w:w="1060" w:type="dxa"/>
            <w:vAlign w:val="center"/>
          </w:tcPr>
          <w:p w14:paraId="0401DBB2">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数据查询统计</w:t>
            </w:r>
          </w:p>
        </w:tc>
        <w:tc>
          <w:tcPr>
            <w:tcW w:w="5659" w:type="dxa"/>
            <w:vAlign w:val="top"/>
          </w:tcPr>
          <w:p w14:paraId="26C945DC">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具有根据权限，按不同维度查询、统计采购流程中的各类数据，包括但不限于</w:t>
            </w:r>
            <w:r>
              <w:rPr>
                <w:rFonts w:hint="eastAsia" w:ascii="宋体" w:hAnsi="宋体" w:eastAsia="宋体"/>
                <w:color w:val="auto"/>
                <w:highlight w:val="none"/>
                <w:lang w:val="en-US" w:eastAsia="zh-CN"/>
              </w:rPr>
              <w:t>项目数量、采购方式、采购金额、失败项目等不同维度进行项目汇总分析</w:t>
            </w:r>
            <w:r>
              <w:rPr>
                <w:rFonts w:hint="eastAsia" w:ascii="宋体" w:hAnsi="宋体" w:eastAsia="宋体"/>
                <w:color w:val="auto"/>
                <w:highlight w:val="none"/>
              </w:rPr>
              <w:t>等，查询并监督各环节的进度流程，并支持导出自定义报表等功能。</w:t>
            </w:r>
          </w:p>
          <w:p w14:paraId="03D32562">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lang w:eastAsia="zh-CN"/>
              </w:rPr>
            </w:pPr>
            <w:r>
              <w:rPr>
                <w:rFonts w:hint="eastAsia" w:ascii="宋体" w:hAnsi="宋体" w:eastAsia="宋体"/>
                <w:color w:val="auto"/>
                <w:highlight w:val="none"/>
                <w:lang w:eastAsia="zh-CN"/>
              </w:rPr>
              <w:t>项目数据统计：支持项目数量、中标金额、节约率等数据的统计和分析。</w:t>
            </w:r>
          </w:p>
          <w:p w14:paraId="705AE65F">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lang w:eastAsia="zh-CN"/>
              </w:rPr>
            </w:pPr>
            <w:r>
              <w:rPr>
                <w:rFonts w:hint="eastAsia" w:ascii="宋体" w:hAnsi="宋体" w:eastAsia="宋体"/>
                <w:color w:val="auto"/>
                <w:highlight w:val="none"/>
                <w:lang w:eastAsia="zh-CN"/>
              </w:rPr>
              <w:t>图表展示：支持以柱状图、饼状图、趋势图等形式展示数据，提高数据的可视化程度。</w:t>
            </w:r>
          </w:p>
          <w:p w14:paraId="62E0BF9B">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lang w:eastAsia="zh-CN"/>
              </w:rPr>
            </w:pPr>
            <w:r>
              <w:rPr>
                <w:rFonts w:hint="eastAsia" w:ascii="宋体" w:hAnsi="宋体" w:eastAsia="宋体"/>
                <w:color w:val="auto"/>
                <w:highlight w:val="none"/>
                <w:lang w:eastAsia="zh-CN"/>
              </w:rPr>
              <w:t>数据筛选与导出：支持按时间区间、项目类型等条件进行数据筛选和导出，方便用户进行深入分析。</w:t>
            </w:r>
          </w:p>
          <w:p w14:paraId="0F9C2AF6">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lang w:eastAsia="zh-CN"/>
              </w:rPr>
              <w:t>供应商数据分析：支持对供应商的数据进行分析，包括中标率、履约率、投诉率等</w:t>
            </w:r>
          </w:p>
        </w:tc>
        <w:tc>
          <w:tcPr>
            <w:tcW w:w="636" w:type="dxa"/>
            <w:vAlign w:val="center"/>
          </w:tcPr>
          <w:p w14:paraId="2A8641DF">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0ED6C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1CF45009">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4D8ED430">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7B3767C9">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生成工作报告</w:t>
            </w:r>
          </w:p>
        </w:tc>
        <w:tc>
          <w:tcPr>
            <w:tcW w:w="5659" w:type="dxa"/>
          </w:tcPr>
          <w:p w14:paraId="24148120">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支持基于月度，季度，年度采购部门工作汇报的报告（全院采购工作汇报)；支持基于个人的工作任务完成情况汇报。</w:t>
            </w:r>
          </w:p>
        </w:tc>
        <w:tc>
          <w:tcPr>
            <w:tcW w:w="636" w:type="dxa"/>
            <w:vAlign w:val="center"/>
          </w:tcPr>
          <w:p w14:paraId="1F098BBA">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7A1BA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restart"/>
            <w:vAlign w:val="center"/>
          </w:tcPr>
          <w:p w14:paraId="7024F68C">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14</w:t>
            </w:r>
          </w:p>
        </w:tc>
        <w:tc>
          <w:tcPr>
            <w:tcW w:w="846" w:type="dxa"/>
            <w:vMerge w:val="restart"/>
            <w:vAlign w:val="center"/>
          </w:tcPr>
          <w:p w14:paraId="2393C589">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专家库管理</w:t>
            </w:r>
          </w:p>
        </w:tc>
        <w:tc>
          <w:tcPr>
            <w:tcW w:w="1060" w:type="dxa"/>
            <w:vAlign w:val="center"/>
          </w:tcPr>
          <w:p w14:paraId="16650C52">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专业类别设置</w:t>
            </w:r>
          </w:p>
        </w:tc>
        <w:tc>
          <w:tcPr>
            <w:tcW w:w="5659" w:type="dxa"/>
            <w:vAlign w:val="top"/>
          </w:tcPr>
          <w:p w14:paraId="558B0AA5">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支持对专家类别进行统一设置和管理，实现分类、多层级管理。</w:t>
            </w:r>
          </w:p>
        </w:tc>
        <w:tc>
          <w:tcPr>
            <w:tcW w:w="636" w:type="dxa"/>
            <w:vAlign w:val="center"/>
          </w:tcPr>
          <w:p w14:paraId="74E1FF2F">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13853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2842FCC0">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032697D9">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55CFE4F0">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专家录入</w:t>
            </w:r>
          </w:p>
        </w:tc>
        <w:tc>
          <w:tcPr>
            <w:tcW w:w="5659" w:type="dxa"/>
            <w:vAlign w:val="top"/>
          </w:tcPr>
          <w:p w14:paraId="31B96201">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支持对评标专家信息进行新增、修改、删除等维护管理，并可设置和维护专家的专业类别。</w:t>
            </w:r>
          </w:p>
        </w:tc>
        <w:tc>
          <w:tcPr>
            <w:tcW w:w="636" w:type="dxa"/>
            <w:vAlign w:val="center"/>
          </w:tcPr>
          <w:p w14:paraId="060C74C5">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1827C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12A0D856">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7FBBC8F3">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5C5B5EFF">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专家抽取</w:t>
            </w:r>
          </w:p>
        </w:tc>
        <w:tc>
          <w:tcPr>
            <w:tcW w:w="5659" w:type="dxa"/>
            <w:vAlign w:val="top"/>
          </w:tcPr>
          <w:p w14:paraId="20849369">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支持按类别随机抽取专家组成评审小组，系统自动排除本项目参与人员，保证评审公正性、客观性。</w:t>
            </w:r>
          </w:p>
        </w:tc>
        <w:tc>
          <w:tcPr>
            <w:tcW w:w="636" w:type="dxa"/>
            <w:vAlign w:val="center"/>
          </w:tcPr>
          <w:p w14:paraId="1F7E7C67">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38693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17D43614">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15596EA9">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013C30F6">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专家评价</w:t>
            </w:r>
          </w:p>
        </w:tc>
        <w:tc>
          <w:tcPr>
            <w:tcW w:w="5659" w:type="dxa"/>
            <w:vAlign w:val="top"/>
          </w:tcPr>
          <w:p w14:paraId="4CAE01F9">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支持招标完成后用户对专家进行评价，填写评语、评星级并量化评价指标，为下次抽取提供参考。</w:t>
            </w:r>
          </w:p>
        </w:tc>
        <w:tc>
          <w:tcPr>
            <w:tcW w:w="636" w:type="dxa"/>
            <w:vAlign w:val="center"/>
          </w:tcPr>
          <w:p w14:paraId="5C79A524">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5072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2966965C">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3BB5AA34">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3F0A77AA">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短信/微信通知</w:t>
            </w:r>
          </w:p>
        </w:tc>
        <w:tc>
          <w:tcPr>
            <w:tcW w:w="5659" w:type="dxa"/>
            <w:vAlign w:val="top"/>
          </w:tcPr>
          <w:p w14:paraId="391C4C75">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支持根据抽取的专家信息自动发送短信 / 微信通知，识别记录专家反馈，对不参与或未接听的自动启动补抽功能。</w:t>
            </w:r>
          </w:p>
        </w:tc>
        <w:tc>
          <w:tcPr>
            <w:tcW w:w="636" w:type="dxa"/>
            <w:vAlign w:val="center"/>
          </w:tcPr>
          <w:p w14:paraId="14F19265">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74FEA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74AA7CBD">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55C20844">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07D810DC">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专家评审项目统计</w:t>
            </w:r>
          </w:p>
        </w:tc>
        <w:tc>
          <w:tcPr>
            <w:tcW w:w="5659" w:type="dxa"/>
            <w:vAlign w:val="top"/>
          </w:tcPr>
          <w:p w14:paraId="2D7951C9">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支持对评标专家已评审项目进行统计分析，查看专家历次参评状况，为下次抽取提供参考。</w:t>
            </w:r>
          </w:p>
        </w:tc>
        <w:tc>
          <w:tcPr>
            <w:tcW w:w="636" w:type="dxa"/>
            <w:vAlign w:val="center"/>
          </w:tcPr>
          <w:p w14:paraId="4EE817C2">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2E8FE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361D6773">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5D0F9C05">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77EA7D54">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专家库管理</w:t>
            </w:r>
          </w:p>
        </w:tc>
        <w:tc>
          <w:tcPr>
            <w:tcW w:w="5659" w:type="dxa"/>
            <w:vAlign w:val="top"/>
          </w:tcPr>
          <w:p w14:paraId="77E7F4FC">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支持制定评标专家和专家库管理办法，规范资质要求、日常管理等，制定百分制考评细则，建立专家考核、评定和淘汰机制。</w:t>
            </w:r>
          </w:p>
        </w:tc>
        <w:tc>
          <w:tcPr>
            <w:tcW w:w="636" w:type="dxa"/>
            <w:vAlign w:val="center"/>
          </w:tcPr>
          <w:p w14:paraId="20E74F68">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749D2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restart"/>
            <w:vAlign w:val="center"/>
          </w:tcPr>
          <w:p w14:paraId="20904A9C">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15</w:t>
            </w:r>
          </w:p>
        </w:tc>
        <w:tc>
          <w:tcPr>
            <w:tcW w:w="846" w:type="dxa"/>
            <w:vMerge w:val="restart"/>
            <w:vAlign w:val="center"/>
          </w:tcPr>
          <w:p w14:paraId="573DDE68">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供应商管理</w:t>
            </w:r>
          </w:p>
        </w:tc>
        <w:tc>
          <w:tcPr>
            <w:tcW w:w="1060" w:type="dxa"/>
            <w:vAlign w:val="center"/>
          </w:tcPr>
          <w:p w14:paraId="6A8832C9">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供应商分类</w:t>
            </w:r>
          </w:p>
        </w:tc>
        <w:tc>
          <w:tcPr>
            <w:tcW w:w="5659" w:type="dxa"/>
            <w:vAlign w:val="top"/>
          </w:tcPr>
          <w:p w14:paraId="243FC711">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支持对供应商类别进行多层级分类及统一设置管理，方便维护供应商信息。</w:t>
            </w:r>
          </w:p>
        </w:tc>
        <w:tc>
          <w:tcPr>
            <w:tcW w:w="636" w:type="dxa"/>
            <w:vAlign w:val="center"/>
          </w:tcPr>
          <w:p w14:paraId="2C3A92D2">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05399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31AEE844">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76EC1937">
            <w:pPr>
              <w:spacing w:beforeLines="0" w:afterLines="0"/>
              <w:jc w:val="center"/>
              <w:rPr>
                <w:rFonts w:hint="eastAsia" w:ascii="宋体" w:hAnsi="宋体" w:eastAsia="宋体"/>
                <w:color w:val="auto"/>
                <w:highlight w:val="none"/>
                <w:lang w:val="en-US" w:eastAsia="zh-CN"/>
              </w:rPr>
            </w:pPr>
          </w:p>
        </w:tc>
        <w:tc>
          <w:tcPr>
            <w:tcW w:w="1060" w:type="dxa"/>
            <w:vAlign w:val="center"/>
          </w:tcPr>
          <w:p w14:paraId="1D0D9239">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供应商维护</w:t>
            </w:r>
          </w:p>
        </w:tc>
        <w:tc>
          <w:tcPr>
            <w:tcW w:w="5659" w:type="dxa"/>
            <w:vAlign w:val="top"/>
          </w:tcPr>
          <w:p w14:paraId="07220A70">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支持用户在系统上对供应商基本信息、附件材料进行新增、修改、删除等操作，以及维护供应商类别。</w:t>
            </w:r>
          </w:p>
        </w:tc>
        <w:tc>
          <w:tcPr>
            <w:tcW w:w="636" w:type="dxa"/>
            <w:vAlign w:val="center"/>
          </w:tcPr>
          <w:p w14:paraId="21BFE0EE">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300C0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6054A12B">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33FA8947">
            <w:pPr>
              <w:spacing w:beforeLines="0" w:afterLines="0"/>
              <w:jc w:val="center"/>
              <w:rPr>
                <w:rFonts w:hint="eastAsia" w:ascii="宋体" w:hAnsi="宋体" w:eastAsia="宋体"/>
                <w:color w:val="auto"/>
                <w:highlight w:val="none"/>
                <w:lang w:val="en-US" w:eastAsia="zh-CN"/>
              </w:rPr>
            </w:pPr>
          </w:p>
        </w:tc>
        <w:tc>
          <w:tcPr>
            <w:tcW w:w="1060" w:type="dxa"/>
            <w:vAlign w:val="center"/>
          </w:tcPr>
          <w:p w14:paraId="7FAB2713">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供应商评价</w:t>
            </w:r>
          </w:p>
        </w:tc>
        <w:tc>
          <w:tcPr>
            <w:tcW w:w="5659" w:type="dxa"/>
            <w:vAlign w:val="top"/>
          </w:tcPr>
          <w:p w14:paraId="0A643855">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支持供应商在系统中查看已成交项目信息，在线选择模板生成或上传合同初稿，还可提交履约保证金缴纳凭证、发起项目验收申请、提交付款申请、上传质保金支付凭证、发起质保金退还申请等。</w:t>
            </w:r>
          </w:p>
        </w:tc>
        <w:tc>
          <w:tcPr>
            <w:tcW w:w="636" w:type="dxa"/>
            <w:vAlign w:val="center"/>
          </w:tcPr>
          <w:p w14:paraId="13B76674">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53BF9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088CA99A">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4DC1613D">
            <w:pPr>
              <w:spacing w:beforeLines="0" w:afterLines="0"/>
              <w:jc w:val="center"/>
              <w:rPr>
                <w:rFonts w:hint="eastAsia" w:ascii="宋体" w:hAnsi="宋体" w:eastAsia="宋体"/>
                <w:color w:val="auto"/>
                <w:highlight w:val="none"/>
                <w:lang w:val="en-US" w:eastAsia="zh-CN"/>
              </w:rPr>
            </w:pPr>
          </w:p>
        </w:tc>
        <w:tc>
          <w:tcPr>
            <w:tcW w:w="1060" w:type="dxa"/>
            <w:vAlign w:val="center"/>
          </w:tcPr>
          <w:p w14:paraId="253B33A5">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供应商黑名单</w:t>
            </w:r>
          </w:p>
        </w:tc>
        <w:tc>
          <w:tcPr>
            <w:tcW w:w="5659" w:type="dxa"/>
            <w:vAlign w:val="top"/>
          </w:tcPr>
          <w:p w14:paraId="26343390">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支持根据服务情况将个别低质供应商纳入黑名单，取消其合作资格。</w:t>
            </w:r>
          </w:p>
          <w:p w14:paraId="10EBFFD0">
            <w:pPr>
              <w:pageBreakBefore w:val="0"/>
              <w:widowControl w:val="0"/>
              <w:kinsoku/>
              <w:wordWrap/>
              <w:overflowPunct/>
              <w:topLinePunct w:val="0"/>
              <w:autoSpaceDE/>
              <w:autoSpaceDN/>
              <w:bidi w:val="0"/>
              <w:adjustRightInd/>
              <w:snapToGrid/>
              <w:spacing w:line="312" w:lineRule="auto"/>
              <w:jc w:val="left"/>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支持根据医院管理规定，建立供应商列入黑名单流程，根据黑名单设置期限，自动识别黑名单内企业，不接收黑名单公司报名参加医院的采购活动。按期限自动解除黑名单及相应活动限制，解除情况形成工作通知到采购员、管理员、监督人员。</w:t>
            </w:r>
          </w:p>
        </w:tc>
        <w:tc>
          <w:tcPr>
            <w:tcW w:w="636" w:type="dxa"/>
            <w:vAlign w:val="center"/>
          </w:tcPr>
          <w:p w14:paraId="19BDC4B4">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3A2FF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restart"/>
            <w:vAlign w:val="center"/>
          </w:tcPr>
          <w:p w14:paraId="74993976">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16</w:t>
            </w:r>
          </w:p>
        </w:tc>
        <w:tc>
          <w:tcPr>
            <w:tcW w:w="846" w:type="dxa"/>
            <w:vMerge w:val="restart"/>
            <w:vAlign w:val="center"/>
          </w:tcPr>
          <w:p w14:paraId="0F2D2E32">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供应商子系统</w:t>
            </w:r>
          </w:p>
        </w:tc>
        <w:tc>
          <w:tcPr>
            <w:tcW w:w="1060" w:type="dxa"/>
            <w:vAlign w:val="center"/>
          </w:tcPr>
          <w:p w14:paraId="762E54A4">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供应商注册</w:t>
            </w:r>
          </w:p>
        </w:tc>
        <w:tc>
          <w:tcPr>
            <w:tcW w:w="5659" w:type="dxa"/>
            <w:vAlign w:val="top"/>
          </w:tcPr>
          <w:p w14:paraId="39E845BE">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支持供应商登录门户网站，通过登录入口注册账号，填写企业和联系信息，提交营业执照等证明文件，审核通过后系统自动短信通知。</w:t>
            </w:r>
          </w:p>
        </w:tc>
        <w:tc>
          <w:tcPr>
            <w:tcW w:w="636" w:type="dxa"/>
            <w:vAlign w:val="center"/>
          </w:tcPr>
          <w:p w14:paraId="7E0C8E5B">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516F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557B82B7">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49335B93">
            <w:pPr>
              <w:spacing w:beforeLines="0" w:afterLines="0"/>
              <w:jc w:val="center"/>
              <w:rPr>
                <w:rFonts w:hint="eastAsia" w:ascii="宋体" w:hAnsi="宋体" w:eastAsia="宋体"/>
                <w:color w:val="auto"/>
                <w:highlight w:val="none"/>
                <w:lang w:val="en-US" w:eastAsia="zh-CN"/>
              </w:rPr>
            </w:pPr>
          </w:p>
        </w:tc>
        <w:tc>
          <w:tcPr>
            <w:tcW w:w="1060" w:type="dxa"/>
            <w:vAlign w:val="center"/>
          </w:tcPr>
          <w:p w14:paraId="3C25A6DC">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在线报名</w:t>
            </w:r>
          </w:p>
        </w:tc>
        <w:tc>
          <w:tcPr>
            <w:tcW w:w="5659" w:type="dxa"/>
            <w:vAlign w:val="top"/>
          </w:tcPr>
          <w:p w14:paraId="1EB017C7">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支持供应商登录子系统填写报名资料并提交申请，由代理机构或医院招标采购中心审核，审核通过后在线缴纳标书费并下载招标文件。</w:t>
            </w:r>
          </w:p>
        </w:tc>
        <w:tc>
          <w:tcPr>
            <w:tcW w:w="636" w:type="dxa"/>
            <w:vAlign w:val="center"/>
          </w:tcPr>
          <w:p w14:paraId="0FC9DEE3">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603B0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539C2F04">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251B35F4">
            <w:pPr>
              <w:spacing w:beforeLines="0" w:afterLines="0"/>
              <w:jc w:val="center"/>
              <w:rPr>
                <w:rFonts w:hint="eastAsia" w:ascii="宋体" w:hAnsi="宋体" w:eastAsia="宋体"/>
                <w:color w:val="auto"/>
                <w:highlight w:val="none"/>
                <w:lang w:val="en-US" w:eastAsia="zh-CN"/>
              </w:rPr>
            </w:pPr>
          </w:p>
        </w:tc>
        <w:tc>
          <w:tcPr>
            <w:tcW w:w="1060" w:type="dxa"/>
            <w:vAlign w:val="center"/>
          </w:tcPr>
          <w:p w14:paraId="59087D0A">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在线上传响应文件</w:t>
            </w:r>
          </w:p>
        </w:tc>
        <w:tc>
          <w:tcPr>
            <w:tcW w:w="5659" w:type="dxa"/>
            <w:vAlign w:val="top"/>
          </w:tcPr>
          <w:p w14:paraId="4A4C8871">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支持投标人在投标截止时间前，通过供应商端子系统在线递交投标文件；截止后自动拒绝文件递交、修改和撤回及未完成传输的文件上传；</w:t>
            </w:r>
          </w:p>
        </w:tc>
        <w:tc>
          <w:tcPr>
            <w:tcW w:w="636" w:type="dxa"/>
            <w:vAlign w:val="center"/>
          </w:tcPr>
          <w:p w14:paraId="6E19C59A">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36482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restart"/>
            <w:vAlign w:val="center"/>
          </w:tcPr>
          <w:p w14:paraId="3EA9EF6D">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17</w:t>
            </w:r>
          </w:p>
        </w:tc>
        <w:tc>
          <w:tcPr>
            <w:tcW w:w="846" w:type="dxa"/>
            <w:vMerge w:val="restart"/>
            <w:vAlign w:val="center"/>
          </w:tcPr>
          <w:p w14:paraId="1A93AE18">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代理机构管理</w:t>
            </w:r>
          </w:p>
        </w:tc>
        <w:tc>
          <w:tcPr>
            <w:tcW w:w="1060" w:type="dxa"/>
            <w:vAlign w:val="center"/>
          </w:tcPr>
          <w:p w14:paraId="2FF88257">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代理机构维护</w:t>
            </w:r>
          </w:p>
        </w:tc>
        <w:tc>
          <w:tcPr>
            <w:tcW w:w="5659" w:type="dxa"/>
            <w:vAlign w:val="top"/>
          </w:tcPr>
          <w:p w14:paraId="2393AE1A">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支持对采购代理机构信息进行录入、管理、查询、</w:t>
            </w:r>
            <w:r>
              <w:rPr>
                <w:rFonts w:hint="eastAsia" w:ascii="宋体" w:hAnsi="宋体" w:eastAsia="宋体"/>
                <w:color w:val="auto"/>
                <w:highlight w:val="none"/>
                <w:lang w:val="en-US" w:eastAsia="zh-CN"/>
              </w:rPr>
              <w:t>代理项目</w:t>
            </w:r>
            <w:r>
              <w:rPr>
                <w:rFonts w:hint="eastAsia" w:ascii="宋体" w:hAnsi="宋体" w:eastAsia="宋体"/>
                <w:color w:val="auto"/>
                <w:highlight w:val="none"/>
              </w:rPr>
              <w:t>统计等操作。</w:t>
            </w:r>
          </w:p>
        </w:tc>
        <w:tc>
          <w:tcPr>
            <w:tcW w:w="636" w:type="dxa"/>
            <w:vAlign w:val="center"/>
          </w:tcPr>
          <w:p w14:paraId="55D4BC25">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76A33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50C668C2">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48CF6E65">
            <w:pPr>
              <w:spacing w:beforeLines="0" w:afterLines="0"/>
              <w:jc w:val="center"/>
              <w:rPr>
                <w:rFonts w:hint="eastAsia" w:ascii="宋体" w:hAnsi="宋体" w:eastAsia="宋体"/>
                <w:color w:val="auto"/>
                <w:highlight w:val="none"/>
                <w:lang w:val="en-US" w:eastAsia="zh-CN"/>
              </w:rPr>
            </w:pPr>
          </w:p>
        </w:tc>
        <w:tc>
          <w:tcPr>
            <w:tcW w:w="1060" w:type="dxa"/>
            <w:vAlign w:val="center"/>
          </w:tcPr>
          <w:p w14:paraId="6E4511DD">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抽取代理机构</w:t>
            </w:r>
          </w:p>
        </w:tc>
        <w:tc>
          <w:tcPr>
            <w:tcW w:w="5659" w:type="dxa"/>
            <w:vAlign w:val="top"/>
          </w:tcPr>
          <w:p w14:paraId="59C06B4C">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支持院内集中采购项目委托代理机构时随机抽取</w:t>
            </w:r>
            <w:r>
              <w:rPr>
                <w:rFonts w:hint="eastAsia" w:ascii="宋体" w:hAnsi="宋体" w:eastAsia="宋体"/>
                <w:color w:val="auto"/>
                <w:highlight w:val="none"/>
                <w:lang w:val="en-US" w:eastAsia="zh-CN"/>
              </w:rPr>
              <w:t>或直接指定</w:t>
            </w:r>
            <w:r>
              <w:rPr>
                <w:rFonts w:hint="eastAsia" w:ascii="宋体" w:hAnsi="宋体" w:eastAsia="宋体"/>
                <w:color w:val="auto"/>
                <w:highlight w:val="none"/>
              </w:rPr>
              <w:t>代理机构。</w:t>
            </w:r>
          </w:p>
        </w:tc>
        <w:tc>
          <w:tcPr>
            <w:tcW w:w="636" w:type="dxa"/>
            <w:vAlign w:val="center"/>
          </w:tcPr>
          <w:p w14:paraId="7FCC3E67">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24553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1EF7C0A5">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3B096D4E">
            <w:pPr>
              <w:spacing w:beforeLines="0" w:afterLines="0"/>
              <w:jc w:val="center"/>
              <w:rPr>
                <w:rFonts w:hint="eastAsia" w:ascii="宋体" w:hAnsi="宋体" w:eastAsia="宋体"/>
                <w:color w:val="auto"/>
                <w:highlight w:val="none"/>
                <w:lang w:val="en-US" w:eastAsia="zh-CN"/>
              </w:rPr>
            </w:pPr>
          </w:p>
        </w:tc>
        <w:tc>
          <w:tcPr>
            <w:tcW w:w="1060" w:type="dxa"/>
            <w:vAlign w:val="center"/>
          </w:tcPr>
          <w:p w14:paraId="1DF17A30">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代理机构评价</w:t>
            </w:r>
          </w:p>
        </w:tc>
        <w:tc>
          <w:tcPr>
            <w:tcW w:w="5659" w:type="dxa"/>
            <w:vAlign w:val="top"/>
          </w:tcPr>
          <w:p w14:paraId="0E1FF49A">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w:t>
            </w:r>
            <w:r>
              <w:rPr>
                <w:rFonts w:hint="eastAsia" w:ascii="宋体" w:hAnsi="宋体" w:eastAsia="宋体"/>
                <w:color w:val="auto"/>
                <w:highlight w:val="none"/>
                <w:lang w:val="en-US" w:eastAsia="zh-CN"/>
              </w:rPr>
              <w:t>每个项目</w:t>
            </w:r>
            <w:r>
              <w:rPr>
                <w:rFonts w:hint="eastAsia" w:ascii="宋体" w:hAnsi="宋体" w:eastAsia="宋体"/>
                <w:color w:val="auto"/>
                <w:highlight w:val="none"/>
              </w:rPr>
              <w:t>招标完成后用户对招标代理机构填写</w:t>
            </w:r>
            <w:r>
              <w:rPr>
                <w:rFonts w:hint="eastAsia" w:ascii="宋体" w:hAnsi="宋体" w:eastAsia="宋体"/>
                <w:strike w:val="0"/>
                <w:dstrike w:val="0"/>
                <w:color w:val="auto"/>
                <w:highlight w:val="none"/>
              </w:rPr>
              <w:t>量化</w:t>
            </w:r>
            <w:r>
              <w:rPr>
                <w:rFonts w:hint="eastAsia" w:ascii="宋体" w:hAnsi="宋体" w:eastAsia="宋体"/>
                <w:color w:val="auto"/>
                <w:highlight w:val="none"/>
              </w:rPr>
              <w:t>评价指标，</w:t>
            </w:r>
            <w:r>
              <w:rPr>
                <w:rFonts w:hint="eastAsia" w:ascii="宋体" w:hAnsi="宋体" w:eastAsia="宋体"/>
                <w:color w:val="auto"/>
                <w:highlight w:val="none"/>
                <w:lang w:val="en-US" w:eastAsia="zh-CN"/>
              </w:rPr>
              <w:t>支持</w:t>
            </w:r>
            <w:r>
              <w:rPr>
                <w:rFonts w:hint="eastAsia" w:ascii="宋体" w:hAnsi="宋体" w:eastAsia="宋体"/>
                <w:strike w:val="0"/>
                <w:dstrike w:val="0"/>
                <w:color w:val="auto"/>
                <w:highlight w:val="none"/>
                <w:lang w:val="en-US" w:eastAsia="zh-CN"/>
              </w:rPr>
              <w:t>自定义时间段</w:t>
            </w:r>
            <w:r>
              <w:rPr>
                <w:rFonts w:hint="eastAsia" w:ascii="宋体" w:hAnsi="宋体" w:eastAsia="宋体"/>
                <w:color w:val="auto"/>
                <w:highlight w:val="none"/>
                <w:lang w:val="en-US" w:eastAsia="zh-CN"/>
              </w:rPr>
              <w:t>定期对代理商进行量化指标评价。</w:t>
            </w:r>
          </w:p>
        </w:tc>
        <w:tc>
          <w:tcPr>
            <w:tcW w:w="636" w:type="dxa"/>
            <w:vAlign w:val="center"/>
          </w:tcPr>
          <w:p w14:paraId="76E2B2D2">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7F45F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restart"/>
            <w:vAlign w:val="center"/>
          </w:tcPr>
          <w:p w14:paraId="1D078502">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18</w:t>
            </w:r>
          </w:p>
        </w:tc>
        <w:tc>
          <w:tcPr>
            <w:tcW w:w="846" w:type="dxa"/>
            <w:vMerge w:val="restart"/>
            <w:vAlign w:val="center"/>
          </w:tcPr>
          <w:p w14:paraId="39C3494F">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代理机构子系统</w:t>
            </w:r>
          </w:p>
        </w:tc>
        <w:tc>
          <w:tcPr>
            <w:tcW w:w="1060" w:type="dxa"/>
            <w:vAlign w:val="center"/>
          </w:tcPr>
          <w:p w14:paraId="57CCFBF9">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代理机构注册</w:t>
            </w:r>
          </w:p>
        </w:tc>
        <w:tc>
          <w:tcPr>
            <w:tcW w:w="5659" w:type="dxa"/>
            <w:vAlign w:val="top"/>
          </w:tcPr>
          <w:p w14:paraId="5B5FE5B5">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支持代理机构登录门户网站，通过登录入口注册账号，提交营业执照等证明文件，审核通过后</w:t>
            </w:r>
            <w:r>
              <w:rPr>
                <w:rFonts w:hint="eastAsia" w:ascii="宋体" w:hAnsi="宋体" w:eastAsia="宋体"/>
                <w:color w:val="auto"/>
                <w:highlight w:val="none"/>
                <w:lang w:val="en-US" w:eastAsia="zh-CN"/>
              </w:rPr>
              <w:t>自动进入系统代理机构库</w:t>
            </w:r>
            <w:r>
              <w:rPr>
                <w:rFonts w:hint="eastAsia" w:ascii="宋体" w:hAnsi="宋体" w:eastAsia="宋体"/>
                <w:color w:val="auto"/>
                <w:highlight w:val="none"/>
              </w:rPr>
              <w:t>。</w:t>
            </w:r>
          </w:p>
        </w:tc>
        <w:tc>
          <w:tcPr>
            <w:tcW w:w="636" w:type="dxa"/>
            <w:vAlign w:val="center"/>
          </w:tcPr>
          <w:p w14:paraId="6C696EE0">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5E10C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3F9DA86E">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611C2E0F">
            <w:pPr>
              <w:spacing w:beforeLines="0" w:afterLines="0"/>
              <w:jc w:val="center"/>
              <w:rPr>
                <w:rFonts w:hint="eastAsia" w:ascii="宋体" w:hAnsi="宋体" w:eastAsia="宋体"/>
                <w:color w:val="auto"/>
                <w:highlight w:val="none"/>
                <w:lang w:val="en-US" w:eastAsia="zh-CN"/>
              </w:rPr>
            </w:pPr>
          </w:p>
        </w:tc>
        <w:tc>
          <w:tcPr>
            <w:tcW w:w="1060" w:type="dxa"/>
            <w:vAlign w:val="center"/>
          </w:tcPr>
          <w:p w14:paraId="409D7532">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招标（采购）文件上传</w:t>
            </w:r>
          </w:p>
        </w:tc>
        <w:tc>
          <w:tcPr>
            <w:tcW w:w="5659" w:type="dxa"/>
            <w:vAlign w:val="top"/>
          </w:tcPr>
          <w:p w14:paraId="516ADC4C">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支持代理机构</w:t>
            </w:r>
            <w:r>
              <w:rPr>
                <w:rFonts w:hint="eastAsia" w:ascii="宋体" w:hAnsi="宋体" w:eastAsia="宋体"/>
                <w:color w:val="auto"/>
                <w:highlight w:val="none"/>
                <w:lang w:val="en-US" w:eastAsia="zh-CN"/>
              </w:rPr>
              <w:t>在线</w:t>
            </w:r>
            <w:r>
              <w:rPr>
                <w:rFonts w:hint="eastAsia" w:ascii="宋体" w:hAnsi="宋体" w:eastAsia="宋体"/>
                <w:color w:val="auto"/>
                <w:highlight w:val="none"/>
              </w:rPr>
              <w:t>受理采购项目、上传采购文件，完成后</w:t>
            </w:r>
            <w:r>
              <w:rPr>
                <w:rFonts w:hint="eastAsia" w:ascii="宋体" w:hAnsi="宋体" w:eastAsia="宋体"/>
                <w:color w:val="auto"/>
                <w:highlight w:val="none"/>
                <w:lang w:val="en-US" w:eastAsia="zh-CN"/>
              </w:rPr>
              <w:t>进入</w:t>
            </w:r>
            <w:r>
              <w:rPr>
                <w:rFonts w:hint="eastAsia" w:ascii="宋体" w:hAnsi="宋体" w:eastAsia="宋体"/>
                <w:color w:val="auto"/>
                <w:highlight w:val="none"/>
              </w:rPr>
              <w:t>医院内控流程审批审核，审核记录全程留痕。</w:t>
            </w:r>
          </w:p>
        </w:tc>
        <w:tc>
          <w:tcPr>
            <w:tcW w:w="636" w:type="dxa"/>
            <w:vAlign w:val="center"/>
          </w:tcPr>
          <w:p w14:paraId="0FDAFE4C">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23FB2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7608EFBB">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4A55898B">
            <w:pPr>
              <w:spacing w:beforeLines="0" w:afterLines="0"/>
              <w:jc w:val="center"/>
              <w:rPr>
                <w:rFonts w:hint="eastAsia" w:ascii="宋体" w:hAnsi="宋体" w:eastAsia="宋体"/>
                <w:color w:val="auto"/>
                <w:highlight w:val="none"/>
                <w:lang w:val="en-US" w:eastAsia="zh-CN"/>
              </w:rPr>
            </w:pPr>
          </w:p>
        </w:tc>
        <w:tc>
          <w:tcPr>
            <w:tcW w:w="1060" w:type="dxa"/>
            <w:vAlign w:val="center"/>
          </w:tcPr>
          <w:p w14:paraId="15E66DD5">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发布招标（采购）公告</w:t>
            </w:r>
          </w:p>
        </w:tc>
        <w:tc>
          <w:tcPr>
            <w:tcW w:w="5659" w:type="dxa"/>
            <w:vAlign w:val="top"/>
          </w:tcPr>
          <w:p w14:paraId="2C5046EF">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支持系统预制招标公告模板库，代理机构按项目选择模板在线编写公告并发布，系统根据不同采购方式自动匹配公告模板。</w:t>
            </w:r>
          </w:p>
        </w:tc>
        <w:tc>
          <w:tcPr>
            <w:tcW w:w="636" w:type="dxa"/>
            <w:vAlign w:val="center"/>
          </w:tcPr>
          <w:p w14:paraId="58DD053B">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53635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08C19132">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05630135">
            <w:pPr>
              <w:spacing w:beforeLines="0" w:afterLines="0"/>
              <w:jc w:val="center"/>
              <w:rPr>
                <w:rFonts w:hint="eastAsia" w:ascii="宋体" w:hAnsi="宋体" w:eastAsia="宋体"/>
                <w:color w:val="auto"/>
                <w:highlight w:val="none"/>
                <w:lang w:val="en-US" w:eastAsia="zh-CN"/>
              </w:rPr>
            </w:pPr>
          </w:p>
        </w:tc>
        <w:tc>
          <w:tcPr>
            <w:tcW w:w="1060" w:type="dxa"/>
            <w:vAlign w:val="center"/>
          </w:tcPr>
          <w:p w14:paraId="56E2F361">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评标记录管理</w:t>
            </w:r>
          </w:p>
        </w:tc>
        <w:tc>
          <w:tcPr>
            <w:tcW w:w="5659" w:type="dxa"/>
            <w:vAlign w:val="top"/>
          </w:tcPr>
          <w:p w14:paraId="1CF1AB39">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支持评审过程材料线下归集上传，代理机构线下组织开标、评标后在系统录入评审信息（含评审专家信息、成交候选人名单等），上传相关材料。</w:t>
            </w:r>
          </w:p>
        </w:tc>
        <w:tc>
          <w:tcPr>
            <w:tcW w:w="636" w:type="dxa"/>
            <w:vAlign w:val="center"/>
          </w:tcPr>
          <w:p w14:paraId="4A7CAAE7">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6E878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7C9EC291">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2EDBF8A5">
            <w:pPr>
              <w:spacing w:beforeLines="0" w:afterLines="0"/>
              <w:jc w:val="center"/>
              <w:rPr>
                <w:rFonts w:hint="eastAsia" w:ascii="宋体" w:hAnsi="宋体" w:eastAsia="宋体"/>
                <w:color w:val="auto"/>
                <w:highlight w:val="none"/>
                <w:lang w:val="en-US" w:eastAsia="zh-CN"/>
              </w:rPr>
            </w:pPr>
          </w:p>
        </w:tc>
        <w:tc>
          <w:tcPr>
            <w:tcW w:w="1060" w:type="dxa"/>
            <w:vAlign w:val="center"/>
          </w:tcPr>
          <w:p w14:paraId="5A0383FF">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中标（成交）结果管理</w:t>
            </w:r>
          </w:p>
        </w:tc>
        <w:tc>
          <w:tcPr>
            <w:tcW w:w="5659" w:type="dxa"/>
            <w:vAlign w:val="top"/>
          </w:tcPr>
          <w:p w14:paraId="167768C9">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支持代理机构在线编写成交结果</w:t>
            </w:r>
            <w:r>
              <w:rPr>
                <w:rFonts w:hint="eastAsia" w:ascii="宋体" w:hAnsi="宋体" w:eastAsia="宋体"/>
                <w:color w:val="auto"/>
                <w:highlight w:val="none"/>
                <w:lang w:val="en-US" w:eastAsia="zh-CN"/>
              </w:rPr>
              <w:t>公告</w:t>
            </w:r>
            <w:r>
              <w:rPr>
                <w:rFonts w:hint="eastAsia" w:ascii="宋体" w:hAnsi="宋体" w:eastAsia="宋体"/>
                <w:color w:val="auto"/>
                <w:highlight w:val="none"/>
              </w:rPr>
              <w:t>，经审核后发布并同步至采购办门户网站。</w:t>
            </w:r>
          </w:p>
        </w:tc>
        <w:tc>
          <w:tcPr>
            <w:tcW w:w="636" w:type="dxa"/>
            <w:vAlign w:val="center"/>
          </w:tcPr>
          <w:p w14:paraId="13822513">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50283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Align w:val="center"/>
          </w:tcPr>
          <w:p w14:paraId="0FF475B0">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19</w:t>
            </w:r>
          </w:p>
        </w:tc>
        <w:tc>
          <w:tcPr>
            <w:tcW w:w="846" w:type="dxa"/>
            <w:vAlign w:val="center"/>
          </w:tcPr>
          <w:p w14:paraId="548810B0">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移动办公功能</w:t>
            </w:r>
          </w:p>
        </w:tc>
        <w:tc>
          <w:tcPr>
            <w:tcW w:w="1060" w:type="dxa"/>
            <w:vAlign w:val="center"/>
          </w:tcPr>
          <w:p w14:paraId="07E3FDA5">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w:t>
            </w:r>
          </w:p>
        </w:tc>
        <w:tc>
          <w:tcPr>
            <w:tcW w:w="5659" w:type="dxa"/>
          </w:tcPr>
          <w:p w14:paraId="2939314B">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支持与企业微信/钉钉等对接，实现待办事项提醒、业务定时提醒、项目审核、加签、催办等功能。</w:t>
            </w:r>
          </w:p>
          <w:p w14:paraId="43B01C87">
            <w:pPr>
              <w:pageBreakBefore w:val="0"/>
              <w:widowControl w:val="0"/>
              <w:kinsoku/>
              <w:wordWrap/>
              <w:overflowPunct/>
              <w:topLinePunct w:val="0"/>
              <w:autoSpaceDE/>
              <w:autoSpaceDN/>
              <w:bidi w:val="0"/>
              <w:adjustRightInd/>
              <w:snapToGrid/>
              <w:spacing w:line="312" w:lineRule="auto"/>
              <w:jc w:val="left"/>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eastAsia="zh-CN"/>
              </w:rPr>
              <w:t>支持移动端发起、审批流程或对接院内</w:t>
            </w:r>
            <w:r>
              <w:rPr>
                <w:rFonts w:hint="eastAsia" w:ascii="宋体" w:hAnsi="宋体" w:eastAsia="宋体"/>
                <w:color w:val="auto"/>
                <w:highlight w:val="none"/>
                <w:lang w:val="en-US" w:eastAsia="zh-CN"/>
              </w:rPr>
              <w:t>OA发起审批流程</w:t>
            </w:r>
          </w:p>
        </w:tc>
        <w:tc>
          <w:tcPr>
            <w:tcW w:w="636" w:type="dxa"/>
            <w:vAlign w:val="center"/>
          </w:tcPr>
          <w:p w14:paraId="67301228">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07C48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restart"/>
            <w:vAlign w:val="center"/>
          </w:tcPr>
          <w:p w14:paraId="07FC3F56">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20</w:t>
            </w:r>
          </w:p>
        </w:tc>
        <w:tc>
          <w:tcPr>
            <w:tcW w:w="846" w:type="dxa"/>
            <w:vMerge w:val="restart"/>
            <w:vAlign w:val="center"/>
          </w:tcPr>
          <w:p w14:paraId="01F37E0F">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AI智能体</w:t>
            </w:r>
          </w:p>
        </w:tc>
        <w:tc>
          <w:tcPr>
            <w:tcW w:w="1060" w:type="dxa"/>
            <w:vAlign w:val="center"/>
          </w:tcPr>
          <w:p w14:paraId="29CAB5EC">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智能问答</w:t>
            </w:r>
          </w:p>
        </w:tc>
        <w:tc>
          <w:tcPr>
            <w:tcW w:w="5659" w:type="dxa"/>
          </w:tcPr>
          <w:p w14:paraId="464D978C">
            <w:pPr>
              <w:pageBreakBefore w:val="0"/>
              <w:widowControl w:val="0"/>
              <w:kinsoku/>
              <w:wordWrap/>
              <w:overflowPunct/>
              <w:topLinePunct w:val="0"/>
              <w:autoSpaceDE/>
              <w:autoSpaceDN/>
              <w:bidi w:val="0"/>
              <w:adjustRightInd/>
              <w:snapToGrid/>
              <w:spacing w:line="312" w:lineRule="auto"/>
              <w:jc w:val="left"/>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系统须基于大语言模型及RAG技术，构建覆盖政府采购法规、集采目录及单位制度的综合知识库，知识库须支持管理员自主维护。</w:t>
            </w:r>
          </w:p>
        </w:tc>
        <w:tc>
          <w:tcPr>
            <w:tcW w:w="636" w:type="dxa"/>
            <w:vAlign w:val="center"/>
          </w:tcPr>
          <w:p w14:paraId="06D3055B">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4452E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21F9EB45">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846" w:type="dxa"/>
            <w:vMerge w:val="continue"/>
            <w:vAlign w:val="center"/>
          </w:tcPr>
          <w:p w14:paraId="36AA1053">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48F25639">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需求合规审查</w:t>
            </w:r>
          </w:p>
        </w:tc>
        <w:tc>
          <w:tcPr>
            <w:tcW w:w="5659" w:type="dxa"/>
          </w:tcPr>
          <w:p w14:paraId="3C505579">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系统</w:t>
            </w:r>
            <w:r>
              <w:rPr>
                <w:rFonts w:hint="eastAsia" w:ascii="宋体" w:hAnsi="宋体" w:eastAsia="宋体"/>
                <w:color w:val="auto"/>
                <w:highlight w:val="none"/>
              </w:rPr>
              <w:t>须</w:t>
            </w:r>
            <w:r>
              <w:rPr>
                <w:rFonts w:hint="eastAsia" w:ascii="宋体" w:hAnsi="宋体" w:eastAsia="宋体"/>
                <w:color w:val="auto"/>
                <w:highlight w:val="none"/>
                <w:lang w:val="en-US" w:eastAsia="zh-CN"/>
              </w:rPr>
              <w:t>支持需求</w:t>
            </w:r>
            <w:r>
              <w:rPr>
                <w:rFonts w:hint="eastAsia" w:ascii="宋体" w:hAnsi="宋体" w:eastAsia="宋体"/>
                <w:color w:val="auto"/>
                <w:highlight w:val="none"/>
              </w:rPr>
              <w:t>智能审查</w:t>
            </w:r>
            <w:r>
              <w:rPr>
                <w:rFonts w:hint="eastAsia" w:ascii="宋体" w:hAnsi="宋体" w:eastAsia="宋体"/>
                <w:color w:val="auto"/>
                <w:highlight w:val="none"/>
                <w:lang w:val="en-US" w:eastAsia="zh-CN"/>
              </w:rPr>
              <w:t>功能</w:t>
            </w:r>
            <w:r>
              <w:rPr>
                <w:rFonts w:hint="eastAsia" w:ascii="宋体" w:hAnsi="宋体" w:eastAsia="宋体"/>
                <w:color w:val="auto"/>
                <w:highlight w:val="none"/>
              </w:rPr>
              <w:t>，基于负面清单知识库检测</w:t>
            </w:r>
            <w:r>
              <w:rPr>
                <w:rFonts w:hint="eastAsia" w:ascii="宋体" w:hAnsi="宋体" w:eastAsia="宋体"/>
                <w:color w:val="auto"/>
                <w:highlight w:val="none"/>
                <w:lang w:val="en-US" w:eastAsia="zh-CN"/>
              </w:rPr>
              <w:t>排他性条款、</w:t>
            </w:r>
            <w:r>
              <w:rPr>
                <w:rFonts w:hint="eastAsia" w:ascii="宋体" w:hAnsi="宋体" w:eastAsia="宋体"/>
                <w:color w:val="auto"/>
                <w:highlight w:val="none"/>
              </w:rPr>
              <w:t>倾向性指标</w:t>
            </w:r>
            <w:r>
              <w:rPr>
                <w:rFonts w:hint="eastAsia" w:ascii="宋体" w:hAnsi="宋体" w:eastAsia="宋体"/>
                <w:color w:val="auto"/>
                <w:highlight w:val="none"/>
                <w:lang w:val="en-US" w:eastAsia="zh-CN"/>
              </w:rPr>
              <w:t>等</w:t>
            </w:r>
            <w:r>
              <w:rPr>
                <w:rFonts w:hint="eastAsia" w:ascii="宋体" w:hAnsi="宋体" w:eastAsia="宋体"/>
                <w:color w:val="auto"/>
                <w:highlight w:val="none"/>
              </w:rPr>
              <w:t>合规风险。结果须逐条标注风险条款原文、违规类型、法规依据及修改建议。</w:t>
            </w:r>
          </w:p>
        </w:tc>
        <w:tc>
          <w:tcPr>
            <w:tcW w:w="636" w:type="dxa"/>
            <w:vAlign w:val="center"/>
          </w:tcPr>
          <w:p w14:paraId="730B7A32">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143F6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75CEEAC7">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846" w:type="dxa"/>
            <w:vMerge w:val="continue"/>
            <w:vAlign w:val="center"/>
          </w:tcPr>
          <w:p w14:paraId="69CBB785">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1FC5209F">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招标文件审查</w:t>
            </w:r>
          </w:p>
        </w:tc>
        <w:tc>
          <w:tcPr>
            <w:tcW w:w="5659" w:type="dxa"/>
          </w:tcPr>
          <w:p w14:paraId="5675AF40">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lang w:eastAsia="zh-CN"/>
              </w:rPr>
            </w:pPr>
            <w:r>
              <w:rPr>
                <w:rFonts w:hint="eastAsia" w:ascii="宋体" w:hAnsi="宋体" w:eastAsia="宋体"/>
                <w:color w:val="auto"/>
                <w:highlight w:val="none"/>
              </w:rPr>
              <w:t>系统须</w:t>
            </w:r>
            <w:r>
              <w:rPr>
                <w:rFonts w:hint="eastAsia" w:ascii="宋体" w:hAnsi="宋体" w:eastAsia="宋体"/>
                <w:color w:val="auto"/>
                <w:highlight w:val="none"/>
                <w:lang w:val="en-US" w:eastAsia="zh-CN"/>
              </w:rPr>
              <w:t>支持招标文件</w:t>
            </w:r>
            <w:r>
              <w:rPr>
                <w:rFonts w:hint="eastAsia" w:ascii="宋体" w:hAnsi="宋体" w:eastAsia="宋体"/>
                <w:color w:val="auto"/>
                <w:highlight w:val="none"/>
              </w:rPr>
              <w:t>合规审查</w:t>
            </w:r>
            <w:r>
              <w:rPr>
                <w:rFonts w:hint="eastAsia" w:ascii="宋体" w:hAnsi="宋体" w:eastAsia="宋体"/>
                <w:color w:val="auto"/>
                <w:highlight w:val="none"/>
                <w:lang w:val="en-US" w:eastAsia="zh-CN"/>
              </w:rPr>
              <w:t>功能</w:t>
            </w:r>
            <w:r>
              <w:rPr>
                <w:rFonts w:hint="eastAsia" w:ascii="宋体" w:hAnsi="宋体" w:eastAsia="宋体"/>
                <w:color w:val="auto"/>
                <w:highlight w:val="none"/>
              </w:rPr>
              <w:t>，检测资质门槛合理性、评分细则公平性及评审条款完整性三类风险。须复用RAG检索引擎，在法规知识库基础上新增招标文件审查规则库。审查结果须逐条标注风险等级、违规条款原文、法规依据及修改建议</w:t>
            </w:r>
            <w:r>
              <w:rPr>
                <w:rFonts w:hint="eastAsia" w:ascii="宋体" w:hAnsi="宋体" w:eastAsia="宋体"/>
                <w:color w:val="auto"/>
                <w:highlight w:val="none"/>
                <w:lang w:eastAsia="zh-CN"/>
              </w:rPr>
              <w:t>。</w:t>
            </w:r>
          </w:p>
        </w:tc>
        <w:tc>
          <w:tcPr>
            <w:tcW w:w="636" w:type="dxa"/>
            <w:vAlign w:val="center"/>
          </w:tcPr>
          <w:p w14:paraId="56D98B3E">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6AD1A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restart"/>
            <w:vAlign w:val="center"/>
          </w:tcPr>
          <w:p w14:paraId="6F71A08C">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21</w:t>
            </w:r>
          </w:p>
        </w:tc>
        <w:tc>
          <w:tcPr>
            <w:tcW w:w="846" w:type="dxa"/>
            <w:vMerge w:val="restart"/>
            <w:vAlign w:val="center"/>
          </w:tcPr>
          <w:p w14:paraId="74157E4B">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系统管理</w:t>
            </w:r>
          </w:p>
        </w:tc>
        <w:tc>
          <w:tcPr>
            <w:tcW w:w="1060" w:type="dxa"/>
            <w:vAlign w:val="center"/>
          </w:tcPr>
          <w:p w14:paraId="2E431F53">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部门管理</w:t>
            </w:r>
          </w:p>
        </w:tc>
        <w:tc>
          <w:tcPr>
            <w:tcW w:w="5659" w:type="dxa"/>
          </w:tcPr>
          <w:p w14:paraId="74B02338">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lang w:val="en-US" w:eastAsia="zh-CN"/>
              </w:rPr>
            </w:pPr>
            <w:r>
              <w:rPr>
                <w:rFonts w:hint="eastAsia" w:ascii="宋体" w:hAnsi="宋体" w:eastAsia="宋体"/>
                <w:color w:val="auto"/>
                <w:highlight w:val="none"/>
              </w:rPr>
              <w:t>支持对部门的添加、修改、删除以及配置权限功能</w:t>
            </w:r>
            <w:r>
              <w:rPr>
                <w:rFonts w:hint="eastAsia" w:ascii="宋体" w:hAnsi="宋体" w:eastAsia="宋体"/>
                <w:color w:val="auto"/>
                <w:highlight w:val="none"/>
                <w:lang w:eastAsia="zh-CN"/>
              </w:rPr>
              <w:t>。</w:t>
            </w:r>
          </w:p>
        </w:tc>
        <w:tc>
          <w:tcPr>
            <w:tcW w:w="636" w:type="dxa"/>
            <w:vAlign w:val="center"/>
          </w:tcPr>
          <w:p w14:paraId="4C5FD76E">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076AA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3DB49CA4">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7534C20C">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710C7A3B">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用户管理</w:t>
            </w:r>
          </w:p>
        </w:tc>
        <w:tc>
          <w:tcPr>
            <w:tcW w:w="5659" w:type="dxa"/>
          </w:tcPr>
          <w:p w14:paraId="148606EB">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lang w:eastAsia="zh-CN"/>
              </w:rPr>
            </w:pPr>
            <w:r>
              <w:rPr>
                <w:rFonts w:hint="eastAsia" w:ascii="宋体" w:hAnsi="宋体" w:eastAsia="宋体"/>
                <w:color w:val="auto"/>
                <w:highlight w:val="none"/>
              </w:rPr>
              <w:t>支持对用户的添加、修改、删除以及配置权限功能</w:t>
            </w:r>
            <w:r>
              <w:rPr>
                <w:rFonts w:hint="eastAsia" w:ascii="宋体" w:hAnsi="宋体" w:eastAsia="宋体"/>
                <w:color w:val="auto"/>
                <w:highlight w:val="none"/>
                <w:lang w:eastAsia="zh-CN"/>
              </w:rPr>
              <w:t>。</w:t>
            </w:r>
          </w:p>
        </w:tc>
        <w:tc>
          <w:tcPr>
            <w:tcW w:w="636" w:type="dxa"/>
            <w:vAlign w:val="center"/>
          </w:tcPr>
          <w:p w14:paraId="25E3E671">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5D8C9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32551500">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3254EB23">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2EFFED10">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角色管理</w:t>
            </w:r>
          </w:p>
        </w:tc>
        <w:tc>
          <w:tcPr>
            <w:tcW w:w="5659" w:type="dxa"/>
          </w:tcPr>
          <w:p w14:paraId="2A0BC8BA">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lang w:eastAsia="zh-CN"/>
              </w:rPr>
            </w:pPr>
            <w:r>
              <w:rPr>
                <w:rFonts w:hint="eastAsia" w:ascii="宋体" w:hAnsi="宋体" w:eastAsia="宋体"/>
                <w:color w:val="auto"/>
                <w:highlight w:val="none"/>
              </w:rPr>
              <w:t>支持配置各系统内各个角色的权限</w:t>
            </w:r>
            <w:r>
              <w:rPr>
                <w:rFonts w:hint="eastAsia" w:ascii="宋体" w:hAnsi="宋体" w:eastAsia="宋体"/>
                <w:color w:val="auto"/>
                <w:highlight w:val="none"/>
                <w:lang w:eastAsia="zh-CN"/>
              </w:rPr>
              <w:t>。</w:t>
            </w:r>
          </w:p>
        </w:tc>
        <w:tc>
          <w:tcPr>
            <w:tcW w:w="636" w:type="dxa"/>
            <w:vAlign w:val="center"/>
          </w:tcPr>
          <w:p w14:paraId="58BB0BE6">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5275A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793FC586">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4B5C023C">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2C0F28CC">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权限管理</w:t>
            </w:r>
          </w:p>
        </w:tc>
        <w:tc>
          <w:tcPr>
            <w:tcW w:w="5659" w:type="dxa"/>
          </w:tcPr>
          <w:p w14:paraId="61989F1C">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支持</w:t>
            </w:r>
            <w:r>
              <w:rPr>
                <w:rFonts w:hint="eastAsia" w:ascii="宋体" w:hAnsi="宋体" w:eastAsia="宋体"/>
                <w:color w:val="auto"/>
                <w:highlight w:val="none"/>
              </w:rPr>
              <w:t>对角色操作权限、用户管理权限、用户操作权限的设置管理。</w:t>
            </w:r>
          </w:p>
        </w:tc>
        <w:tc>
          <w:tcPr>
            <w:tcW w:w="636" w:type="dxa"/>
            <w:vAlign w:val="center"/>
          </w:tcPr>
          <w:p w14:paraId="51F4AF54">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58301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Merge w:val="continue"/>
            <w:vAlign w:val="center"/>
          </w:tcPr>
          <w:p w14:paraId="7466E2E6">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p>
        </w:tc>
        <w:tc>
          <w:tcPr>
            <w:tcW w:w="846" w:type="dxa"/>
            <w:vMerge w:val="continue"/>
            <w:vAlign w:val="center"/>
          </w:tcPr>
          <w:p w14:paraId="3CA13E5D">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p>
        </w:tc>
        <w:tc>
          <w:tcPr>
            <w:tcW w:w="1060" w:type="dxa"/>
            <w:vAlign w:val="center"/>
          </w:tcPr>
          <w:p w14:paraId="6AEE8186">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品目管理</w:t>
            </w:r>
          </w:p>
        </w:tc>
        <w:tc>
          <w:tcPr>
            <w:tcW w:w="5659" w:type="dxa"/>
          </w:tcPr>
          <w:p w14:paraId="5A48C38B">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支持根据政府采购品目分类目录，对采购品目进行统一管理。</w:t>
            </w:r>
          </w:p>
        </w:tc>
        <w:tc>
          <w:tcPr>
            <w:tcW w:w="636" w:type="dxa"/>
            <w:vAlign w:val="center"/>
          </w:tcPr>
          <w:p w14:paraId="3BE7E7B1">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r w14:paraId="0477A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20" w:type="dxa"/>
            <w:vAlign w:val="center"/>
          </w:tcPr>
          <w:p w14:paraId="3E31CFE4">
            <w:pPr>
              <w:pageBreakBefore w:val="0"/>
              <w:widowControl w:val="0"/>
              <w:kinsoku/>
              <w:wordWrap/>
              <w:overflowPunct/>
              <w:topLinePunct w:val="0"/>
              <w:autoSpaceDE/>
              <w:autoSpaceDN/>
              <w:bidi w:val="0"/>
              <w:adjustRightInd/>
              <w:snapToGrid/>
              <w:spacing w:line="312" w:lineRule="auto"/>
              <w:jc w:val="center"/>
              <w:textAlignment w:val="auto"/>
              <w:rPr>
                <w:rFonts w:hint="default" w:ascii="宋体" w:hAnsi="宋体" w:eastAsia="宋体"/>
                <w:color w:val="auto"/>
                <w:highlight w:val="none"/>
                <w:lang w:val="en-US" w:eastAsia="zh-CN"/>
              </w:rPr>
            </w:pPr>
            <w:r>
              <w:rPr>
                <w:rFonts w:hint="eastAsia" w:ascii="宋体" w:hAnsi="宋体" w:eastAsia="宋体"/>
                <w:color w:val="auto"/>
                <w:highlight w:val="none"/>
                <w:lang w:val="en-US" w:eastAsia="zh-CN"/>
              </w:rPr>
              <w:t>22</w:t>
            </w:r>
          </w:p>
        </w:tc>
        <w:tc>
          <w:tcPr>
            <w:tcW w:w="846" w:type="dxa"/>
            <w:vAlign w:val="center"/>
          </w:tcPr>
          <w:p w14:paraId="27530DFC">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预留第三方系统接口</w:t>
            </w:r>
          </w:p>
        </w:tc>
        <w:tc>
          <w:tcPr>
            <w:tcW w:w="1060" w:type="dxa"/>
            <w:vAlign w:val="center"/>
          </w:tcPr>
          <w:p w14:paraId="463F837B">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预留企业微信/公众号接口</w:t>
            </w:r>
          </w:p>
        </w:tc>
        <w:tc>
          <w:tcPr>
            <w:tcW w:w="5659" w:type="dxa"/>
            <w:vAlign w:val="top"/>
          </w:tcPr>
          <w:p w14:paraId="4C45ADE5">
            <w:pPr>
              <w:pageBreakBefore w:val="0"/>
              <w:widowControl w:val="0"/>
              <w:kinsoku/>
              <w:wordWrap/>
              <w:overflowPunct/>
              <w:topLinePunct w:val="0"/>
              <w:autoSpaceDE/>
              <w:autoSpaceDN/>
              <w:bidi w:val="0"/>
              <w:adjustRightInd/>
              <w:snapToGrid/>
              <w:spacing w:line="312" w:lineRule="auto"/>
              <w:jc w:val="left"/>
              <w:textAlignment w:val="auto"/>
              <w:rPr>
                <w:rFonts w:hint="eastAsia" w:ascii="宋体" w:hAnsi="宋体" w:eastAsia="宋体"/>
                <w:color w:val="auto"/>
                <w:highlight w:val="none"/>
              </w:rPr>
            </w:pPr>
            <w:r>
              <w:rPr>
                <w:rFonts w:hint="eastAsia" w:ascii="宋体" w:hAnsi="宋体" w:eastAsia="宋体"/>
                <w:color w:val="auto"/>
                <w:highlight w:val="none"/>
              </w:rPr>
              <w:t>支持与企业微信/</w:t>
            </w:r>
            <w:r>
              <w:rPr>
                <w:rFonts w:hint="eastAsia" w:ascii="宋体" w:hAnsi="宋体" w:eastAsia="宋体"/>
                <w:color w:val="auto"/>
                <w:highlight w:val="none"/>
                <w:lang w:val="en-US" w:eastAsia="zh-CN"/>
              </w:rPr>
              <w:t>公众号</w:t>
            </w:r>
            <w:r>
              <w:rPr>
                <w:rFonts w:hint="eastAsia" w:ascii="宋体" w:hAnsi="宋体" w:eastAsia="宋体"/>
                <w:color w:val="auto"/>
                <w:highlight w:val="none"/>
              </w:rPr>
              <w:t>对接，实时发送待审事项提醒，用户可通过移动端实现移动审批及查询项目信息与进度。</w:t>
            </w:r>
          </w:p>
        </w:tc>
        <w:tc>
          <w:tcPr>
            <w:tcW w:w="636" w:type="dxa"/>
            <w:vAlign w:val="center"/>
          </w:tcPr>
          <w:p w14:paraId="67BC0C30">
            <w:pPr>
              <w:pageBreakBefore w:val="0"/>
              <w:widowControl w:val="0"/>
              <w:kinsoku/>
              <w:wordWrap/>
              <w:overflowPunct/>
              <w:topLinePunct w:val="0"/>
              <w:autoSpaceDE/>
              <w:autoSpaceDN/>
              <w:bidi w:val="0"/>
              <w:adjustRightInd/>
              <w:snapToGrid/>
              <w:spacing w:line="312" w:lineRule="auto"/>
              <w:jc w:val="center"/>
              <w:textAlignment w:val="auto"/>
              <w:rPr>
                <w:rFonts w:hint="eastAsia" w:ascii="宋体" w:hAnsi="宋体" w:eastAsia="宋体"/>
                <w:color w:val="auto"/>
                <w:highlight w:val="none"/>
              </w:rPr>
            </w:pPr>
            <w:r>
              <w:rPr>
                <w:rFonts w:hint="eastAsia" w:ascii="宋体" w:hAnsi="宋体" w:eastAsia="宋体"/>
                <w:color w:val="auto"/>
                <w:highlight w:val="none"/>
                <w:lang w:val="en-US" w:eastAsia="zh-CN"/>
              </w:rPr>
              <w:t>三年</w:t>
            </w:r>
          </w:p>
        </w:tc>
      </w:tr>
    </w:tbl>
    <w:p w14:paraId="525FCD83">
      <w:pPr>
        <w:pStyle w:val="5"/>
        <w:pageBreakBefore w:val="0"/>
        <w:widowControl w:val="0"/>
        <w:kinsoku/>
        <w:wordWrap/>
        <w:overflowPunct/>
        <w:topLinePunct w:val="0"/>
        <w:autoSpaceDE/>
        <w:autoSpaceDN/>
        <w:bidi w:val="0"/>
        <w:adjustRightInd/>
        <w:snapToGrid/>
        <w:spacing w:after="0" w:line="312" w:lineRule="auto"/>
        <w:textAlignment w:val="auto"/>
        <w:rPr>
          <w:color w:val="auto"/>
          <w:lang w:val="en-US"/>
        </w:rPr>
      </w:pPr>
    </w:p>
    <w:p w14:paraId="70F0B6F6">
      <w:pPr>
        <w:pStyle w:val="2"/>
        <w:pageBreakBefore w:val="0"/>
        <w:widowControl w:val="0"/>
        <w:numPr>
          <w:ilvl w:val="0"/>
          <w:numId w:val="0"/>
        </w:numPr>
        <w:kinsoku/>
        <w:wordWrap/>
        <w:overflowPunct/>
        <w:topLinePunct w:val="0"/>
        <w:autoSpaceDE/>
        <w:autoSpaceDN/>
        <w:bidi w:val="0"/>
        <w:adjustRightInd/>
        <w:snapToGrid/>
        <w:spacing w:before="0" w:after="0" w:line="312" w:lineRule="auto"/>
        <w:textAlignment w:val="auto"/>
        <w:rPr>
          <w:rFonts w:hint="eastAsia" w:ascii="宋体" w:hAnsi="宋体"/>
          <w:bCs w:val="0"/>
          <w:color w:val="auto"/>
          <w:sz w:val="32"/>
          <w:szCs w:val="32"/>
          <w:lang w:val="en-US"/>
        </w:rPr>
      </w:pPr>
      <w:r>
        <w:rPr>
          <w:rFonts w:hint="eastAsia" w:ascii="宋体" w:hAnsi="宋体"/>
          <w:bCs w:val="0"/>
          <w:color w:val="auto"/>
          <w:sz w:val="32"/>
          <w:szCs w:val="32"/>
          <w:lang w:val="en-US"/>
        </w:rPr>
        <w:t>三、对接口及系统改造的要求</w:t>
      </w:r>
    </w:p>
    <w:p w14:paraId="25CFEA68">
      <w:pPr>
        <w:pageBreakBefore w:val="0"/>
        <w:widowControl w:val="0"/>
        <w:kinsoku/>
        <w:wordWrap/>
        <w:overflowPunct/>
        <w:topLinePunct w:val="0"/>
        <w:autoSpaceDE/>
        <w:autoSpaceDN/>
        <w:bidi w:val="0"/>
        <w:adjustRightInd/>
        <w:snapToGrid/>
        <w:spacing w:line="312" w:lineRule="auto"/>
        <w:textAlignment w:val="auto"/>
        <w:rPr>
          <w:rFonts w:ascii="宋体" w:hAnsi="宋体" w:eastAsia="宋体" w:cs="宋体"/>
          <w:b/>
          <w:bCs/>
          <w:color w:val="auto"/>
          <w:sz w:val="24"/>
          <w:szCs w:val="24"/>
        </w:rPr>
      </w:pPr>
      <w:r>
        <w:rPr>
          <w:rFonts w:hint="eastAsia" w:ascii="宋体" w:hAnsi="宋体" w:eastAsia="宋体" w:cs="宋体"/>
          <w:b/>
          <w:bCs/>
          <w:color w:val="auto"/>
          <w:sz w:val="24"/>
          <w:szCs w:val="24"/>
        </w:rPr>
        <w:tab/>
      </w:r>
      <w:r>
        <w:rPr>
          <w:rFonts w:hint="eastAsia" w:ascii="宋体" w:hAnsi="宋体" w:eastAsia="宋体" w:cs="宋体"/>
          <w:b/>
          <w:bCs/>
          <w:color w:val="auto"/>
          <w:sz w:val="24"/>
          <w:szCs w:val="24"/>
          <w:lang w:eastAsia="zh-CN"/>
        </w:rPr>
        <w:t>质</w:t>
      </w:r>
      <w:r>
        <w:rPr>
          <w:rFonts w:hint="eastAsia" w:ascii="宋体" w:hAnsi="宋体" w:eastAsia="宋体" w:cs="宋体"/>
          <w:b/>
          <w:bCs/>
          <w:color w:val="auto"/>
          <w:sz w:val="24"/>
          <w:szCs w:val="24"/>
        </w:rPr>
        <w:t>保期和</w:t>
      </w:r>
      <w:r>
        <w:rPr>
          <w:rFonts w:hint="eastAsia" w:ascii="宋体" w:hAnsi="宋体" w:eastAsia="宋体" w:cs="宋体"/>
          <w:b/>
          <w:bCs/>
          <w:color w:val="auto"/>
          <w:sz w:val="24"/>
          <w:szCs w:val="24"/>
          <w:lang w:eastAsia="zh-CN"/>
        </w:rPr>
        <w:t>维</w:t>
      </w:r>
      <w:r>
        <w:rPr>
          <w:rFonts w:hint="eastAsia" w:ascii="宋体" w:hAnsi="宋体" w:eastAsia="宋体" w:cs="宋体"/>
          <w:b/>
          <w:bCs/>
          <w:color w:val="auto"/>
          <w:sz w:val="24"/>
          <w:szCs w:val="24"/>
        </w:rPr>
        <w:t>保期内实现以下要求：</w:t>
      </w:r>
    </w:p>
    <w:p w14:paraId="5CE1E16B">
      <w:pPr>
        <w:pStyle w:val="5"/>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rPr>
      </w:pPr>
      <w:r>
        <w:rPr>
          <w:rFonts w:hint="eastAsia" w:ascii="宋体" w:hAnsi="宋体" w:eastAsia="宋体" w:cs="宋体"/>
          <w:color w:val="auto"/>
          <w:sz w:val="24"/>
          <w:lang w:val="en-US"/>
        </w:rPr>
        <w:t>3.1提供标准API接口技术，实现与医院</w:t>
      </w:r>
      <w:r>
        <w:rPr>
          <w:rFonts w:hint="eastAsia" w:ascii="宋体" w:hAnsi="宋体" w:eastAsia="宋体" w:cs="宋体"/>
          <w:color w:val="auto"/>
          <w:sz w:val="24"/>
          <w:lang w:val="en-US" w:eastAsia="zh-CN"/>
        </w:rPr>
        <w:t>OA系统、</w:t>
      </w:r>
      <w:r>
        <w:rPr>
          <w:rFonts w:hint="eastAsia" w:ascii="宋体" w:hAnsi="宋体" w:eastAsia="宋体" w:cs="宋体"/>
          <w:color w:val="auto"/>
          <w:sz w:val="24"/>
          <w:lang w:val="en-US"/>
        </w:rPr>
        <w:t>企业微信</w:t>
      </w:r>
      <w:r>
        <w:rPr>
          <w:rFonts w:hint="eastAsia" w:ascii="宋体" w:hAnsi="宋体" w:eastAsia="宋体" w:cs="宋体"/>
          <w:color w:val="auto"/>
          <w:sz w:val="24"/>
          <w:lang w:val="en-US" w:eastAsia="zh-CN"/>
        </w:rPr>
        <w:t>、</w:t>
      </w:r>
      <w:r>
        <w:rPr>
          <w:rFonts w:hint="eastAsia" w:ascii="宋体" w:hAnsi="宋体" w:eastAsia="宋体" w:cs="宋体"/>
          <w:color w:val="auto"/>
          <w:sz w:val="24"/>
          <w:lang w:val="en-US"/>
        </w:rPr>
        <w:t>微信公众号</w:t>
      </w:r>
      <w:r>
        <w:rPr>
          <w:rFonts w:hint="eastAsia" w:ascii="宋体" w:hAnsi="宋体" w:eastAsia="宋体" w:cs="宋体"/>
          <w:color w:val="auto"/>
          <w:sz w:val="24"/>
          <w:lang w:val="en-US" w:eastAsia="zh-CN"/>
        </w:rPr>
        <w:t>、官网网站</w:t>
      </w:r>
      <w:r>
        <w:rPr>
          <w:rFonts w:hint="eastAsia" w:ascii="宋体" w:hAnsi="宋体" w:eastAsia="宋体" w:cs="宋体"/>
          <w:color w:val="auto"/>
          <w:sz w:val="24"/>
          <w:lang w:val="en-US"/>
        </w:rPr>
        <w:t>的双向数据交互，包括但不限于：消息推送接口（审批待办通知、审批结果反馈）、身份认证对接接口（企业微信/公众号用户与系统账号关联）、审批流程嵌入接口（在</w:t>
      </w:r>
      <w:r>
        <w:rPr>
          <w:rFonts w:hint="eastAsia" w:ascii="宋体" w:hAnsi="宋体" w:eastAsia="宋体" w:cs="宋体"/>
          <w:color w:val="auto"/>
          <w:sz w:val="24"/>
          <w:lang w:val="en-US" w:eastAsia="zh-CN"/>
        </w:rPr>
        <w:t>医院OA/</w:t>
      </w:r>
      <w:r>
        <w:rPr>
          <w:rFonts w:hint="eastAsia" w:ascii="宋体" w:hAnsi="宋体" w:eastAsia="宋体" w:cs="宋体"/>
          <w:color w:val="auto"/>
          <w:sz w:val="24"/>
          <w:lang w:val="en-US"/>
        </w:rPr>
        <w:t>企业微信/公众号内发起、查看、审批采购流程）。接口形式须支持HTTPS RESTful API及WebService通用接口，保障系统间数据交换的实时性与可靠性。</w:t>
      </w:r>
    </w:p>
    <w:p w14:paraId="70CAD7B0">
      <w:pPr>
        <w:pStyle w:val="5"/>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rPr>
      </w:pPr>
      <w:r>
        <w:rPr>
          <w:rFonts w:hint="eastAsia" w:ascii="宋体" w:hAnsi="宋体" w:eastAsia="宋体" w:cs="宋体"/>
          <w:color w:val="auto"/>
          <w:sz w:val="24"/>
          <w:lang w:val="en-US" w:eastAsia="zh-CN"/>
        </w:rPr>
        <w:t>3.2</w:t>
      </w:r>
      <w:r>
        <w:rPr>
          <w:rFonts w:hint="eastAsia" w:ascii="宋体" w:hAnsi="宋体" w:eastAsia="宋体" w:cs="宋体"/>
          <w:color w:val="auto"/>
          <w:sz w:val="24"/>
          <w:lang w:val="en-US"/>
        </w:rPr>
        <w:t>提供与医院第三方系统统一接口的维护与管理，与智慧运营</w:t>
      </w:r>
      <w:r>
        <w:rPr>
          <w:rFonts w:hint="eastAsia" w:ascii="宋体" w:hAnsi="宋体" w:eastAsia="宋体" w:cs="宋体"/>
          <w:color w:val="auto"/>
          <w:sz w:val="24"/>
          <w:lang w:val="en-US" w:eastAsia="zh-CN"/>
        </w:rPr>
        <w:t>管理</w:t>
      </w:r>
      <w:r>
        <w:rPr>
          <w:rFonts w:hint="eastAsia" w:ascii="宋体" w:hAnsi="宋体" w:eastAsia="宋体" w:cs="宋体"/>
          <w:color w:val="auto"/>
          <w:sz w:val="24"/>
          <w:lang w:val="en-US"/>
        </w:rPr>
        <w:t>平台、</w:t>
      </w:r>
      <w:r>
        <w:rPr>
          <w:rFonts w:hint="eastAsia" w:ascii="宋体" w:hAnsi="宋体" w:eastAsia="宋体" w:cs="宋体"/>
          <w:color w:val="auto"/>
          <w:sz w:val="24"/>
          <w:lang w:val="en-US" w:eastAsia="zh-CN"/>
        </w:rPr>
        <w:t>多院区运营一体化管理平台、多院区后勤一体化管理平台、数据资产平台</w:t>
      </w:r>
      <w:r>
        <w:rPr>
          <w:rFonts w:hint="eastAsia" w:ascii="宋体" w:hAnsi="宋体" w:eastAsia="宋体" w:cs="宋体"/>
          <w:color w:val="auto"/>
          <w:sz w:val="24"/>
          <w:lang w:val="en-US"/>
        </w:rPr>
        <w:t>、</w:t>
      </w:r>
      <w:r>
        <w:rPr>
          <w:rFonts w:hint="eastAsia" w:ascii="宋体" w:hAnsi="宋体" w:eastAsia="宋体" w:cs="宋体"/>
          <w:color w:val="auto"/>
          <w:sz w:val="24"/>
          <w:lang w:val="en-US" w:eastAsia="zh-CN"/>
        </w:rPr>
        <w:t>CA电子签名系统、单点登录系统、</w:t>
      </w:r>
      <w:r>
        <w:rPr>
          <w:rFonts w:hint="eastAsia" w:ascii="宋体" w:hAnsi="宋体" w:eastAsia="宋体" w:cs="宋体"/>
          <w:color w:val="auto"/>
          <w:sz w:val="24"/>
          <w:lang w:val="en-US"/>
        </w:rPr>
        <w:t>人力资源管理系统、财务管理系统、互联网医院、</w:t>
      </w:r>
      <w:r>
        <w:rPr>
          <w:rFonts w:hint="eastAsia" w:ascii="宋体" w:hAnsi="宋体" w:eastAsia="宋体" w:cs="宋体"/>
          <w:color w:val="auto"/>
          <w:sz w:val="24"/>
          <w:lang w:val="en-US" w:eastAsia="zh-CN"/>
        </w:rPr>
        <w:t>SPD耗材管理系统、</w:t>
      </w:r>
      <w:r>
        <w:rPr>
          <w:rFonts w:hint="eastAsia" w:ascii="宋体" w:hAnsi="宋体" w:eastAsia="宋体" w:cs="宋体"/>
          <w:color w:val="auto"/>
          <w:sz w:val="24"/>
          <w:lang w:val="en-US"/>
        </w:rPr>
        <w:t>短信平台、资产域</w:t>
      </w:r>
      <w:r>
        <w:rPr>
          <w:rFonts w:hint="eastAsia" w:ascii="宋体" w:hAnsi="宋体" w:eastAsia="宋体" w:cs="宋体"/>
          <w:color w:val="auto"/>
          <w:sz w:val="24"/>
          <w:lang w:val="en-US" w:eastAsia="zh-CN"/>
        </w:rPr>
        <w:t>系统、档案管理系统、预算系统</w:t>
      </w:r>
      <w:r>
        <w:rPr>
          <w:rFonts w:hint="eastAsia" w:ascii="宋体" w:hAnsi="宋体" w:eastAsia="宋体" w:cs="宋体"/>
          <w:color w:val="auto"/>
          <w:sz w:val="24"/>
          <w:lang w:val="en-US"/>
        </w:rPr>
        <w:t>等其他所有医院相关业务系统（包括以上医院系统但不仅限于以上系统）进行接口对接，实现数据交换。实现采购管理系统与医院移动端平台（企业微信/公众号）的深度集成，确保审批人可在移动端完成采购申请审批、合同审批等核心审批操作，审批状态与PC端实时同步。</w:t>
      </w:r>
    </w:p>
    <w:p w14:paraId="419B8EA3">
      <w:pPr>
        <w:pStyle w:val="5"/>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rPr>
        <w:t>3.</w:t>
      </w:r>
      <w:r>
        <w:rPr>
          <w:rFonts w:hint="eastAsia" w:ascii="宋体" w:hAnsi="宋体" w:eastAsia="宋体" w:cs="宋体"/>
          <w:color w:val="auto"/>
          <w:sz w:val="24"/>
          <w:lang w:val="en-US" w:eastAsia="zh-CN"/>
        </w:rPr>
        <w:t>3</w:t>
      </w:r>
      <w:r>
        <w:rPr>
          <w:rFonts w:hint="eastAsia" w:ascii="宋体" w:hAnsi="宋体" w:eastAsia="宋体" w:cs="宋体"/>
          <w:color w:val="auto"/>
          <w:sz w:val="24"/>
          <w:lang w:val="en-US"/>
        </w:rPr>
        <w:t>所供系统须满足信息系统安全等级保护三级测评相关安全要求，功能设计须符合《医院智慧管理分级评估标准体系》中采购管理相关评估域的要求，并满足医院网络攻防演练中的安全防护要求。</w:t>
      </w:r>
      <w:r>
        <w:rPr>
          <w:rFonts w:hint="eastAsia" w:ascii="宋体" w:hAnsi="宋体" w:eastAsia="宋体" w:cs="宋体"/>
          <w:color w:val="auto"/>
          <w:sz w:val="24"/>
          <w:lang w:val="en-US" w:eastAsia="zh-CN"/>
        </w:rPr>
        <w:t>满足</w:t>
      </w:r>
      <w:r>
        <w:rPr>
          <w:rFonts w:hint="eastAsia" w:ascii="宋体" w:hAnsi="宋体" w:eastAsia="宋体" w:cs="宋体"/>
          <w:color w:val="auto"/>
          <w:sz w:val="24"/>
          <w:lang w:val="en-US"/>
        </w:rPr>
        <w:t>医院智慧服务分级评估标准体系达到4级以上相关的功能要求、医院智慧管理分级评估标准体系达到4级以上相关的功能要求</w:t>
      </w:r>
      <w:r>
        <w:rPr>
          <w:rFonts w:hint="eastAsia" w:ascii="宋体" w:hAnsi="宋体" w:eastAsia="宋体" w:cstheme="minorBidi"/>
          <w:color w:val="auto"/>
          <w:kern w:val="2"/>
          <w:sz w:val="24"/>
          <w:szCs w:val="24"/>
          <w:lang w:val="en-US" w:eastAsia="zh-CN" w:bidi="ar-SA"/>
        </w:rPr>
        <w:t>。</w:t>
      </w:r>
    </w:p>
    <w:p w14:paraId="64169500">
      <w:pPr>
        <w:pStyle w:val="5"/>
        <w:pageBreakBefore w:val="0"/>
        <w:widowControl w:val="0"/>
        <w:kinsoku/>
        <w:wordWrap/>
        <w:overflowPunct/>
        <w:topLinePunct w:val="0"/>
        <w:autoSpaceDE/>
        <w:autoSpaceDN/>
        <w:bidi w:val="0"/>
        <w:adjustRightInd/>
        <w:snapToGrid/>
        <w:spacing w:after="0" w:line="312" w:lineRule="auto"/>
        <w:ind w:firstLine="420"/>
        <w:textAlignment w:val="auto"/>
        <w:rPr>
          <w:rFonts w:ascii="宋体" w:hAnsi="宋体" w:eastAsia="宋体" w:cs="宋体"/>
          <w:color w:val="auto"/>
          <w:sz w:val="24"/>
          <w:lang w:val="en-US"/>
        </w:rPr>
      </w:pPr>
      <w:r>
        <w:rPr>
          <w:rFonts w:hint="eastAsia" w:ascii="宋体" w:hAnsi="宋体" w:eastAsia="宋体" w:cs="宋体"/>
          <w:color w:val="auto"/>
          <w:sz w:val="24"/>
          <w:lang w:val="en-US"/>
        </w:rPr>
        <w:t>3.4提供软件升级及个性化修改服务，实现</w:t>
      </w:r>
      <w:r>
        <w:rPr>
          <w:rFonts w:hint="eastAsia" w:ascii="宋体" w:hAnsi="宋体" w:eastAsia="宋体" w:cs="宋体"/>
          <w:color w:val="auto"/>
          <w:sz w:val="24"/>
          <w:lang w:val="en-US" w:eastAsia="zh-CN"/>
        </w:rPr>
        <w:t>采购人</w:t>
      </w:r>
      <w:r>
        <w:rPr>
          <w:rFonts w:hint="eastAsia" w:ascii="宋体" w:hAnsi="宋体" w:eastAsia="宋体" w:cs="宋体"/>
          <w:color w:val="auto"/>
          <w:sz w:val="24"/>
          <w:lang w:val="en-US"/>
        </w:rPr>
        <w:t>的个性化需求；软件自身错误类问题提供永久性修改服务；</w:t>
      </w:r>
    </w:p>
    <w:p w14:paraId="36FC14C7">
      <w:pPr>
        <w:pStyle w:val="13"/>
        <w:spacing w:line="360" w:lineRule="auto"/>
        <w:ind w:left="0" w:leftChars="0" w:firstLine="420" w:firstLineChars="0"/>
        <w:rPr>
          <w:rFonts w:hint="eastAsia" w:ascii="宋体" w:hAnsi="宋体" w:eastAsia="宋体" w:cs="宋体"/>
          <w:color w:val="auto"/>
          <w:sz w:val="24"/>
          <w:lang w:val="en-US"/>
        </w:rPr>
      </w:pPr>
      <w:r>
        <w:rPr>
          <w:rFonts w:hint="eastAsia" w:ascii="宋体" w:hAnsi="宋体" w:eastAsia="宋体"/>
          <w:color w:val="auto"/>
          <w:sz w:val="24"/>
          <w:szCs w:val="24"/>
          <w:lang w:val="en-US" w:eastAsia="zh-CN"/>
        </w:rPr>
        <w:t>3</w:t>
      </w:r>
      <w:r>
        <w:rPr>
          <w:rFonts w:hint="eastAsia" w:ascii="宋体" w:hAnsi="宋体" w:eastAsia="宋体"/>
          <w:color w:val="auto"/>
          <w:sz w:val="24"/>
          <w:szCs w:val="24"/>
        </w:rPr>
        <w:t>.</w:t>
      </w:r>
      <w:r>
        <w:rPr>
          <w:rFonts w:hint="eastAsia" w:ascii="宋体" w:hAnsi="宋体" w:eastAsia="宋体"/>
          <w:color w:val="auto"/>
          <w:sz w:val="24"/>
          <w:szCs w:val="24"/>
          <w:lang w:val="en-US" w:eastAsia="zh-CN"/>
        </w:rPr>
        <w:t>5</w:t>
      </w:r>
      <w:r>
        <w:rPr>
          <w:rFonts w:hint="eastAsia" w:ascii="宋体" w:hAnsi="宋体" w:eastAsia="宋体"/>
          <w:color w:val="auto"/>
          <w:sz w:val="24"/>
          <w:szCs w:val="24"/>
        </w:rPr>
        <w:t>若医院更换已对接的业务系统、</w:t>
      </w:r>
      <w:r>
        <w:rPr>
          <w:rFonts w:hint="eastAsia" w:ascii="宋体" w:hAnsi="宋体" w:eastAsia="宋体"/>
          <w:color w:val="auto"/>
          <w:sz w:val="24"/>
          <w:szCs w:val="24"/>
          <w:lang w:eastAsia="zh-CN"/>
        </w:rPr>
        <w:t>供应商</w:t>
      </w:r>
      <w:r>
        <w:rPr>
          <w:rFonts w:hint="eastAsia" w:ascii="宋体" w:hAnsi="宋体" w:eastAsia="宋体"/>
          <w:color w:val="auto"/>
          <w:sz w:val="24"/>
          <w:szCs w:val="24"/>
        </w:rPr>
        <w:t>须提供与新业务系统的对接及联调服务。</w:t>
      </w:r>
    </w:p>
    <w:p w14:paraId="0356DBD9">
      <w:pPr>
        <w:pStyle w:val="5"/>
        <w:pageBreakBefore w:val="0"/>
        <w:widowControl w:val="0"/>
        <w:kinsoku/>
        <w:wordWrap/>
        <w:overflowPunct/>
        <w:topLinePunct w:val="0"/>
        <w:autoSpaceDE/>
        <w:autoSpaceDN/>
        <w:bidi w:val="0"/>
        <w:adjustRightInd/>
        <w:snapToGrid/>
        <w:spacing w:after="0" w:line="312" w:lineRule="auto"/>
        <w:ind w:firstLine="420"/>
        <w:textAlignment w:val="auto"/>
        <w:rPr>
          <w:rFonts w:hint="default" w:ascii="宋体" w:hAnsi="宋体" w:eastAsia="宋体" w:cstheme="minorBidi"/>
          <w:color w:val="auto"/>
          <w:kern w:val="2"/>
          <w:sz w:val="24"/>
          <w:szCs w:val="24"/>
          <w:lang w:val="en-US" w:eastAsia="zh-CN" w:bidi="ar-SA"/>
        </w:rPr>
      </w:pPr>
      <w:r>
        <w:rPr>
          <w:rFonts w:hint="eastAsia" w:ascii="宋体" w:hAnsi="宋体" w:eastAsia="宋体" w:cstheme="minorBidi"/>
          <w:color w:val="auto"/>
          <w:kern w:val="2"/>
          <w:sz w:val="24"/>
          <w:szCs w:val="24"/>
          <w:lang w:val="en-US" w:eastAsia="zh-CN" w:bidi="ar-SA"/>
        </w:rPr>
        <w:t>3.6项目软硬件系统不限定用户数、并发数、不限定医疗集团内部及院区使用。</w:t>
      </w:r>
    </w:p>
    <w:p w14:paraId="7EF92BC8">
      <w:pPr>
        <w:pStyle w:val="2"/>
        <w:pageBreakBefore w:val="0"/>
        <w:widowControl w:val="0"/>
        <w:numPr>
          <w:ilvl w:val="0"/>
          <w:numId w:val="0"/>
        </w:numPr>
        <w:kinsoku/>
        <w:wordWrap/>
        <w:overflowPunct/>
        <w:topLinePunct w:val="0"/>
        <w:autoSpaceDE/>
        <w:autoSpaceDN/>
        <w:bidi w:val="0"/>
        <w:adjustRightInd/>
        <w:snapToGrid/>
        <w:spacing w:before="0" w:after="0" w:line="312" w:lineRule="auto"/>
        <w:textAlignment w:val="auto"/>
        <w:rPr>
          <w:rFonts w:hint="eastAsia" w:ascii="宋体" w:hAnsi="宋体"/>
          <w:bCs w:val="0"/>
          <w:color w:val="auto"/>
          <w:sz w:val="32"/>
          <w:szCs w:val="32"/>
        </w:rPr>
      </w:pPr>
      <w:r>
        <w:rPr>
          <w:rFonts w:hint="eastAsia" w:ascii="宋体" w:hAnsi="宋体"/>
          <w:bCs w:val="0"/>
          <w:color w:val="auto"/>
          <w:sz w:val="32"/>
          <w:szCs w:val="32"/>
        </w:rPr>
        <w:t>四、项目实施要求</w:t>
      </w:r>
    </w:p>
    <w:p w14:paraId="6DF292AA">
      <w:pPr>
        <w:pStyle w:val="5"/>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rPr>
      </w:pPr>
      <w:r>
        <w:rPr>
          <w:rFonts w:hint="eastAsia" w:ascii="宋体" w:hAnsi="宋体" w:eastAsia="宋体" w:cs="宋体"/>
          <w:color w:val="auto"/>
          <w:sz w:val="24"/>
          <w:lang w:val="en-US"/>
        </w:rPr>
        <w:t>4.1实施工期要求：合同签订后，7个工作日内项目实施人员必须进场</w:t>
      </w:r>
      <w:r>
        <w:rPr>
          <w:rFonts w:hint="eastAsia" w:ascii="宋体" w:hAnsi="宋体" w:eastAsia="宋体" w:cs="宋体"/>
          <w:color w:val="auto"/>
          <w:sz w:val="24"/>
          <w:lang w:val="en-US" w:eastAsia="zh-CN"/>
        </w:rPr>
        <w:t>，系统需在6</w:t>
      </w:r>
      <w:r>
        <w:rPr>
          <w:rFonts w:hint="eastAsia" w:ascii="宋体" w:hAnsi="宋体" w:eastAsia="宋体" w:cs="宋体"/>
          <w:color w:val="auto"/>
          <w:sz w:val="24"/>
          <w:lang w:val="en-US"/>
        </w:rPr>
        <w:t>个月内完成项目实施上线</w:t>
      </w:r>
      <w:r>
        <w:rPr>
          <w:rFonts w:hint="eastAsia" w:ascii="宋体" w:hAnsi="宋体" w:eastAsia="宋体" w:cs="宋体"/>
          <w:color w:val="auto"/>
          <w:sz w:val="24"/>
          <w:lang w:val="en-US" w:eastAsia="zh-CN"/>
        </w:rPr>
        <w:t>，请分别列出每个系统实施的工作计划及周期</w:t>
      </w:r>
      <w:r>
        <w:rPr>
          <w:rFonts w:hint="eastAsia" w:ascii="宋体" w:hAnsi="宋体" w:eastAsia="宋体" w:cs="宋体"/>
          <w:color w:val="auto"/>
          <w:sz w:val="24"/>
          <w:lang w:val="en-US"/>
        </w:rPr>
        <w:t>。</w:t>
      </w:r>
    </w:p>
    <w:p w14:paraId="7B27F763">
      <w:pPr>
        <w:pStyle w:val="5"/>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rPr>
        <w:t>4.2</w:t>
      </w:r>
      <w:r>
        <w:rPr>
          <w:rFonts w:hint="eastAsia" w:ascii="宋体" w:hAnsi="宋体" w:eastAsia="宋体" w:cs="宋体"/>
          <w:color w:val="auto"/>
          <w:sz w:val="24"/>
          <w:lang w:val="en-US" w:eastAsia="zh-CN"/>
        </w:rPr>
        <w:t>实施</w:t>
      </w:r>
      <w:r>
        <w:rPr>
          <w:rFonts w:hint="eastAsia" w:ascii="宋体" w:hAnsi="宋体" w:eastAsia="宋体" w:cs="宋体"/>
          <w:color w:val="auto"/>
          <w:sz w:val="24"/>
          <w:lang w:val="en-US"/>
        </w:rPr>
        <w:t>人员要求：</w:t>
      </w:r>
    </w:p>
    <w:p w14:paraId="67A61D59">
      <w:pPr>
        <w:pStyle w:val="5"/>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实施工程师：</w:t>
      </w:r>
      <w:r>
        <w:rPr>
          <w:rFonts w:hint="eastAsia" w:ascii="宋体" w:hAnsi="宋体" w:eastAsia="宋体" w:cs="宋体"/>
          <w:color w:val="auto"/>
          <w:sz w:val="24"/>
          <w:lang w:val="en-US"/>
        </w:rPr>
        <w:t>项目实施</w:t>
      </w:r>
      <w:r>
        <w:rPr>
          <w:rFonts w:hint="eastAsia" w:ascii="宋体" w:hAnsi="宋体" w:eastAsia="宋体" w:cs="宋体"/>
          <w:color w:val="auto"/>
          <w:sz w:val="24"/>
          <w:lang w:val="en-US" w:eastAsia="zh-CN"/>
        </w:rPr>
        <w:t>工程师</w:t>
      </w:r>
      <w:r>
        <w:rPr>
          <w:rFonts w:hint="eastAsia" w:ascii="宋体" w:hAnsi="宋体" w:eastAsia="宋体" w:cs="宋体"/>
          <w:color w:val="auto"/>
          <w:sz w:val="24"/>
          <w:lang w:val="en-US"/>
        </w:rPr>
        <w:t>需有2年以上</w:t>
      </w:r>
      <w:r>
        <w:rPr>
          <w:rFonts w:hint="eastAsia" w:ascii="宋体" w:hAnsi="宋体" w:eastAsia="宋体" w:cs="宋体"/>
          <w:color w:val="auto"/>
          <w:sz w:val="24"/>
          <w:lang w:val="en-US" w:eastAsia="zh-CN"/>
        </w:rPr>
        <w:t>本厂商</w:t>
      </w:r>
      <w:r>
        <w:rPr>
          <w:rFonts w:hint="eastAsia" w:ascii="宋体" w:hAnsi="宋体" w:eastAsia="宋体" w:cs="宋体"/>
          <w:color w:val="auto"/>
          <w:sz w:val="24"/>
          <w:lang w:val="en-US"/>
        </w:rPr>
        <w:t>同等项目实施经验</w:t>
      </w:r>
      <w:r>
        <w:rPr>
          <w:rFonts w:hint="eastAsia" w:ascii="宋体" w:hAnsi="宋体" w:eastAsia="宋体" w:cs="宋体"/>
          <w:color w:val="auto"/>
          <w:sz w:val="24"/>
          <w:lang w:val="en-US" w:eastAsia="zh-CN"/>
        </w:rPr>
        <w:t>。</w:t>
      </w:r>
      <w:r>
        <w:rPr>
          <w:rFonts w:hint="eastAsia" w:ascii="宋体" w:hAnsi="宋体" w:eastAsia="宋体" w:cs="宋体"/>
          <w:color w:val="auto"/>
          <w:sz w:val="24"/>
          <w:lang w:val="en-US"/>
        </w:rPr>
        <w:t>项目实施</w:t>
      </w:r>
      <w:r>
        <w:rPr>
          <w:rFonts w:hint="eastAsia" w:ascii="宋体" w:hAnsi="宋体" w:eastAsia="宋体" w:cs="宋体"/>
          <w:color w:val="auto"/>
          <w:sz w:val="24"/>
          <w:lang w:val="en-US" w:eastAsia="zh-CN"/>
        </w:rPr>
        <w:t>阶段</w:t>
      </w:r>
      <w:r>
        <w:rPr>
          <w:rFonts w:hint="eastAsia" w:ascii="宋体" w:hAnsi="宋体" w:eastAsia="宋体" w:cs="宋体"/>
          <w:color w:val="auto"/>
          <w:sz w:val="24"/>
          <w:lang w:val="en-US"/>
        </w:rPr>
        <w:t>，实施</w:t>
      </w:r>
      <w:r>
        <w:rPr>
          <w:rFonts w:hint="eastAsia" w:ascii="宋体" w:hAnsi="宋体" w:eastAsia="宋体" w:cs="宋体"/>
          <w:color w:val="auto"/>
          <w:sz w:val="24"/>
          <w:lang w:val="en-US" w:eastAsia="zh-CN"/>
        </w:rPr>
        <w:t>工程师</w:t>
      </w:r>
      <w:r>
        <w:rPr>
          <w:rFonts w:hint="eastAsia" w:ascii="宋体" w:hAnsi="宋体" w:eastAsia="宋体" w:cs="宋体"/>
          <w:color w:val="auto"/>
          <w:sz w:val="24"/>
          <w:lang w:val="en-US"/>
        </w:rPr>
        <w:t>不得少于</w:t>
      </w:r>
      <w:r>
        <w:rPr>
          <w:rFonts w:hint="eastAsia" w:ascii="宋体" w:hAnsi="宋体" w:eastAsia="宋体" w:cs="宋体"/>
          <w:color w:val="auto"/>
          <w:sz w:val="24"/>
          <w:lang w:val="en-US" w:eastAsia="zh-CN"/>
        </w:rPr>
        <w:t>2</w:t>
      </w:r>
      <w:r>
        <w:rPr>
          <w:rFonts w:hint="eastAsia" w:ascii="宋体" w:hAnsi="宋体" w:eastAsia="宋体" w:cs="宋体"/>
          <w:color w:val="auto"/>
          <w:sz w:val="24"/>
          <w:lang w:val="en-US"/>
        </w:rPr>
        <w:t>名</w:t>
      </w:r>
      <w:r>
        <w:rPr>
          <w:rFonts w:hint="eastAsia" w:ascii="宋体" w:hAnsi="宋体" w:eastAsia="宋体" w:cs="宋体"/>
          <w:color w:val="auto"/>
          <w:sz w:val="24"/>
          <w:lang w:val="en-US" w:eastAsia="zh-CN"/>
        </w:rPr>
        <w:t>。</w:t>
      </w:r>
    </w:p>
    <w:p w14:paraId="3DA70375">
      <w:pPr>
        <w:pStyle w:val="5"/>
        <w:pageBreakBefore w:val="0"/>
        <w:widowControl w:val="0"/>
        <w:kinsoku/>
        <w:wordWrap/>
        <w:overflowPunct/>
        <w:topLinePunct w:val="0"/>
        <w:autoSpaceDE/>
        <w:autoSpaceDN/>
        <w:bidi w:val="0"/>
        <w:adjustRightInd/>
        <w:snapToGrid/>
        <w:spacing w:after="0" w:line="312" w:lineRule="auto"/>
        <w:ind w:firstLine="420"/>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开发工程师：</w:t>
      </w:r>
      <w:r>
        <w:rPr>
          <w:rFonts w:hint="eastAsia" w:ascii="宋体" w:hAnsi="宋体" w:eastAsia="宋体" w:cs="宋体"/>
          <w:color w:val="auto"/>
          <w:sz w:val="24"/>
          <w:lang w:val="en-US"/>
        </w:rPr>
        <w:t>项目开发工程师需有</w:t>
      </w:r>
      <w:r>
        <w:rPr>
          <w:rFonts w:hint="eastAsia" w:ascii="宋体" w:hAnsi="宋体" w:eastAsia="宋体" w:cs="宋体"/>
          <w:color w:val="auto"/>
          <w:sz w:val="24"/>
          <w:lang w:val="en-US" w:eastAsia="zh-CN"/>
        </w:rPr>
        <w:t>2</w:t>
      </w:r>
      <w:r>
        <w:rPr>
          <w:rFonts w:hint="eastAsia" w:ascii="宋体" w:hAnsi="宋体" w:eastAsia="宋体" w:cs="宋体"/>
          <w:color w:val="auto"/>
          <w:sz w:val="24"/>
          <w:lang w:val="en-US"/>
        </w:rPr>
        <w:t>年以上</w:t>
      </w:r>
      <w:r>
        <w:rPr>
          <w:rFonts w:hint="eastAsia" w:ascii="宋体" w:hAnsi="宋体" w:eastAsia="宋体" w:cs="宋体"/>
          <w:color w:val="auto"/>
          <w:sz w:val="24"/>
          <w:lang w:val="en-US" w:eastAsia="zh-CN"/>
        </w:rPr>
        <w:t>本厂商</w:t>
      </w:r>
      <w:r>
        <w:rPr>
          <w:rFonts w:hint="eastAsia" w:ascii="宋体" w:hAnsi="宋体" w:eastAsia="宋体" w:cs="宋体"/>
          <w:color w:val="auto"/>
          <w:sz w:val="24"/>
          <w:lang w:val="en-US"/>
        </w:rPr>
        <w:t>同类型项目开发经验</w:t>
      </w:r>
      <w:r>
        <w:rPr>
          <w:rFonts w:hint="eastAsia" w:ascii="宋体" w:hAnsi="宋体" w:eastAsia="宋体" w:cs="宋体"/>
          <w:color w:val="auto"/>
          <w:sz w:val="24"/>
          <w:lang w:val="en-US" w:eastAsia="zh-CN"/>
        </w:rPr>
        <w:t>。</w:t>
      </w:r>
      <w:r>
        <w:rPr>
          <w:rFonts w:hint="eastAsia" w:ascii="宋体" w:hAnsi="宋体" w:eastAsia="宋体" w:cs="宋体"/>
          <w:color w:val="auto"/>
          <w:sz w:val="24"/>
          <w:lang w:val="en-US"/>
        </w:rPr>
        <w:t>项目</w:t>
      </w:r>
      <w:r>
        <w:rPr>
          <w:rFonts w:hint="eastAsia" w:ascii="宋体" w:hAnsi="宋体" w:eastAsia="宋体" w:cs="宋体"/>
          <w:color w:val="auto"/>
          <w:sz w:val="24"/>
          <w:lang w:val="en-US" w:eastAsia="zh-CN"/>
        </w:rPr>
        <w:t>若无法按实施计划正常开展工作和落地实施的，需安排原厂开发人员、增加实施工程师。</w:t>
      </w:r>
    </w:p>
    <w:p w14:paraId="56223E86">
      <w:pPr>
        <w:pStyle w:val="5"/>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rPr>
        <w:t>如需更换</w:t>
      </w:r>
      <w:r>
        <w:rPr>
          <w:rFonts w:hint="eastAsia" w:ascii="宋体" w:hAnsi="宋体" w:eastAsia="宋体" w:cs="宋体"/>
          <w:color w:val="auto"/>
          <w:sz w:val="24"/>
          <w:lang w:val="en-US" w:eastAsia="zh-CN"/>
        </w:rPr>
        <w:t>开发工程师、实施工程师</w:t>
      </w:r>
      <w:r>
        <w:rPr>
          <w:rFonts w:hint="eastAsia" w:ascii="宋体" w:hAnsi="宋体" w:eastAsia="宋体" w:cs="宋体"/>
          <w:color w:val="auto"/>
          <w:sz w:val="24"/>
          <w:lang w:val="en-US"/>
        </w:rPr>
        <w:t>，</w:t>
      </w:r>
      <w:r>
        <w:rPr>
          <w:rFonts w:hint="eastAsia" w:ascii="宋体" w:hAnsi="宋体" w:eastAsia="宋体" w:cs="宋体"/>
          <w:color w:val="auto"/>
          <w:sz w:val="24"/>
          <w:lang w:val="en-US" w:eastAsia="zh-CN"/>
        </w:rPr>
        <w:t>厂商</w:t>
      </w:r>
      <w:r>
        <w:rPr>
          <w:rFonts w:hint="eastAsia" w:ascii="宋体" w:hAnsi="宋体" w:eastAsia="宋体" w:cs="宋体"/>
          <w:color w:val="auto"/>
          <w:sz w:val="24"/>
          <w:lang w:val="en-US"/>
        </w:rPr>
        <w:t>需提交书面申请，经</w:t>
      </w:r>
      <w:r>
        <w:rPr>
          <w:rFonts w:hint="eastAsia" w:ascii="宋体" w:hAnsi="宋体" w:eastAsia="宋体" w:cs="宋体"/>
          <w:color w:val="auto"/>
          <w:sz w:val="24"/>
          <w:lang w:val="en-US" w:eastAsia="zh-CN"/>
        </w:rPr>
        <w:t>采购人</w:t>
      </w:r>
      <w:r>
        <w:rPr>
          <w:rFonts w:hint="eastAsia" w:ascii="宋体" w:hAnsi="宋体" w:eastAsia="宋体" w:cs="宋体"/>
          <w:color w:val="auto"/>
          <w:sz w:val="24"/>
          <w:lang w:val="en-US"/>
        </w:rPr>
        <w:t>同意才可更换。</w:t>
      </w:r>
    </w:p>
    <w:p w14:paraId="2AE6A54D">
      <w:pPr>
        <w:pStyle w:val="5"/>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竞标文件中需提供软件提供商项目实施人员清单，清单中标明人员详细信息，如姓名、联系方式、技术职称等。</w:t>
      </w:r>
    </w:p>
    <w:p w14:paraId="20A35115">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4.3</w:t>
      </w:r>
      <w:r>
        <w:rPr>
          <w:rFonts w:hint="eastAsia" w:ascii="宋体" w:hAnsi="宋体" w:eastAsia="宋体" w:cs="宋体"/>
          <w:color w:val="auto"/>
          <w:sz w:val="24"/>
          <w:szCs w:val="24"/>
        </w:rPr>
        <w:t>因厂商与</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存在对需求理解有差异的可能性，要求所有软件功能需求的响应以</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意见为准</w:t>
      </w:r>
      <w:r>
        <w:rPr>
          <w:rFonts w:hint="eastAsia" w:ascii="宋体" w:hAnsi="宋体" w:eastAsia="宋体" w:cs="宋体"/>
          <w:color w:val="auto"/>
          <w:sz w:val="24"/>
          <w:szCs w:val="24"/>
          <w:lang w:eastAsia="zh-CN"/>
        </w:rPr>
        <w:t>。</w:t>
      </w:r>
    </w:p>
    <w:p w14:paraId="2EAC4059">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4.4培训要求：</w:t>
      </w:r>
    </w:p>
    <w:p w14:paraId="4BA05FAF">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color w:val="auto"/>
          <w:lang w:val="en-US"/>
        </w:rPr>
      </w:pPr>
      <w:r>
        <w:rPr>
          <w:rFonts w:hint="eastAsia" w:ascii="宋体" w:hAnsi="宋体" w:eastAsia="宋体" w:cs="宋体"/>
          <w:color w:val="auto"/>
          <w:sz w:val="24"/>
          <w:szCs w:val="24"/>
          <w:lang w:val="en-US" w:eastAsia="zh-CN"/>
        </w:rPr>
        <w:t>培训应至少包括但不限于：软件系统的安装、部署、维护方法、系统的功能使用培训；</w:t>
      </w:r>
    </w:p>
    <w:p w14:paraId="1E362F11">
      <w:pPr>
        <w:pStyle w:val="2"/>
        <w:pageBreakBefore w:val="0"/>
        <w:widowControl w:val="0"/>
        <w:numPr>
          <w:ilvl w:val="0"/>
          <w:numId w:val="0"/>
        </w:numPr>
        <w:kinsoku/>
        <w:wordWrap/>
        <w:overflowPunct/>
        <w:topLinePunct w:val="0"/>
        <w:autoSpaceDE/>
        <w:autoSpaceDN/>
        <w:bidi w:val="0"/>
        <w:adjustRightInd/>
        <w:snapToGrid/>
        <w:spacing w:before="0" w:after="0" w:line="312" w:lineRule="auto"/>
        <w:textAlignment w:val="auto"/>
        <w:rPr>
          <w:rFonts w:ascii="宋体" w:hAnsi="宋体"/>
          <w:bCs w:val="0"/>
          <w:color w:val="auto"/>
          <w:sz w:val="32"/>
          <w:szCs w:val="32"/>
        </w:rPr>
      </w:pPr>
      <w:r>
        <w:rPr>
          <w:rFonts w:hint="eastAsia" w:ascii="宋体" w:hAnsi="宋体"/>
          <w:bCs w:val="0"/>
          <w:color w:val="auto"/>
          <w:sz w:val="32"/>
          <w:szCs w:val="32"/>
        </w:rPr>
        <w:t>五、</w:t>
      </w:r>
      <w:r>
        <w:rPr>
          <w:rFonts w:hint="eastAsia" w:ascii="宋体" w:hAnsi="宋体"/>
          <w:bCs w:val="0"/>
          <w:color w:val="auto"/>
          <w:sz w:val="32"/>
          <w:szCs w:val="32"/>
          <w:lang w:eastAsia="zh-CN"/>
        </w:rPr>
        <w:t>售后</w:t>
      </w:r>
      <w:r>
        <w:rPr>
          <w:rFonts w:hint="eastAsia" w:ascii="宋体" w:hAnsi="宋体"/>
          <w:bCs w:val="0"/>
          <w:color w:val="auto"/>
          <w:sz w:val="32"/>
          <w:szCs w:val="32"/>
        </w:rPr>
        <w:t>服务及其他要求</w:t>
      </w:r>
    </w:p>
    <w:p w14:paraId="79AFD9B4">
      <w:pPr>
        <w:pageBreakBefore w:val="0"/>
        <w:widowControl w:val="0"/>
        <w:kinsoku/>
        <w:wordWrap/>
        <w:overflowPunct/>
        <w:topLinePunct w:val="0"/>
        <w:autoSpaceDE/>
        <w:autoSpaceDN/>
        <w:bidi w:val="0"/>
        <w:adjustRightInd/>
        <w:snapToGrid/>
        <w:spacing w:line="312" w:lineRule="auto"/>
        <w:ind w:firstLine="420"/>
        <w:jc w:val="left"/>
        <w:textAlignment w:val="auto"/>
        <w:rPr>
          <w:rFonts w:hint="eastAsia" w:ascii="宋体" w:hAnsi="宋体" w:cs="宋体"/>
          <w:color w:val="auto"/>
          <w:sz w:val="24"/>
          <w:szCs w:val="24"/>
        </w:rPr>
      </w:pPr>
      <w:r>
        <w:rPr>
          <w:rFonts w:hint="eastAsia" w:ascii="宋体" w:hAnsi="宋体" w:cs="宋体"/>
          <w:color w:val="auto"/>
          <w:sz w:val="24"/>
          <w:szCs w:val="24"/>
        </w:rPr>
        <w:t>5.1自本项目整体最终验收之日起，所有产品要求提供三年的</w:t>
      </w:r>
      <w:r>
        <w:rPr>
          <w:rFonts w:hint="eastAsia" w:ascii="宋体" w:hAnsi="宋体" w:cs="宋体"/>
          <w:color w:val="auto"/>
          <w:sz w:val="24"/>
          <w:szCs w:val="24"/>
          <w:lang w:eastAsia="zh-CN"/>
        </w:rPr>
        <w:t>质</w:t>
      </w:r>
      <w:r>
        <w:rPr>
          <w:rFonts w:hint="eastAsia" w:ascii="宋体" w:hAnsi="宋体" w:cs="宋体"/>
          <w:color w:val="auto"/>
          <w:sz w:val="24"/>
          <w:szCs w:val="24"/>
        </w:rPr>
        <w:t>保服务。含软硬件维护和系统软件升级</w:t>
      </w:r>
      <w:r>
        <w:rPr>
          <w:rFonts w:hint="eastAsia" w:ascii="宋体" w:hAnsi="宋体" w:cs="宋体"/>
          <w:color w:val="auto"/>
          <w:sz w:val="24"/>
          <w:szCs w:val="24"/>
          <w:lang w:eastAsia="zh-CN"/>
        </w:rPr>
        <w:t>、系统</w:t>
      </w:r>
      <w:r>
        <w:rPr>
          <w:rFonts w:hint="eastAsia" w:ascii="宋体" w:hAnsi="宋体" w:cs="宋体"/>
          <w:color w:val="auto"/>
          <w:sz w:val="24"/>
          <w:szCs w:val="24"/>
          <w:lang w:val="en-US" w:eastAsia="zh-CN"/>
        </w:rPr>
        <w:t>BUG及漏洞修复</w:t>
      </w:r>
      <w:r>
        <w:rPr>
          <w:rFonts w:hint="eastAsia" w:ascii="宋体" w:hAnsi="宋体" w:cs="宋体"/>
          <w:color w:val="auto"/>
          <w:sz w:val="24"/>
          <w:szCs w:val="24"/>
        </w:rPr>
        <w:t>、技术支持服务、系统管理及操作培训</w:t>
      </w:r>
      <w:r>
        <w:rPr>
          <w:rFonts w:hint="eastAsia" w:ascii="宋体" w:hAnsi="宋体" w:cs="宋体"/>
          <w:color w:val="auto"/>
          <w:sz w:val="24"/>
          <w:szCs w:val="24"/>
          <w:lang w:eastAsia="zh-CN"/>
        </w:rPr>
        <w:t>服务</w:t>
      </w:r>
      <w:r>
        <w:rPr>
          <w:rFonts w:hint="eastAsia" w:ascii="宋体" w:hAnsi="宋体" w:cs="宋体"/>
          <w:color w:val="auto"/>
          <w:sz w:val="24"/>
          <w:szCs w:val="24"/>
        </w:rPr>
        <w:t>，提供系统个性化修改需求。请详细说明售后服务的内容。</w:t>
      </w:r>
    </w:p>
    <w:p w14:paraId="2B98223B">
      <w:pPr>
        <w:pageBreakBefore w:val="0"/>
        <w:widowControl w:val="0"/>
        <w:kinsoku/>
        <w:wordWrap/>
        <w:overflowPunct/>
        <w:topLinePunct w:val="0"/>
        <w:autoSpaceDE/>
        <w:autoSpaceDN/>
        <w:bidi w:val="0"/>
        <w:adjustRightInd/>
        <w:snapToGrid/>
        <w:spacing w:line="312" w:lineRule="auto"/>
        <w:ind w:firstLine="420"/>
        <w:jc w:val="left"/>
        <w:textAlignment w:val="auto"/>
        <w:rPr>
          <w:rFonts w:hint="eastAsia" w:ascii="宋体" w:hAnsi="宋体" w:cs="宋体" w:eastAsiaTheme="minorEastAsia"/>
          <w:color w:val="auto"/>
          <w:sz w:val="24"/>
          <w:szCs w:val="24"/>
          <w:lang w:eastAsia="zh-CN"/>
        </w:rPr>
      </w:pPr>
      <w:r>
        <w:rPr>
          <w:rFonts w:hint="eastAsia" w:ascii="宋体" w:hAnsi="宋体" w:cs="宋体"/>
          <w:color w:val="auto"/>
          <w:sz w:val="24"/>
          <w:szCs w:val="24"/>
        </w:rPr>
        <w:t>5.2安装调试要求：</w:t>
      </w:r>
      <w:r>
        <w:rPr>
          <w:rFonts w:hint="eastAsia" w:ascii="宋体" w:hAnsi="宋体" w:cs="宋体"/>
          <w:color w:val="auto"/>
          <w:sz w:val="24"/>
          <w:szCs w:val="24"/>
          <w:lang w:val="en-US" w:eastAsia="zh-CN"/>
        </w:rPr>
        <w:t>提供</w:t>
      </w:r>
      <w:r>
        <w:rPr>
          <w:rFonts w:hint="eastAsia" w:ascii="宋体" w:hAnsi="宋体" w:cs="宋体"/>
          <w:color w:val="auto"/>
          <w:sz w:val="24"/>
          <w:szCs w:val="24"/>
        </w:rPr>
        <w:t>送货上门、安装调试、提供完善的软件系统使用中文操作手册</w:t>
      </w:r>
      <w:r>
        <w:rPr>
          <w:rFonts w:hint="eastAsia" w:ascii="宋体" w:hAnsi="宋体" w:cs="宋体"/>
          <w:color w:val="auto"/>
          <w:sz w:val="24"/>
          <w:szCs w:val="24"/>
          <w:lang w:eastAsia="zh-CN"/>
        </w:rPr>
        <w:t>。</w:t>
      </w:r>
    </w:p>
    <w:p w14:paraId="0D5AE566">
      <w:pPr>
        <w:pageBreakBefore w:val="0"/>
        <w:widowControl w:val="0"/>
        <w:kinsoku/>
        <w:wordWrap/>
        <w:overflowPunct/>
        <w:topLinePunct w:val="0"/>
        <w:autoSpaceDE/>
        <w:autoSpaceDN/>
        <w:bidi w:val="0"/>
        <w:adjustRightInd/>
        <w:snapToGrid/>
        <w:spacing w:line="312" w:lineRule="auto"/>
        <w:ind w:firstLine="420"/>
        <w:jc w:val="left"/>
        <w:textAlignment w:val="auto"/>
        <w:rPr>
          <w:rFonts w:hint="eastAsia" w:ascii="宋体" w:hAnsi="宋体" w:cs="宋体"/>
          <w:color w:val="auto"/>
          <w:sz w:val="24"/>
          <w:szCs w:val="24"/>
        </w:rPr>
      </w:pPr>
      <w:r>
        <w:rPr>
          <w:rFonts w:hint="eastAsia" w:ascii="宋体" w:hAnsi="宋体" w:cs="宋体"/>
          <w:color w:val="auto"/>
          <w:sz w:val="24"/>
          <w:szCs w:val="24"/>
        </w:rPr>
        <w:t>5.3原厂技术人员提供</w:t>
      </w:r>
      <w:r>
        <w:rPr>
          <w:rFonts w:hint="eastAsia" w:ascii="宋体" w:hAnsi="宋体" w:cs="宋体"/>
          <w:color w:val="auto"/>
          <w:sz w:val="24"/>
          <w:szCs w:val="24"/>
          <w:lang w:eastAsia="zh-CN"/>
        </w:rPr>
        <w:t>售后</w:t>
      </w:r>
      <w:r>
        <w:rPr>
          <w:rFonts w:hint="eastAsia" w:ascii="宋体" w:hAnsi="宋体" w:cs="宋体"/>
          <w:color w:val="auto"/>
          <w:sz w:val="24"/>
          <w:szCs w:val="24"/>
        </w:rPr>
        <w:t>服务，含电话支持、现场响应、远程操作、网上客服中心等多种方式服务，应做到7×24小时全天候电话或微信等常用联系方式响应。</w:t>
      </w:r>
      <w:bookmarkStart w:id="1" w:name="_Toc507405798"/>
      <w:r>
        <w:rPr>
          <w:rFonts w:hint="eastAsia" w:ascii="宋体" w:hAnsi="宋体" w:cs="宋体"/>
          <w:color w:val="auto"/>
          <w:sz w:val="24"/>
          <w:szCs w:val="24"/>
        </w:rPr>
        <w:t>当出现故障时，接到故障通知后，原厂技术人员应在30分钟内响应，远程技术支持无法解决的，</w:t>
      </w:r>
      <w:r>
        <w:rPr>
          <w:rFonts w:hint="eastAsia" w:ascii="宋体" w:hAnsi="宋体" w:cs="宋体"/>
          <w:color w:val="auto"/>
          <w:sz w:val="24"/>
          <w:szCs w:val="24"/>
          <w:lang w:val="en-US" w:eastAsia="zh-CN"/>
        </w:rPr>
        <w:t>8</w:t>
      </w:r>
      <w:r>
        <w:rPr>
          <w:rFonts w:hint="eastAsia" w:ascii="宋体" w:hAnsi="宋体" w:cs="宋体"/>
          <w:color w:val="auto"/>
          <w:sz w:val="24"/>
          <w:szCs w:val="24"/>
        </w:rPr>
        <w:t>小时内需到达现场处理修复，并调查分析事故原因。</w:t>
      </w:r>
    </w:p>
    <w:p w14:paraId="4C31CA87">
      <w:pPr>
        <w:pageBreakBefore w:val="0"/>
        <w:widowControl w:val="0"/>
        <w:kinsoku/>
        <w:wordWrap/>
        <w:overflowPunct/>
        <w:topLinePunct w:val="0"/>
        <w:autoSpaceDE/>
        <w:autoSpaceDN/>
        <w:bidi w:val="0"/>
        <w:adjustRightInd/>
        <w:snapToGrid/>
        <w:spacing w:line="312" w:lineRule="auto"/>
        <w:ind w:firstLine="420"/>
        <w:jc w:val="left"/>
        <w:textAlignment w:val="auto"/>
        <w:rPr>
          <w:rFonts w:hint="eastAsia" w:ascii="宋体" w:hAnsi="宋体" w:cs="宋体"/>
          <w:color w:val="auto"/>
          <w:sz w:val="24"/>
          <w:szCs w:val="24"/>
        </w:rPr>
      </w:pPr>
      <w:r>
        <w:rPr>
          <w:rFonts w:hint="eastAsia" w:ascii="宋体" w:hAnsi="宋体" w:eastAsia="宋体" w:cs="微软雅黑"/>
          <w:color w:val="auto"/>
          <w:sz w:val="24"/>
          <w:szCs w:val="24"/>
        </w:rPr>
        <w:t>5.4</w:t>
      </w:r>
      <w:r>
        <w:rPr>
          <w:rFonts w:hint="eastAsia" w:ascii="宋体" w:hAnsi="宋体" w:cs="宋体"/>
          <w:color w:val="auto"/>
          <w:sz w:val="24"/>
          <w:szCs w:val="24"/>
        </w:rPr>
        <w:t>供应商提供原厂技术人员定期</w:t>
      </w:r>
      <w:r>
        <w:rPr>
          <w:rFonts w:hint="eastAsia" w:ascii="宋体" w:hAnsi="宋体" w:cs="宋体"/>
          <w:color w:val="auto"/>
          <w:sz w:val="24"/>
          <w:szCs w:val="24"/>
          <w:lang w:eastAsia="zh-CN"/>
        </w:rPr>
        <w:t>巡检</w:t>
      </w:r>
      <w:r>
        <w:rPr>
          <w:rFonts w:hint="eastAsia" w:ascii="宋体" w:hAnsi="宋体" w:cs="宋体"/>
          <w:color w:val="auto"/>
          <w:sz w:val="24"/>
          <w:szCs w:val="24"/>
        </w:rPr>
        <w:t>服务，定期通过电话或其他方式访问用户，了解产品使用情况及网络安全情况</w:t>
      </w:r>
      <w:r>
        <w:rPr>
          <w:rFonts w:hint="eastAsia" w:ascii="宋体" w:hAnsi="宋体" w:cs="宋体"/>
          <w:color w:val="auto"/>
          <w:sz w:val="24"/>
          <w:szCs w:val="24"/>
          <w:lang w:eastAsia="zh-CN"/>
        </w:rPr>
        <w:t>：按采购人要求巡检（国家法定节假日前巡检或按采购人需求时间巡检）</w:t>
      </w:r>
      <w:r>
        <w:rPr>
          <w:rFonts w:hint="eastAsia" w:ascii="宋体" w:hAnsi="宋体" w:cs="宋体"/>
          <w:color w:val="auto"/>
          <w:sz w:val="24"/>
          <w:szCs w:val="24"/>
        </w:rPr>
        <w:t>。</w:t>
      </w:r>
    </w:p>
    <w:p w14:paraId="1A4961A6">
      <w:pPr>
        <w:pStyle w:val="13"/>
        <w:spacing w:line="360" w:lineRule="auto"/>
        <w:ind w:left="0" w:leftChars="0" w:firstLine="420" w:firstLineChars="0"/>
        <w:rPr>
          <w:rFonts w:hint="default" w:ascii="宋体" w:hAnsi="宋体" w:eastAsia="宋体"/>
          <w:color w:val="auto"/>
          <w:sz w:val="24"/>
          <w:szCs w:val="24"/>
          <w:lang w:val="en-US" w:eastAsia="zh-CN"/>
        </w:rPr>
      </w:pPr>
      <w:r>
        <w:rPr>
          <w:rFonts w:hint="eastAsia" w:ascii="宋体" w:hAnsi="宋体" w:eastAsia="宋体"/>
          <w:color w:val="auto"/>
          <w:sz w:val="24"/>
          <w:szCs w:val="24"/>
          <w:lang w:val="en-US" w:eastAsia="zh-CN"/>
        </w:rPr>
        <w:t>5.5提供系统改造，支持信创电脑和服务器。</w:t>
      </w:r>
    </w:p>
    <w:p w14:paraId="5FD8FC07">
      <w:pPr>
        <w:pStyle w:val="2"/>
        <w:pageBreakBefore w:val="0"/>
        <w:widowControl w:val="0"/>
        <w:numPr>
          <w:ilvl w:val="0"/>
          <w:numId w:val="0"/>
        </w:numPr>
        <w:kinsoku/>
        <w:wordWrap/>
        <w:overflowPunct/>
        <w:topLinePunct w:val="0"/>
        <w:autoSpaceDE/>
        <w:autoSpaceDN/>
        <w:bidi w:val="0"/>
        <w:adjustRightInd/>
        <w:snapToGrid/>
        <w:spacing w:before="0" w:after="0" w:line="312" w:lineRule="auto"/>
        <w:textAlignment w:val="auto"/>
        <w:rPr>
          <w:rFonts w:hint="eastAsia" w:ascii="宋体" w:hAnsi="宋体"/>
          <w:bCs w:val="0"/>
          <w:color w:val="auto"/>
          <w:sz w:val="32"/>
          <w:szCs w:val="32"/>
          <w:lang w:val="en-US"/>
        </w:rPr>
      </w:pPr>
      <w:r>
        <w:rPr>
          <w:rFonts w:hint="eastAsia" w:ascii="宋体" w:hAnsi="宋体"/>
          <w:bCs w:val="0"/>
          <w:color w:val="auto"/>
          <w:sz w:val="32"/>
          <w:szCs w:val="32"/>
          <w:lang w:val="en-US"/>
        </w:rPr>
        <w:t>六、违约责任</w:t>
      </w:r>
    </w:p>
    <w:p w14:paraId="04A745A0">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ascii="宋体" w:hAnsi="宋体" w:eastAsia="宋体" w:cs="宋体"/>
          <w:color w:val="auto"/>
          <w:sz w:val="24"/>
          <w:szCs w:val="24"/>
        </w:rPr>
      </w:pPr>
      <w:r>
        <w:rPr>
          <w:rFonts w:hint="eastAsia" w:ascii="宋体" w:hAnsi="宋体" w:eastAsia="宋体" w:cs="宋体"/>
          <w:color w:val="auto"/>
          <w:sz w:val="24"/>
          <w:szCs w:val="24"/>
        </w:rPr>
        <w:t>6.1投标方所提供的</w:t>
      </w:r>
      <w:r>
        <w:rPr>
          <w:rFonts w:hint="eastAsia" w:ascii="宋体" w:hAnsi="宋体" w:eastAsia="宋体" w:cs="宋体"/>
          <w:color w:val="auto"/>
          <w:sz w:val="24"/>
          <w:szCs w:val="24"/>
          <w:lang w:val="en-US" w:eastAsia="zh-CN"/>
        </w:rPr>
        <w:t>软件</w:t>
      </w:r>
      <w:r>
        <w:rPr>
          <w:rFonts w:hint="eastAsia" w:ascii="宋体" w:hAnsi="宋体" w:eastAsia="宋体" w:cs="宋体"/>
          <w:color w:val="auto"/>
          <w:sz w:val="24"/>
          <w:szCs w:val="24"/>
          <w:lang w:eastAsia="zh-CN"/>
        </w:rPr>
        <w:t>功能</w:t>
      </w:r>
      <w:r>
        <w:rPr>
          <w:rFonts w:hint="eastAsia" w:ascii="宋体" w:hAnsi="宋体" w:eastAsia="宋体" w:cs="宋体"/>
          <w:color w:val="auto"/>
          <w:sz w:val="24"/>
          <w:szCs w:val="24"/>
        </w:rPr>
        <w:t>、技术标准等质量不合格的，应及时更换，更换不及时的按逾期</w:t>
      </w:r>
      <w:r>
        <w:rPr>
          <w:rFonts w:hint="eastAsia" w:ascii="宋体" w:hAnsi="宋体" w:eastAsia="宋体" w:cs="宋体"/>
          <w:color w:val="auto"/>
          <w:sz w:val="24"/>
          <w:szCs w:val="24"/>
          <w:lang w:val="en-US" w:eastAsia="zh-CN"/>
        </w:rPr>
        <w:t>交付</w:t>
      </w:r>
      <w:r>
        <w:rPr>
          <w:rFonts w:hint="eastAsia" w:ascii="宋体" w:hAnsi="宋体" w:eastAsia="宋体" w:cs="宋体"/>
          <w:color w:val="auto"/>
          <w:sz w:val="24"/>
          <w:szCs w:val="24"/>
        </w:rPr>
        <w:t>处罚；因质量问题我院不同意接收，投标方应向我院支付违约货款额5%违约金并赔偿我院经济损失。</w:t>
      </w:r>
    </w:p>
    <w:p w14:paraId="0E9E1DBD">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ascii="宋体" w:hAnsi="宋体" w:eastAsia="宋体" w:cs="宋体"/>
          <w:color w:val="auto"/>
          <w:sz w:val="24"/>
          <w:szCs w:val="24"/>
        </w:rPr>
      </w:pPr>
      <w:r>
        <w:rPr>
          <w:rFonts w:hint="eastAsia" w:ascii="宋体" w:hAnsi="宋体" w:eastAsia="宋体" w:cs="宋体"/>
          <w:color w:val="auto"/>
          <w:sz w:val="24"/>
          <w:szCs w:val="24"/>
        </w:rPr>
        <w:t>6.2</w:t>
      </w:r>
      <w:r>
        <w:rPr>
          <w:rFonts w:hint="eastAsia" w:ascii="宋体" w:hAnsi="宋体" w:eastAsia="宋体" w:cs="宋体"/>
          <w:color w:val="auto"/>
          <w:sz w:val="24"/>
          <w:szCs w:val="24"/>
          <w:lang w:eastAsia="zh-CN"/>
        </w:rPr>
        <w:t>若</w:t>
      </w:r>
      <w:r>
        <w:rPr>
          <w:rFonts w:hint="eastAsia" w:ascii="宋体" w:hAnsi="宋体" w:eastAsia="宋体" w:cs="宋体"/>
          <w:color w:val="auto"/>
          <w:sz w:val="24"/>
          <w:szCs w:val="24"/>
        </w:rPr>
        <w:t>投标方提供的</w:t>
      </w:r>
      <w:r>
        <w:rPr>
          <w:rFonts w:hint="eastAsia" w:ascii="宋体" w:hAnsi="宋体" w:eastAsia="宋体" w:cs="宋体"/>
          <w:color w:val="auto"/>
          <w:sz w:val="24"/>
          <w:szCs w:val="24"/>
          <w:lang w:eastAsia="zh-CN"/>
        </w:rPr>
        <w:t>产品或软件</w:t>
      </w:r>
      <w:r>
        <w:rPr>
          <w:rFonts w:hint="eastAsia" w:ascii="宋体" w:hAnsi="宋体" w:eastAsia="宋体" w:cs="宋体"/>
          <w:color w:val="auto"/>
          <w:sz w:val="24"/>
          <w:szCs w:val="24"/>
        </w:rPr>
        <w:t>侵犯了第三方合法权益而引发的任何纠纷或诉讼，均由投标方负责交涉并承担全部责任。</w:t>
      </w:r>
    </w:p>
    <w:p w14:paraId="4CA5FB20">
      <w:pPr>
        <w:pageBreakBefore w:val="0"/>
        <w:widowControl w:val="0"/>
        <w:kinsoku/>
        <w:wordWrap/>
        <w:overflowPunct/>
        <w:topLinePunct w:val="0"/>
        <w:autoSpaceDE/>
        <w:autoSpaceDN/>
        <w:bidi w:val="0"/>
        <w:adjustRightInd/>
        <w:snapToGrid/>
        <w:spacing w:line="312" w:lineRule="auto"/>
        <w:ind w:firstLine="420"/>
        <w:jc w:val="left"/>
        <w:textAlignment w:val="auto"/>
        <w:rPr>
          <w:rFonts w:ascii="宋体" w:hAnsi="宋体" w:eastAsia="宋体" w:cs="宋体"/>
          <w:color w:val="auto"/>
          <w:sz w:val="24"/>
          <w:szCs w:val="24"/>
        </w:rPr>
      </w:pPr>
      <w:r>
        <w:rPr>
          <w:rFonts w:hint="eastAsia" w:ascii="宋体" w:hAnsi="宋体" w:eastAsia="宋体" w:cs="宋体"/>
          <w:color w:val="auto"/>
          <w:sz w:val="24"/>
          <w:szCs w:val="24"/>
        </w:rPr>
        <w:t>6.3因包装、运输引起的货物损坏，按质量不合格处理。设备安装、调试完成之日起三个月内为设备质保期，在质保期期间若出现设备硬件故障或损坏的情况，我院有权要求投标方更换同等型号和配置的新设备，设备换新、安装、调试产生的所有费用由投标方承担。</w:t>
      </w:r>
    </w:p>
    <w:p w14:paraId="08169261">
      <w:pPr>
        <w:pStyle w:val="5"/>
        <w:pageBreakBefore w:val="0"/>
        <w:widowControl w:val="0"/>
        <w:kinsoku/>
        <w:wordWrap/>
        <w:overflowPunct/>
        <w:topLinePunct w:val="0"/>
        <w:autoSpaceDE/>
        <w:autoSpaceDN/>
        <w:bidi w:val="0"/>
        <w:adjustRightInd/>
        <w:snapToGrid/>
        <w:spacing w:after="0" w:line="312" w:lineRule="auto"/>
        <w:ind w:firstLine="420"/>
        <w:textAlignment w:val="auto"/>
        <w:rPr>
          <w:rFonts w:ascii="宋体" w:hAnsi="宋体" w:eastAsia="宋体" w:cs="宋体"/>
          <w:color w:val="auto"/>
          <w:sz w:val="24"/>
          <w:lang w:val="en-US"/>
        </w:rPr>
      </w:pPr>
      <w:r>
        <w:rPr>
          <w:rFonts w:hint="eastAsia" w:ascii="宋体" w:hAnsi="宋体" w:eastAsia="宋体" w:cs="宋体"/>
          <w:color w:val="auto"/>
          <w:sz w:val="24"/>
          <w:lang w:val="en-US"/>
        </w:rPr>
        <w:t>6.4</w:t>
      </w:r>
      <w:r>
        <w:rPr>
          <w:rFonts w:hint="eastAsia" w:ascii="宋体" w:hAnsi="宋体" w:eastAsia="宋体" w:cs="宋体"/>
          <w:color w:val="auto"/>
          <w:sz w:val="24"/>
        </w:rPr>
        <w:t> 投标方逾期</w:t>
      </w:r>
      <w:r>
        <w:rPr>
          <w:rFonts w:hint="eastAsia" w:ascii="宋体" w:hAnsi="宋体" w:eastAsia="宋体" w:cs="宋体"/>
          <w:color w:val="auto"/>
          <w:sz w:val="24"/>
          <w:lang w:val="en-US" w:eastAsia="zh-CN"/>
        </w:rPr>
        <w:t>交付</w:t>
      </w:r>
      <w:r>
        <w:rPr>
          <w:rFonts w:hint="eastAsia" w:ascii="宋体" w:hAnsi="宋体" w:eastAsia="宋体" w:cs="宋体"/>
          <w:color w:val="auto"/>
          <w:sz w:val="24"/>
        </w:rPr>
        <w:t>的，每天向</w:t>
      </w:r>
      <w:r>
        <w:rPr>
          <w:rFonts w:hint="eastAsia" w:ascii="宋体" w:hAnsi="宋体" w:eastAsia="宋体" w:cs="宋体"/>
          <w:color w:val="auto"/>
          <w:sz w:val="24"/>
          <w:lang w:eastAsia="zh-CN"/>
        </w:rPr>
        <w:t>采购人</w:t>
      </w:r>
      <w:r>
        <w:rPr>
          <w:rFonts w:hint="eastAsia" w:ascii="宋体" w:hAnsi="宋体" w:eastAsia="宋体" w:cs="宋体"/>
          <w:color w:val="auto"/>
          <w:sz w:val="24"/>
        </w:rPr>
        <w:t>偿付违约货款额3‰违约金，但违约金累计不得超过违约货款额 5% ，超过30天对方有权解除合同，违约方承担因此给对方造成的经济损失；</w:t>
      </w:r>
    </w:p>
    <w:p w14:paraId="3999274B">
      <w:pPr>
        <w:pStyle w:val="5"/>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rPr>
        <w:t>6.5售后服务违约</w:t>
      </w:r>
      <w:r>
        <w:rPr>
          <w:rFonts w:hint="eastAsia" w:ascii="宋体" w:hAnsi="宋体" w:eastAsia="宋体" w:cs="宋体"/>
          <w:color w:val="auto"/>
          <w:sz w:val="24"/>
          <w:highlight w:val="none"/>
          <w:lang w:val="en-US" w:eastAsia="zh-CN"/>
        </w:rPr>
        <w:t>：</w:t>
      </w:r>
    </w:p>
    <w:p w14:paraId="13395283">
      <w:pPr>
        <w:pStyle w:val="5"/>
        <w:pageBreakBefore w:val="0"/>
        <w:widowControl w:val="0"/>
        <w:kinsoku/>
        <w:wordWrap/>
        <w:overflowPunct/>
        <w:topLinePunct w:val="0"/>
        <w:autoSpaceDE/>
        <w:autoSpaceDN/>
        <w:bidi w:val="0"/>
        <w:adjustRightInd/>
        <w:snapToGrid/>
        <w:spacing w:after="0" w:line="312" w:lineRule="auto"/>
        <w:ind w:firstLine="420"/>
        <w:textAlignment w:val="auto"/>
        <w:rPr>
          <w:rFonts w:ascii="宋体" w:hAnsi="宋体" w:eastAsia="宋体" w:cs="宋体"/>
          <w:color w:val="auto"/>
          <w:sz w:val="24"/>
          <w:highlight w:val="none"/>
          <w:lang w:val="en-US"/>
        </w:rPr>
      </w:pPr>
      <w:r>
        <w:rPr>
          <w:rFonts w:hint="eastAsia" w:ascii="宋体" w:hAnsi="宋体" w:eastAsia="宋体" w:cs="宋体"/>
          <w:color w:val="auto"/>
          <w:sz w:val="24"/>
          <w:highlight w:val="none"/>
          <w:lang w:val="en-US"/>
        </w:rPr>
        <w:t>6.5.1每缺少1次巡检记录，投标方应向</w:t>
      </w:r>
      <w:r>
        <w:rPr>
          <w:rFonts w:hint="eastAsia" w:ascii="宋体" w:hAnsi="宋体" w:eastAsia="宋体" w:cs="宋体"/>
          <w:color w:val="auto"/>
          <w:sz w:val="24"/>
          <w:highlight w:val="none"/>
          <w:lang w:val="en-US" w:eastAsia="zh-CN"/>
        </w:rPr>
        <w:t>采购人</w:t>
      </w:r>
      <w:r>
        <w:rPr>
          <w:rFonts w:hint="eastAsia" w:ascii="宋体" w:hAnsi="宋体" w:eastAsia="宋体" w:cs="宋体"/>
          <w:color w:val="auto"/>
          <w:sz w:val="24"/>
          <w:highlight w:val="none"/>
          <w:lang w:val="en-US"/>
        </w:rPr>
        <w:t>支付违约金5000元；</w:t>
      </w:r>
    </w:p>
    <w:p w14:paraId="0B1B79BE">
      <w:pPr>
        <w:pStyle w:val="5"/>
        <w:pageBreakBefore w:val="0"/>
        <w:widowControl w:val="0"/>
        <w:kinsoku/>
        <w:wordWrap/>
        <w:overflowPunct/>
        <w:topLinePunct w:val="0"/>
        <w:autoSpaceDE/>
        <w:autoSpaceDN/>
        <w:bidi w:val="0"/>
        <w:adjustRightInd/>
        <w:snapToGrid/>
        <w:spacing w:after="0" w:line="312" w:lineRule="auto"/>
        <w:ind w:firstLine="420"/>
        <w:textAlignment w:val="auto"/>
        <w:rPr>
          <w:rFonts w:ascii="宋体" w:hAnsi="宋体" w:eastAsia="宋体" w:cs="宋体"/>
          <w:color w:val="auto"/>
          <w:sz w:val="24"/>
          <w:lang w:val="en-US"/>
        </w:rPr>
      </w:pPr>
      <w:r>
        <w:rPr>
          <w:rFonts w:hint="eastAsia" w:ascii="宋体" w:hAnsi="宋体" w:eastAsia="宋体" w:cs="宋体"/>
          <w:color w:val="auto"/>
          <w:sz w:val="24"/>
          <w:lang w:val="en-US"/>
        </w:rPr>
        <w:t>6.5.</w:t>
      </w:r>
      <w:r>
        <w:rPr>
          <w:rFonts w:hint="eastAsia" w:ascii="宋体" w:hAnsi="宋体" w:eastAsia="宋体" w:cs="宋体"/>
          <w:color w:val="auto"/>
          <w:sz w:val="24"/>
          <w:lang w:val="en-US" w:eastAsia="zh-CN"/>
        </w:rPr>
        <w:t>2</w:t>
      </w:r>
      <w:r>
        <w:rPr>
          <w:rFonts w:hint="eastAsia" w:ascii="宋体" w:hAnsi="宋体" w:eastAsia="宋体" w:cs="宋体"/>
          <w:color w:val="auto"/>
          <w:sz w:val="24"/>
          <w:lang w:val="en-US"/>
        </w:rPr>
        <w:t>投标方未按本技术要求和响应文件中规定的其他服务承诺提供售后服务的，每次投标方应按合同合计金额的5% 向</w:t>
      </w:r>
      <w:r>
        <w:rPr>
          <w:rFonts w:hint="eastAsia" w:ascii="宋体" w:hAnsi="宋体" w:eastAsia="宋体" w:cs="宋体"/>
          <w:color w:val="auto"/>
          <w:sz w:val="24"/>
          <w:lang w:val="en-US" w:eastAsia="zh-CN"/>
        </w:rPr>
        <w:t>采购人</w:t>
      </w:r>
      <w:r>
        <w:rPr>
          <w:rFonts w:hint="eastAsia" w:ascii="宋体" w:hAnsi="宋体" w:eastAsia="宋体" w:cs="宋体"/>
          <w:color w:val="auto"/>
          <w:sz w:val="24"/>
          <w:lang w:val="en-US"/>
        </w:rPr>
        <w:t>支付违约金。</w:t>
      </w:r>
    </w:p>
    <w:p w14:paraId="68073CD9">
      <w:pPr>
        <w:pStyle w:val="5"/>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rPr>
      </w:pPr>
      <w:r>
        <w:rPr>
          <w:rFonts w:hint="eastAsia" w:ascii="宋体" w:hAnsi="宋体" w:eastAsia="宋体" w:cs="宋体"/>
          <w:color w:val="auto"/>
          <w:sz w:val="24"/>
        </w:rPr>
        <w:t>6.6合同签订后7个工作日内</w:t>
      </w:r>
      <w:r>
        <w:rPr>
          <w:rFonts w:hint="eastAsia" w:ascii="宋体" w:hAnsi="宋体" w:eastAsia="宋体" w:cs="宋体"/>
          <w:color w:val="auto"/>
          <w:sz w:val="24"/>
          <w:lang w:val="en-US" w:eastAsia="zh-CN"/>
        </w:rPr>
        <w:t>开始</w:t>
      </w:r>
      <w:r>
        <w:rPr>
          <w:rFonts w:hint="eastAsia" w:ascii="宋体" w:hAnsi="宋体" w:eastAsia="宋体" w:cs="宋体"/>
          <w:color w:val="auto"/>
          <w:sz w:val="24"/>
        </w:rPr>
        <w:t>实施，每个模块计划实施周期需在合同内写明。因</w:t>
      </w:r>
      <w:r>
        <w:rPr>
          <w:rFonts w:hint="eastAsia" w:ascii="宋体" w:hAnsi="宋体" w:eastAsia="宋体" w:cs="宋体"/>
          <w:color w:val="auto"/>
          <w:sz w:val="24"/>
          <w:lang w:eastAsia="zh-CN"/>
        </w:rPr>
        <w:t>软件提供商</w:t>
      </w:r>
      <w:r>
        <w:rPr>
          <w:rFonts w:hint="eastAsia" w:ascii="宋体" w:hAnsi="宋体" w:eastAsia="宋体" w:cs="宋体"/>
          <w:color w:val="auto"/>
          <w:sz w:val="24"/>
        </w:rPr>
        <w:t>原因逾期不</w:t>
      </w:r>
      <w:r>
        <w:rPr>
          <w:rFonts w:hint="eastAsia" w:ascii="宋体" w:hAnsi="宋体" w:eastAsia="宋体" w:cs="宋体"/>
          <w:color w:val="auto"/>
          <w:sz w:val="24"/>
          <w:lang w:val="en-US" w:eastAsia="zh-CN"/>
        </w:rPr>
        <w:t>开始</w:t>
      </w:r>
      <w:r>
        <w:rPr>
          <w:rFonts w:hint="eastAsia" w:ascii="宋体" w:hAnsi="宋体" w:eastAsia="宋体" w:cs="宋体"/>
          <w:color w:val="auto"/>
          <w:sz w:val="24"/>
        </w:rPr>
        <w:t>实施的，需按每天向</w:t>
      </w:r>
      <w:r>
        <w:rPr>
          <w:rFonts w:hint="eastAsia" w:ascii="宋体" w:hAnsi="宋体" w:eastAsia="宋体" w:cs="宋体"/>
          <w:color w:val="auto"/>
          <w:sz w:val="24"/>
          <w:lang w:eastAsia="zh-CN"/>
        </w:rPr>
        <w:t>采购人</w:t>
      </w:r>
      <w:r>
        <w:rPr>
          <w:rFonts w:hint="eastAsia" w:ascii="宋体" w:hAnsi="宋体" w:eastAsia="宋体" w:cs="宋体"/>
          <w:color w:val="auto"/>
          <w:sz w:val="24"/>
        </w:rPr>
        <w:t>支付合同款金额3‰作为违约金</w:t>
      </w:r>
      <w:r>
        <w:rPr>
          <w:rFonts w:hint="eastAsia" w:ascii="宋体" w:hAnsi="宋体" w:eastAsia="宋体" w:cs="宋体"/>
          <w:color w:val="auto"/>
          <w:sz w:val="24"/>
          <w:lang w:eastAsia="zh-CN"/>
        </w:rPr>
        <w:t>，</w:t>
      </w:r>
      <w:r>
        <w:rPr>
          <w:rFonts w:hint="eastAsia" w:ascii="宋体" w:hAnsi="宋体" w:eastAsia="宋体" w:cs="宋体"/>
          <w:color w:val="auto"/>
          <w:sz w:val="24"/>
        </w:rPr>
        <w:t>超过30天，</w:t>
      </w:r>
      <w:r>
        <w:rPr>
          <w:rFonts w:hint="eastAsia" w:ascii="宋体" w:hAnsi="宋体" w:eastAsia="宋体" w:cs="宋体"/>
          <w:color w:val="auto"/>
          <w:sz w:val="24"/>
          <w:lang w:eastAsia="zh-CN"/>
        </w:rPr>
        <w:t>甲</w:t>
      </w:r>
      <w:r>
        <w:rPr>
          <w:rFonts w:hint="eastAsia" w:ascii="宋体" w:hAnsi="宋体" w:eastAsia="宋体" w:cs="宋体"/>
          <w:color w:val="auto"/>
          <w:sz w:val="24"/>
        </w:rPr>
        <w:t>有权解除合同，</w:t>
      </w:r>
      <w:r>
        <w:rPr>
          <w:rFonts w:hint="eastAsia" w:ascii="宋体" w:hAnsi="宋体" w:eastAsia="宋体" w:cs="宋体"/>
          <w:color w:val="auto"/>
          <w:sz w:val="24"/>
          <w:lang w:eastAsia="zh-CN"/>
        </w:rPr>
        <w:t>供应商</w:t>
      </w:r>
      <w:r>
        <w:rPr>
          <w:rFonts w:hint="eastAsia" w:ascii="宋体" w:hAnsi="宋体" w:eastAsia="宋体" w:cs="宋体"/>
          <w:color w:val="auto"/>
          <w:sz w:val="24"/>
        </w:rPr>
        <w:t>需承担因此给</w:t>
      </w:r>
      <w:r>
        <w:rPr>
          <w:rFonts w:hint="eastAsia" w:ascii="宋体" w:hAnsi="宋体" w:eastAsia="宋体" w:cs="宋体"/>
          <w:color w:val="auto"/>
          <w:sz w:val="24"/>
          <w:lang w:eastAsia="zh-CN"/>
        </w:rPr>
        <w:t>采购人</w:t>
      </w:r>
      <w:r>
        <w:rPr>
          <w:rFonts w:hint="eastAsia" w:ascii="宋体" w:hAnsi="宋体" w:eastAsia="宋体" w:cs="宋体"/>
          <w:color w:val="auto"/>
          <w:sz w:val="24"/>
        </w:rPr>
        <w:t>造成的经济损失；</w:t>
      </w:r>
      <w:r>
        <w:rPr>
          <w:rFonts w:hint="eastAsia" w:ascii="宋体" w:hAnsi="宋体" w:eastAsia="宋体" w:cs="宋体"/>
          <w:color w:val="auto"/>
          <w:sz w:val="24"/>
          <w:lang w:val="en-US"/>
        </w:rPr>
        <w:t>不能按照合同约定上线期限完成，需要书面申请说明原因，得到医院书面同意后最多延期一个月，否则（或者延期一个月后）按每超期7天（一周）从总合同金额扣除5%的违约金。扣除比例达到总合同金额的50%及以上的，视为</w:t>
      </w:r>
      <w:r>
        <w:rPr>
          <w:rFonts w:hint="eastAsia" w:ascii="宋体" w:hAnsi="宋体" w:eastAsia="宋体" w:cs="宋体"/>
          <w:color w:val="auto"/>
          <w:sz w:val="24"/>
          <w:lang w:val="en-US" w:eastAsia="zh-CN"/>
        </w:rPr>
        <w:t>供应商</w:t>
      </w:r>
      <w:r>
        <w:rPr>
          <w:rFonts w:hint="eastAsia" w:ascii="宋体" w:hAnsi="宋体" w:eastAsia="宋体" w:cs="宋体"/>
          <w:color w:val="auto"/>
          <w:sz w:val="24"/>
          <w:lang w:val="en-US"/>
        </w:rPr>
        <w:t>违约，</w:t>
      </w:r>
      <w:r>
        <w:rPr>
          <w:rFonts w:hint="eastAsia" w:ascii="宋体" w:hAnsi="宋体" w:eastAsia="宋体" w:cs="宋体"/>
          <w:color w:val="auto"/>
          <w:sz w:val="24"/>
          <w:lang w:val="en-US" w:eastAsia="zh-CN"/>
        </w:rPr>
        <w:t>采购人</w:t>
      </w:r>
      <w:r>
        <w:rPr>
          <w:rFonts w:hint="eastAsia" w:ascii="宋体" w:hAnsi="宋体" w:eastAsia="宋体" w:cs="宋体"/>
          <w:color w:val="auto"/>
          <w:sz w:val="24"/>
          <w:lang w:val="en-US"/>
        </w:rPr>
        <w:t>有权单方面解除合同，并要求</w:t>
      </w:r>
      <w:r>
        <w:rPr>
          <w:rFonts w:hint="eastAsia" w:ascii="宋体" w:hAnsi="宋体" w:eastAsia="宋体" w:cs="宋体"/>
          <w:color w:val="auto"/>
          <w:sz w:val="24"/>
          <w:lang w:val="en-US" w:eastAsia="zh-CN"/>
        </w:rPr>
        <w:t>供应商</w:t>
      </w:r>
      <w:r>
        <w:rPr>
          <w:rFonts w:hint="eastAsia" w:ascii="宋体" w:hAnsi="宋体" w:eastAsia="宋体" w:cs="宋体"/>
          <w:color w:val="auto"/>
          <w:sz w:val="24"/>
          <w:lang w:val="en-US"/>
        </w:rPr>
        <w:t>退回所有医院已支付款项，同时</w:t>
      </w:r>
      <w:r>
        <w:rPr>
          <w:rFonts w:hint="eastAsia" w:ascii="宋体" w:hAnsi="宋体" w:eastAsia="宋体" w:cs="宋体"/>
          <w:color w:val="auto"/>
          <w:sz w:val="24"/>
          <w:lang w:val="en-US" w:eastAsia="zh-CN"/>
        </w:rPr>
        <w:t>按</w:t>
      </w:r>
      <w:r>
        <w:rPr>
          <w:rFonts w:hint="eastAsia" w:ascii="宋体" w:hAnsi="宋体" w:eastAsia="宋体" w:cs="宋体"/>
          <w:color w:val="auto"/>
          <w:sz w:val="24"/>
          <w:lang w:val="en-US"/>
        </w:rPr>
        <w:t>合同总金额的20%做为违约金</w:t>
      </w:r>
      <w:r>
        <w:rPr>
          <w:rFonts w:hint="eastAsia" w:ascii="宋体" w:hAnsi="宋体" w:eastAsia="宋体" w:cs="宋体"/>
          <w:color w:val="auto"/>
          <w:sz w:val="24"/>
          <w:lang w:val="en-US" w:eastAsia="zh-CN"/>
        </w:rPr>
        <w:t>支付给采购人</w:t>
      </w:r>
      <w:r>
        <w:rPr>
          <w:rFonts w:hint="eastAsia" w:ascii="宋体" w:hAnsi="宋体" w:eastAsia="宋体" w:cs="宋体"/>
          <w:color w:val="auto"/>
          <w:sz w:val="24"/>
          <w:lang w:val="en-US"/>
        </w:rPr>
        <w:t>。</w:t>
      </w:r>
    </w:p>
    <w:p w14:paraId="3699EC72">
      <w:pPr>
        <w:pStyle w:val="5"/>
        <w:pageBreakBefore w:val="0"/>
        <w:widowControl w:val="0"/>
        <w:kinsoku/>
        <w:wordWrap/>
        <w:overflowPunct/>
        <w:topLinePunct w:val="0"/>
        <w:autoSpaceDE/>
        <w:autoSpaceDN/>
        <w:bidi w:val="0"/>
        <w:adjustRightInd/>
        <w:snapToGrid/>
        <w:spacing w:after="0" w:line="312" w:lineRule="auto"/>
        <w:ind w:firstLine="420"/>
        <w:textAlignment w:val="auto"/>
        <w:rPr>
          <w:rFonts w:ascii="宋体" w:hAnsi="宋体" w:eastAsia="宋体" w:cs="宋体"/>
          <w:color w:val="auto"/>
          <w:sz w:val="24"/>
          <w:lang w:val="en-US"/>
        </w:rPr>
      </w:pPr>
      <w:r>
        <w:rPr>
          <w:rFonts w:hint="eastAsia" w:ascii="宋体" w:hAnsi="宋体" w:eastAsia="宋体" w:cs="宋体"/>
          <w:color w:val="auto"/>
          <w:sz w:val="24"/>
          <w:lang w:val="en-US"/>
        </w:rPr>
        <w:t>6.7任何一方违反本技术要求中“保密、廉洁条款”要求的，应承担相应的违约责任并赔偿由此造成的损失，损失累计金额超过合同款项的5%的，损失方同时有权终止合同并收回已付款项。</w:t>
      </w:r>
    </w:p>
    <w:p w14:paraId="44E41128">
      <w:pPr>
        <w:pStyle w:val="5"/>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rPr>
      </w:pPr>
      <w:r>
        <w:rPr>
          <w:rFonts w:hint="eastAsia" w:ascii="宋体" w:hAnsi="宋体" w:eastAsia="宋体" w:cs="宋体"/>
          <w:color w:val="auto"/>
          <w:sz w:val="24"/>
          <w:lang w:val="en-US"/>
        </w:rPr>
        <w:t>6.</w:t>
      </w:r>
      <w:r>
        <w:rPr>
          <w:rFonts w:hint="eastAsia" w:ascii="宋体" w:hAnsi="宋体" w:eastAsia="宋体" w:cs="宋体"/>
          <w:color w:val="auto"/>
          <w:sz w:val="24"/>
          <w:lang w:val="en-US" w:eastAsia="zh-CN"/>
        </w:rPr>
        <w:t>8厂商</w:t>
      </w:r>
      <w:r>
        <w:rPr>
          <w:rFonts w:hint="eastAsia" w:ascii="宋体" w:hAnsi="宋体" w:eastAsia="宋体" w:cs="宋体"/>
          <w:color w:val="auto"/>
          <w:sz w:val="24"/>
          <w:lang w:val="en-US"/>
        </w:rPr>
        <w:t>方未按本技术要求和响应文件中规定的其他服务承诺提供售后服务的，按损失情况，每次应按合同合计金额的0.1‰-0.1%</w:t>
      </w:r>
      <w:r>
        <w:rPr>
          <w:rFonts w:hint="eastAsia" w:ascii="宋体" w:hAnsi="宋体" w:eastAsia="宋体" w:cs="宋体"/>
          <w:color w:val="auto"/>
          <w:sz w:val="24"/>
          <w:lang w:val="en-US" w:eastAsia="zh-CN"/>
        </w:rPr>
        <w:t>由供应商</w:t>
      </w:r>
      <w:r>
        <w:rPr>
          <w:rFonts w:hint="eastAsia" w:ascii="宋体" w:hAnsi="宋体" w:eastAsia="宋体" w:cs="宋体"/>
          <w:color w:val="auto"/>
          <w:sz w:val="24"/>
          <w:lang w:val="en-US"/>
        </w:rPr>
        <w:t>向</w:t>
      </w:r>
      <w:r>
        <w:rPr>
          <w:rFonts w:hint="eastAsia" w:ascii="宋体" w:hAnsi="宋体" w:eastAsia="宋体" w:cs="宋体"/>
          <w:color w:val="auto"/>
          <w:sz w:val="24"/>
          <w:lang w:val="en-US" w:eastAsia="zh-CN"/>
        </w:rPr>
        <w:t>采购人</w:t>
      </w:r>
      <w:r>
        <w:rPr>
          <w:rFonts w:hint="eastAsia" w:ascii="宋体" w:hAnsi="宋体" w:eastAsia="宋体" w:cs="宋体"/>
          <w:color w:val="auto"/>
          <w:sz w:val="24"/>
          <w:lang w:val="en-US"/>
        </w:rPr>
        <w:t>支付违约金，损失累计金额超过合同款项的5%的，损失方同时有权终止合同并收回已付款项。</w:t>
      </w:r>
    </w:p>
    <w:p w14:paraId="062663F2">
      <w:pPr>
        <w:pStyle w:val="5"/>
        <w:pageBreakBefore w:val="0"/>
        <w:widowControl w:val="0"/>
        <w:kinsoku/>
        <w:wordWrap/>
        <w:overflowPunct/>
        <w:topLinePunct w:val="0"/>
        <w:autoSpaceDE/>
        <w:autoSpaceDN/>
        <w:bidi w:val="0"/>
        <w:adjustRightInd/>
        <w:snapToGrid/>
        <w:spacing w:after="0" w:line="312" w:lineRule="auto"/>
        <w:ind w:firstLine="420" w:firstLineChars="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6.9厂商不得在提供的硬件及软件系统中设置包括且不限于如：软硬件加密狗、加密软件、时间锁、授权码等限制硬件及软件系统正常运行的措施，</w:t>
      </w:r>
      <w:r>
        <w:rPr>
          <w:rFonts w:ascii="宋体" w:hAnsi="宋体" w:cs="宋体"/>
          <w:color w:val="auto"/>
          <w:kern w:val="2"/>
          <w:sz w:val="24"/>
          <w:lang w:val="en-US"/>
        </w:rPr>
        <w:t>如有</w:t>
      </w:r>
      <w:r>
        <w:rPr>
          <w:rFonts w:hint="eastAsia" w:ascii="宋体" w:hAnsi="宋体" w:cs="宋体"/>
          <w:color w:val="auto"/>
          <w:kern w:val="2"/>
          <w:sz w:val="24"/>
          <w:lang w:val="en-US"/>
        </w:rPr>
        <w:t>特殊</w:t>
      </w:r>
      <w:r>
        <w:rPr>
          <w:rFonts w:ascii="宋体" w:hAnsi="宋体" w:cs="宋体"/>
          <w:color w:val="auto"/>
          <w:kern w:val="2"/>
          <w:sz w:val="24"/>
          <w:lang w:val="en-US"/>
        </w:rPr>
        <w:t>需要</w:t>
      </w:r>
      <w:r>
        <w:rPr>
          <w:rFonts w:hint="eastAsia" w:ascii="宋体" w:hAnsi="宋体" w:cs="宋体"/>
          <w:color w:val="auto"/>
          <w:kern w:val="2"/>
          <w:sz w:val="24"/>
          <w:lang w:val="en-US"/>
        </w:rPr>
        <w:t>必须提交</w:t>
      </w:r>
      <w:r>
        <w:rPr>
          <w:rFonts w:ascii="宋体" w:hAnsi="宋体" w:cs="宋体"/>
          <w:color w:val="auto"/>
          <w:kern w:val="2"/>
          <w:sz w:val="24"/>
          <w:lang w:val="en-US"/>
        </w:rPr>
        <w:t>纸质</w:t>
      </w:r>
      <w:r>
        <w:rPr>
          <w:rFonts w:hint="eastAsia" w:ascii="宋体" w:hAnsi="宋体" w:cs="宋体"/>
          <w:color w:val="auto"/>
          <w:kern w:val="2"/>
          <w:sz w:val="24"/>
          <w:lang w:val="en-US"/>
        </w:rPr>
        <w:t>文件说明</w:t>
      </w:r>
      <w:r>
        <w:rPr>
          <w:rFonts w:ascii="宋体" w:hAnsi="宋体" w:cs="宋体"/>
          <w:color w:val="auto"/>
          <w:kern w:val="2"/>
          <w:sz w:val="24"/>
          <w:lang w:val="en-US"/>
        </w:rPr>
        <w:t>，经过我院</w:t>
      </w:r>
      <w:r>
        <w:rPr>
          <w:rFonts w:hint="eastAsia" w:ascii="宋体" w:hAnsi="宋体" w:cs="宋体"/>
          <w:color w:val="auto"/>
          <w:kern w:val="2"/>
          <w:sz w:val="24"/>
          <w:lang w:val="en-US"/>
        </w:rPr>
        <w:t>签字同意</w:t>
      </w:r>
      <w:r>
        <w:rPr>
          <w:rFonts w:ascii="宋体" w:hAnsi="宋体" w:cs="宋体"/>
          <w:color w:val="auto"/>
          <w:kern w:val="2"/>
          <w:sz w:val="24"/>
          <w:lang w:val="en-US"/>
        </w:rPr>
        <w:t>才可设置</w:t>
      </w:r>
      <w:r>
        <w:rPr>
          <w:rFonts w:hint="eastAsia" w:ascii="宋体" w:hAnsi="宋体" w:cs="宋体"/>
          <w:color w:val="auto"/>
          <w:kern w:val="2"/>
          <w:sz w:val="24"/>
          <w:lang w:val="en-US" w:eastAsia="zh-CN"/>
        </w:rPr>
        <w:t>，</w:t>
      </w:r>
      <w:r>
        <w:rPr>
          <w:rFonts w:hint="eastAsia" w:ascii="宋体" w:hAnsi="宋体" w:eastAsia="宋体" w:cs="宋体"/>
          <w:color w:val="auto"/>
          <w:kern w:val="2"/>
          <w:sz w:val="24"/>
          <w:szCs w:val="24"/>
          <w:lang w:val="en-US" w:eastAsia="zh-CN" w:bidi="ar-SA"/>
        </w:rPr>
        <w:t>否则视为供应商违约，供应商需要支付医院违约金500000元（伍拾万元），在此基础上医院有权要求供应商退回采购人已支付的所有款项。如对医院造成损失的，采购人有权要求供应商赔偿。</w:t>
      </w:r>
    </w:p>
    <w:p w14:paraId="727E7E90">
      <w:pPr>
        <w:pStyle w:val="5"/>
        <w:pageBreakBefore w:val="0"/>
        <w:widowControl w:val="0"/>
        <w:kinsoku/>
        <w:wordWrap/>
        <w:overflowPunct/>
        <w:topLinePunct w:val="0"/>
        <w:autoSpaceDE/>
        <w:autoSpaceDN/>
        <w:bidi w:val="0"/>
        <w:adjustRightInd/>
        <w:snapToGrid/>
        <w:spacing w:after="0" w:line="312" w:lineRule="auto"/>
        <w:ind w:firstLine="420"/>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6.10</w:t>
      </w:r>
      <w:r>
        <w:rPr>
          <w:rFonts w:hint="default" w:ascii="宋体" w:hAnsi="宋体" w:eastAsia="宋体" w:cs="宋体"/>
          <w:color w:val="auto"/>
          <w:kern w:val="2"/>
          <w:sz w:val="24"/>
          <w:szCs w:val="24"/>
          <w:lang w:val="en-US" w:eastAsia="zh-CN" w:bidi="ar-SA"/>
        </w:rPr>
        <w:t>厂商驻场工程师人员变更必须得到医院书面同意，否则视为</w:t>
      </w:r>
      <w:r>
        <w:rPr>
          <w:rFonts w:hint="eastAsia" w:ascii="宋体" w:hAnsi="宋体" w:eastAsia="宋体" w:cs="宋体"/>
          <w:color w:val="auto"/>
          <w:kern w:val="2"/>
          <w:sz w:val="24"/>
          <w:szCs w:val="24"/>
          <w:lang w:val="en-US" w:eastAsia="zh-CN" w:bidi="ar-SA"/>
        </w:rPr>
        <w:t>供应商</w:t>
      </w:r>
      <w:r>
        <w:rPr>
          <w:rFonts w:hint="default" w:ascii="宋体" w:hAnsi="宋体" w:eastAsia="宋体" w:cs="宋体"/>
          <w:color w:val="auto"/>
          <w:kern w:val="2"/>
          <w:sz w:val="24"/>
          <w:szCs w:val="24"/>
          <w:lang w:val="en-US" w:eastAsia="zh-CN" w:bidi="ar-SA"/>
        </w:rPr>
        <w:t>违约，</w:t>
      </w:r>
      <w:r>
        <w:rPr>
          <w:rFonts w:hint="eastAsia" w:ascii="宋体" w:hAnsi="宋体" w:eastAsia="宋体" w:cs="宋体"/>
          <w:color w:val="auto"/>
          <w:kern w:val="2"/>
          <w:sz w:val="24"/>
          <w:szCs w:val="24"/>
          <w:lang w:val="en-US" w:eastAsia="zh-CN" w:bidi="ar-SA"/>
        </w:rPr>
        <w:t>采购人</w:t>
      </w:r>
      <w:r>
        <w:rPr>
          <w:rFonts w:hint="default" w:ascii="宋体" w:hAnsi="宋体" w:eastAsia="宋体" w:cs="宋体"/>
          <w:color w:val="auto"/>
          <w:kern w:val="2"/>
          <w:sz w:val="24"/>
          <w:szCs w:val="24"/>
          <w:lang w:val="en-US" w:eastAsia="zh-CN" w:bidi="ar-SA"/>
        </w:rPr>
        <w:t>有权按500</w:t>
      </w:r>
      <w:r>
        <w:rPr>
          <w:rFonts w:hint="eastAsia" w:ascii="宋体" w:hAnsi="宋体" w:eastAsia="宋体" w:cs="宋体"/>
          <w:color w:val="auto"/>
          <w:kern w:val="2"/>
          <w:sz w:val="24"/>
          <w:szCs w:val="24"/>
          <w:lang w:val="en-US" w:eastAsia="zh-CN" w:bidi="ar-SA"/>
        </w:rPr>
        <w:t>0</w:t>
      </w:r>
      <w:r>
        <w:rPr>
          <w:rFonts w:hint="default" w:ascii="宋体" w:hAnsi="宋体" w:eastAsia="宋体" w:cs="宋体"/>
          <w:color w:val="auto"/>
          <w:kern w:val="2"/>
          <w:sz w:val="24"/>
          <w:szCs w:val="24"/>
          <w:lang w:val="en-US" w:eastAsia="zh-CN" w:bidi="ar-SA"/>
        </w:rPr>
        <w:t>元/人/次从合同总款中扣除</w:t>
      </w:r>
      <w:r>
        <w:rPr>
          <w:rFonts w:hint="eastAsia" w:ascii="宋体" w:hAnsi="宋体" w:eastAsia="宋体" w:cs="宋体"/>
          <w:color w:val="auto"/>
          <w:kern w:val="2"/>
          <w:sz w:val="24"/>
          <w:szCs w:val="24"/>
          <w:lang w:val="en-US" w:eastAsia="zh-CN" w:bidi="ar-SA"/>
        </w:rPr>
        <w:t>。</w:t>
      </w:r>
    </w:p>
    <w:p w14:paraId="6C0639DF">
      <w:pPr>
        <w:pStyle w:val="5"/>
        <w:pageBreakBefore w:val="0"/>
        <w:widowControl w:val="0"/>
        <w:kinsoku/>
        <w:wordWrap/>
        <w:overflowPunct/>
        <w:topLinePunct w:val="0"/>
        <w:autoSpaceDE/>
        <w:autoSpaceDN/>
        <w:bidi w:val="0"/>
        <w:adjustRightInd/>
        <w:snapToGrid/>
        <w:spacing w:after="0" w:line="312" w:lineRule="auto"/>
        <w:ind w:firstLine="420"/>
        <w:textAlignment w:val="auto"/>
        <w:rPr>
          <w:rFonts w:hint="eastAsia" w:ascii="宋体" w:hAnsi="宋体" w:eastAsia="宋体" w:cs="宋体"/>
          <w:color w:val="auto"/>
          <w:sz w:val="24"/>
          <w:lang w:val="en-US" w:eastAsia="zh-CN"/>
        </w:rPr>
      </w:pPr>
      <w:r>
        <w:rPr>
          <w:rFonts w:hint="eastAsia" w:ascii="宋体" w:hAnsi="宋体" w:eastAsia="宋体" w:cs="宋体"/>
          <w:color w:val="auto"/>
          <w:sz w:val="24"/>
          <w:lang w:val="en-US" w:eastAsia="zh-CN"/>
        </w:rPr>
        <w:t>6.11如合同供应商非软件提供商，软件提供商需承担连带责任，即本技术参数中对供应商的所有约束要求、违约条件均等同于对软件提供商的要求，采购人在追究供应商违约责任的同时可以同步追究软件提供商同等责任，供应商在投标时必须提供软件提供商的售后服务承诺书原件（须加盖软件提供商公章）。</w:t>
      </w:r>
    </w:p>
    <w:bookmarkEnd w:id="1"/>
    <w:p w14:paraId="121E9E5C">
      <w:pPr>
        <w:pStyle w:val="2"/>
        <w:pageBreakBefore w:val="0"/>
        <w:widowControl w:val="0"/>
        <w:numPr>
          <w:ilvl w:val="0"/>
          <w:numId w:val="0"/>
        </w:numPr>
        <w:kinsoku/>
        <w:wordWrap/>
        <w:overflowPunct/>
        <w:topLinePunct w:val="0"/>
        <w:autoSpaceDE/>
        <w:autoSpaceDN/>
        <w:bidi w:val="0"/>
        <w:adjustRightInd/>
        <w:snapToGrid/>
        <w:spacing w:before="0" w:after="0" w:line="312" w:lineRule="auto"/>
        <w:textAlignment w:val="auto"/>
        <w:rPr>
          <w:rFonts w:hint="eastAsia" w:ascii="宋体" w:hAnsi="宋体"/>
          <w:bCs w:val="0"/>
          <w:color w:val="auto"/>
          <w:sz w:val="32"/>
          <w:szCs w:val="32"/>
          <w:lang w:val="en-US"/>
        </w:rPr>
      </w:pPr>
      <w:bookmarkStart w:id="2" w:name="_Toc507405799"/>
      <w:bookmarkStart w:id="3" w:name="_Toc507405800"/>
      <w:r>
        <w:rPr>
          <w:rFonts w:hint="eastAsia" w:ascii="宋体" w:hAnsi="宋体"/>
          <w:bCs w:val="0"/>
          <w:color w:val="auto"/>
          <w:sz w:val="32"/>
          <w:szCs w:val="32"/>
          <w:lang w:val="en-US"/>
        </w:rPr>
        <w:t>七、保密、廉洁协议</w:t>
      </w:r>
    </w:p>
    <w:p w14:paraId="1E86E898">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7.1 双方保证对从另一方取得且无法自公开渠道获得的商业秘密(技术信息、经营信息及其他商业秘密)予以保密。未经该商业秘密的提供方同意，一方不得向任何第三方泄露该商业秘密的全部或部分内容，但法律、法规另有规定或双方另有约定的除外。任何一方违反保密义务的，应承担相应的违约责任并赔偿由此造成的损失。</w:t>
      </w:r>
    </w:p>
    <w:p w14:paraId="63D8B356">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7.2 双方不得以任何方式向第三方泄露本项目的软件技术、设计方案以及功能配置等内容。</w:t>
      </w:r>
    </w:p>
    <w:p w14:paraId="19BF6FEB">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7.3不以任何方式向第三方泄露在本协议开发实施过程中获取的经济、技术、数据以及双方其他非公开的信息。</w:t>
      </w:r>
    </w:p>
    <w:p w14:paraId="18AAA495">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7.4 不从事商业贿赂行为，遵守廉洁协议或相关规定。</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发现</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有违反廉洁协议或相关规定采用不正当手段进行不正当竞争行为的，或被有关部门生效文书认定有行贿或者受贿行为的，</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有权解除该业务合同，由此给</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造成的损失以及发生的一切费用均由</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承担，</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有权对</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实施商业贿赂不良记录，列入“黑名单”，并三年内取消其业务往来资格。</w:t>
      </w:r>
    </w:p>
    <w:p w14:paraId="5B783895">
      <w:pPr>
        <w:pageBreakBefore w:val="0"/>
        <w:widowControl w:val="0"/>
        <w:kinsoku/>
        <w:wordWrap/>
        <w:overflowPunct/>
        <w:topLinePunct w:val="0"/>
        <w:autoSpaceDE/>
        <w:autoSpaceDN/>
        <w:bidi w:val="0"/>
        <w:adjustRightInd/>
        <w:snapToGrid/>
        <w:spacing w:line="312" w:lineRule="auto"/>
        <w:ind w:firstLine="480" w:firstLineChars="200"/>
        <w:jc w:val="left"/>
        <w:textAlignment w:val="auto"/>
        <w:rPr>
          <w:color w:val="auto"/>
          <w:lang w:val="en-US"/>
        </w:rPr>
      </w:pPr>
      <w:r>
        <w:rPr>
          <w:rFonts w:hint="eastAsia" w:ascii="宋体" w:hAnsi="宋体" w:eastAsia="宋体" w:cs="宋体"/>
          <w:color w:val="auto"/>
          <w:sz w:val="24"/>
          <w:szCs w:val="24"/>
        </w:rPr>
        <w:t>7.5保密期限自本合同生效之日起永久有效，如</w:t>
      </w:r>
      <w:r>
        <w:rPr>
          <w:rFonts w:hint="eastAsia" w:ascii="宋体" w:hAnsi="宋体" w:eastAsia="宋体" w:cs="宋体"/>
          <w:color w:val="auto"/>
          <w:sz w:val="24"/>
          <w:szCs w:val="24"/>
          <w:lang w:eastAsia="zh-CN"/>
        </w:rPr>
        <w:t>供应商</w:t>
      </w:r>
      <w:r>
        <w:rPr>
          <w:rFonts w:hint="eastAsia" w:ascii="宋体" w:hAnsi="宋体" w:eastAsia="宋体" w:cs="宋体"/>
          <w:color w:val="auto"/>
          <w:sz w:val="24"/>
          <w:szCs w:val="24"/>
        </w:rPr>
        <w:t>需解除保密协议需向</w:t>
      </w:r>
      <w:r>
        <w:rPr>
          <w:rFonts w:hint="eastAsia" w:ascii="宋体" w:hAnsi="宋体" w:eastAsia="宋体" w:cs="宋体"/>
          <w:color w:val="auto"/>
          <w:sz w:val="24"/>
          <w:szCs w:val="24"/>
          <w:lang w:eastAsia="zh-CN"/>
        </w:rPr>
        <w:t>采购人</w:t>
      </w:r>
      <w:r>
        <w:rPr>
          <w:rFonts w:hint="eastAsia" w:ascii="宋体" w:hAnsi="宋体" w:eastAsia="宋体" w:cs="宋体"/>
          <w:color w:val="auto"/>
          <w:sz w:val="24"/>
          <w:szCs w:val="24"/>
        </w:rPr>
        <w:t>提出书面申请，双方协商同意签字确认后方可解除。</w:t>
      </w:r>
    </w:p>
    <w:p w14:paraId="257D95A4">
      <w:pPr>
        <w:pStyle w:val="2"/>
        <w:pageBreakBefore w:val="0"/>
        <w:widowControl w:val="0"/>
        <w:numPr>
          <w:ilvl w:val="0"/>
          <w:numId w:val="0"/>
        </w:numPr>
        <w:kinsoku/>
        <w:wordWrap/>
        <w:overflowPunct/>
        <w:topLinePunct w:val="0"/>
        <w:autoSpaceDE/>
        <w:autoSpaceDN/>
        <w:bidi w:val="0"/>
        <w:adjustRightInd/>
        <w:snapToGrid/>
        <w:spacing w:before="0" w:after="0" w:line="312" w:lineRule="auto"/>
        <w:textAlignment w:val="auto"/>
        <w:rPr>
          <w:rFonts w:hint="eastAsia" w:ascii="宋体" w:hAnsi="宋体"/>
          <w:bCs w:val="0"/>
          <w:color w:val="auto"/>
          <w:sz w:val="32"/>
          <w:szCs w:val="32"/>
          <w:lang w:val="en-US"/>
        </w:rPr>
      </w:pPr>
      <w:r>
        <w:rPr>
          <w:rFonts w:hint="eastAsia" w:ascii="宋体" w:hAnsi="宋体"/>
          <w:bCs w:val="0"/>
          <w:color w:val="auto"/>
          <w:sz w:val="32"/>
          <w:szCs w:val="32"/>
          <w:lang w:val="en-US"/>
        </w:rPr>
        <w:t>八、报价</w:t>
      </w:r>
    </w:p>
    <w:p w14:paraId="3B42B151">
      <w:pPr>
        <w:pStyle w:val="5"/>
        <w:pageBreakBefore w:val="0"/>
        <w:widowControl w:val="0"/>
        <w:kinsoku/>
        <w:wordWrap/>
        <w:overflowPunct/>
        <w:topLinePunct w:val="0"/>
        <w:autoSpaceDE/>
        <w:autoSpaceDN/>
        <w:bidi w:val="0"/>
        <w:adjustRightInd/>
        <w:snapToGrid/>
        <w:spacing w:after="0" w:line="312" w:lineRule="auto"/>
        <w:ind w:firstLine="42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8.1</w:t>
      </w:r>
      <w:r>
        <w:rPr>
          <w:rFonts w:hint="eastAsia" w:ascii="宋体" w:hAnsi="宋体" w:eastAsia="宋体" w:cs="宋体"/>
          <w:color w:val="auto"/>
          <w:sz w:val="24"/>
          <w:szCs w:val="24"/>
        </w:rPr>
        <w:t>竞标文件</w:t>
      </w:r>
      <w:r>
        <w:rPr>
          <w:rFonts w:hint="eastAsia" w:ascii="宋体" w:hAnsi="宋体" w:eastAsia="宋体" w:cs="宋体"/>
          <w:color w:val="auto"/>
          <w:sz w:val="24"/>
          <w:szCs w:val="24"/>
          <w:lang w:eastAsia="zh-CN"/>
        </w:rPr>
        <w:t>提供技术偏离表、服务偏离表</w:t>
      </w:r>
      <w:r>
        <w:rPr>
          <w:rFonts w:hint="eastAsia" w:ascii="宋体" w:hAnsi="宋体" w:eastAsia="宋体" w:cs="宋体"/>
          <w:color w:val="auto"/>
          <w:sz w:val="24"/>
          <w:szCs w:val="24"/>
        </w:rPr>
        <w:t>，</w:t>
      </w:r>
      <w:r>
        <w:rPr>
          <w:rFonts w:hint="eastAsia" w:ascii="宋体" w:hAnsi="宋体" w:eastAsia="宋体" w:cs="宋体"/>
          <w:color w:val="auto"/>
          <w:sz w:val="24"/>
          <w:szCs w:val="24"/>
          <w:lang w:eastAsia="zh-CN"/>
        </w:rPr>
        <w:t>并标明详细的技术和服务内容。</w:t>
      </w:r>
      <w:r>
        <w:rPr>
          <w:rFonts w:hint="eastAsia" w:ascii="宋体" w:hAnsi="宋体" w:eastAsia="宋体" w:cs="宋体"/>
          <w:color w:val="auto"/>
          <w:sz w:val="24"/>
          <w:szCs w:val="24"/>
        </w:rPr>
        <w:t>竞标文件按系统模块报价，报价表价格包含系统软件费用、产品安装、调试实施、培训费用、产品升级费用</w:t>
      </w:r>
      <w:r>
        <w:rPr>
          <w:rFonts w:hint="eastAsia" w:ascii="宋体" w:hAnsi="宋体" w:eastAsia="宋体" w:cs="宋体"/>
          <w:color w:val="auto"/>
          <w:sz w:val="24"/>
          <w:szCs w:val="24"/>
          <w:lang w:eastAsia="zh-CN"/>
        </w:rPr>
        <w:t>、</w:t>
      </w:r>
      <w:r>
        <w:rPr>
          <w:rFonts w:hint="eastAsia" w:ascii="宋体" w:hAnsi="宋体" w:eastAsia="宋体"/>
          <w:color w:val="auto"/>
          <w:sz w:val="24"/>
          <w:szCs w:val="24"/>
        </w:rPr>
        <w:t>接口费（包括第三方厂家的接口费）等费用</w:t>
      </w:r>
      <w:r>
        <w:rPr>
          <w:rFonts w:hint="eastAsia" w:ascii="宋体" w:hAnsi="宋体" w:eastAsia="宋体" w:cs="宋体"/>
          <w:color w:val="auto"/>
          <w:sz w:val="24"/>
          <w:szCs w:val="24"/>
        </w:rPr>
        <w:t>，以及明示所有责任、义务和一切风险。</w:t>
      </w:r>
    </w:p>
    <w:p w14:paraId="328108BC">
      <w:pPr>
        <w:pStyle w:val="5"/>
        <w:pageBreakBefore w:val="0"/>
        <w:widowControl w:val="0"/>
        <w:kinsoku/>
        <w:wordWrap/>
        <w:overflowPunct/>
        <w:topLinePunct w:val="0"/>
        <w:autoSpaceDE/>
        <w:autoSpaceDN/>
        <w:bidi w:val="0"/>
        <w:adjustRightInd/>
        <w:snapToGrid/>
        <w:spacing w:after="0" w:line="312" w:lineRule="auto"/>
        <w:ind w:firstLine="420" w:firstLine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8.2</w:t>
      </w:r>
      <w:r>
        <w:rPr>
          <w:rFonts w:hint="eastAsia" w:ascii="宋体" w:hAnsi="宋体" w:eastAsia="宋体" w:cs="宋体"/>
          <w:color w:val="auto"/>
          <w:sz w:val="24"/>
          <w:szCs w:val="24"/>
          <w:lang w:eastAsia="zh-CN"/>
        </w:rPr>
        <w:t>竞标文件需提供</w:t>
      </w:r>
      <w:r>
        <w:rPr>
          <w:rFonts w:hint="eastAsia" w:ascii="宋体" w:hAnsi="宋体" w:cs="宋体"/>
          <w:color w:val="auto"/>
          <w:sz w:val="24"/>
          <w:szCs w:val="24"/>
          <w:lang w:eastAsia="zh-CN"/>
        </w:rPr>
        <w:t>维保期</w:t>
      </w:r>
      <w:r>
        <w:rPr>
          <w:rFonts w:hint="eastAsia" w:ascii="宋体" w:hAnsi="宋体" w:cs="宋体"/>
          <w:color w:val="auto"/>
          <w:sz w:val="24"/>
          <w:szCs w:val="24"/>
        </w:rPr>
        <w:t>方案及</w:t>
      </w:r>
      <w:r>
        <w:rPr>
          <w:rFonts w:hint="eastAsia" w:ascii="宋体" w:hAnsi="宋体" w:cs="宋体"/>
          <w:color w:val="auto"/>
          <w:sz w:val="24"/>
          <w:szCs w:val="24"/>
          <w:lang w:eastAsia="zh-CN"/>
        </w:rPr>
        <w:t>报价</w:t>
      </w:r>
      <w:r>
        <w:rPr>
          <w:rFonts w:hint="eastAsia" w:ascii="宋体" w:hAnsi="宋体" w:eastAsia="宋体" w:cs="宋体"/>
          <w:color w:val="auto"/>
          <w:sz w:val="24"/>
          <w:szCs w:val="24"/>
          <w:lang w:eastAsia="zh-CN"/>
        </w:rPr>
        <w:t>。</w:t>
      </w:r>
    </w:p>
    <w:p w14:paraId="39BC3DE0">
      <w:pPr>
        <w:pStyle w:val="5"/>
        <w:pageBreakBefore w:val="0"/>
        <w:widowControl w:val="0"/>
        <w:kinsoku/>
        <w:wordWrap/>
        <w:overflowPunct/>
        <w:topLinePunct w:val="0"/>
        <w:autoSpaceDE/>
        <w:autoSpaceDN/>
        <w:bidi w:val="0"/>
        <w:adjustRightInd/>
        <w:snapToGrid/>
        <w:spacing w:after="0" w:line="312" w:lineRule="auto"/>
        <w:ind w:firstLine="420" w:firstLineChars="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8.3</w:t>
      </w:r>
      <w:r>
        <w:rPr>
          <w:rFonts w:hint="eastAsia" w:ascii="宋体" w:hAnsi="宋体" w:eastAsia="宋体" w:cs="宋体"/>
          <w:color w:val="auto"/>
          <w:sz w:val="24"/>
          <w:szCs w:val="24"/>
          <w:lang w:eastAsia="zh-CN"/>
        </w:rPr>
        <w:t>竞标文件需提供系统详细图文介绍。系统实施验收参照本技术文档及竞标文件提供的图文介绍为依据。</w:t>
      </w:r>
    </w:p>
    <w:p w14:paraId="653E3252">
      <w:pPr>
        <w:pStyle w:val="2"/>
        <w:pageBreakBefore w:val="0"/>
        <w:widowControl w:val="0"/>
        <w:numPr>
          <w:ilvl w:val="0"/>
          <w:numId w:val="0"/>
        </w:numPr>
        <w:kinsoku/>
        <w:wordWrap/>
        <w:overflowPunct/>
        <w:topLinePunct w:val="0"/>
        <w:autoSpaceDE/>
        <w:autoSpaceDN/>
        <w:bidi w:val="0"/>
        <w:adjustRightInd/>
        <w:snapToGrid/>
        <w:spacing w:before="0" w:after="0" w:line="312" w:lineRule="auto"/>
        <w:textAlignment w:val="auto"/>
        <w:rPr>
          <w:rFonts w:ascii="宋体" w:hAnsi="宋体"/>
          <w:bCs w:val="0"/>
          <w:color w:val="auto"/>
          <w:sz w:val="32"/>
          <w:szCs w:val="32"/>
        </w:rPr>
      </w:pPr>
      <w:r>
        <w:rPr>
          <w:rFonts w:hint="eastAsia" w:ascii="宋体" w:hAnsi="宋体"/>
          <w:bCs w:val="0"/>
          <w:color w:val="auto"/>
          <w:sz w:val="32"/>
          <w:szCs w:val="32"/>
        </w:rPr>
        <w:t>九、付款方式</w:t>
      </w:r>
      <w:bookmarkEnd w:id="2"/>
    </w:p>
    <w:p w14:paraId="40DF1EDB">
      <w:pPr>
        <w:pStyle w:val="13"/>
        <w:spacing w:line="360" w:lineRule="auto"/>
        <w:ind w:left="0" w:leftChars="0" w:firstLine="614" w:firstLineChars="256"/>
        <w:jc w:val="both"/>
        <w:rPr>
          <w:color w:val="auto"/>
          <w:sz w:val="24"/>
          <w:lang w:val="en-US"/>
        </w:rPr>
      </w:pPr>
      <w:r>
        <w:rPr>
          <w:rFonts w:hint="eastAsia" w:ascii="宋体" w:hAnsi="宋体" w:eastAsia="宋体" w:cs="微软雅黑"/>
          <w:color w:val="auto"/>
          <w:sz w:val="24"/>
          <w:szCs w:val="24"/>
        </w:rPr>
        <w:t>项目双方签订合同，</w:t>
      </w:r>
      <w:r>
        <w:rPr>
          <w:rFonts w:hint="eastAsia" w:ascii="宋体" w:hAnsi="宋体" w:eastAsia="宋体"/>
          <w:color w:val="auto"/>
          <w:sz w:val="24"/>
          <w:szCs w:val="24"/>
          <w:lang w:val="en-US" w:eastAsia="zh-CN"/>
        </w:rPr>
        <w:t>项目上线稳定运行1个月后，</w:t>
      </w:r>
      <w:r>
        <w:rPr>
          <w:rFonts w:hint="eastAsia" w:ascii="宋体" w:hAnsi="宋体" w:eastAsia="宋体" w:cs="微软雅黑"/>
          <w:color w:val="auto"/>
          <w:sz w:val="24"/>
          <w:szCs w:val="24"/>
        </w:rPr>
        <w:t>启动</w:t>
      </w:r>
      <w:r>
        <w:rPr>
          <w:rFonts w:hint="eastAsia" w:ascii="宋体" w:hAnsi="宋体" w:eastAsia="宋体" w:cs="微软雅黑"/>
          <w:color w:val="auto"/>
          <w:sz w:val="24"/>
          <w:szCs w:val="24"/>
          <w:lang w:eastAsia="zh-CN"/>
        </w:rPr>
        <w:t>系统上线</w:t>
      </w:r>
      <w:r>
        <w:rPr>
          <w:rFonts w:hint="eastAsia" w:ascii="宋体" w:hAnsi="宋体" w:eastAsia="宋体" w:cs="微软雅黑"/>
          <w:color w:val="auto"/>
          <w:sz w:val="24"/>
          <w:szCs w:val="24"/>
        </w:rPr>
        <w:t>验收</w:t>
      </w:r>
      <w:r>
        <w:rPr>
          <w:rFonts w:hint="eastAsia" w:ascii="宋体" w:hAnsi="宋体" w:eastAsia="宋体" w:cs="微软雅黑"/>
          <w:color w:val="auto"/>
          <w:sz w:val="24"/>
          <w:szCs w:val="24"/>
          <w:lang w:eastAsia="zh-CN"/>
        </w:rPr>
        <w:t>，上线验收合格后，</w:t>
      </w:r>
      <w:r>
        <w:rPr>
          <w:rFonts w:hint="eastAsia" w:ascii="宋体" w:hAnsi="宋体" w:eastAsia="宋体" w:cs="微软雅黑"/>
          <w:color w:val="auto"/>
          <w:sz w:val="24"/>
          <w:szCs w:val="24"/>
        </w:rPr>
        <w:t>用户支付合同款项的30%；合同</w:t>
      </w:r>
      <w:r>
        <w:rPr>
          <w:rFonts w:hint="eastAsia" w:ascii="宋体" w:hAnsi="宋体" w:eastAsia="宋体" w:cs="微软雅黑"/>
          <w:color w:val="auto"/>
          <w:sz w:val="24"/>
          <w:szCs w:val="24"/>
          <w:lang w:eastAsia="zh-CN"/>
        </w:rPr>
        <w:t>中所有功能及模块</w:t>
      </w:r>
      <w:r>
        <w:rPr>
          <w:rFonts w:hint="eastAsia" w:ascii="宋体" w:hAnsi="宋体" w:eastAsia="宋体" w:cs="微软雅黑"/>
          <w:color w:val="auto"/>
          <w:sz w:val="24"/>
          <w:szCs w:val="24"/>
        </w:rPr>
        <w:t>实施完毕，</w:t>
      </w:r>
      <w:r>
        <w:rPr>
          <w:rFonts w:hint="eastAsia" w:ascii="宋体" w:hAnsi="宋体" w:eastAsia="宋体" w:cs="微软雅黑"/>
          <w:color w:val="auto"/>
          <w:sz w:val="24"/>
          <w:szCs w:val="24"/>
          <w:lang w:eastAsia="zh-CN"/>
        </w:rPr>
        <w:t>系统</w:t>
      </w:r>
      <w:r>
        <w:rPr>
          <w:rFonts w:hint="eastAsia" w:ascii="宋体" w:hAnsi="宋体" w:eastAsia="宋体" w:cs="微软雅黑"/>
          <w:color w:val="auto"/>
          <w:sz w:val="24"/>
          <w:szCs w:val="24"/>
        </w:rPr>
        <w:t>上线稳定运行3个月后，启动</w:t>
      </w:r>
      <w:r>
        <w:rPr>
          <w:rFonts w:hint="eastAsia" w:ascii="宋体" w:hAnsi="宋体" w:eastAsia="宋体" w:cs="微软雅黑"/>
          <w:color w:val="auto"/>
          <w:sz w:val="24"/>
          <w:szCs w:val="24"/>
          <w:lang w:eastAsia="zh-CN"/>
        </w:rPr>
        <w:t>项目</w:t>
      </w:r>
      <w:r>
        <w:rPr>
          <w:rFonts w:hint="eastAsia" w:ascii="宋体" w:hAnsi="宋体" w:eastAsia="宋体" w:cs="微软雅黑"/>
          <w:color w:val="auto"/>
          <w:sz w:val="24"/>
          <w:szCs w:val="24"/>
        </w:rPr>
        <w:t>验收，验收合格后</w:t>
      </w:r>
      <w:r>
        <w:rPr>
          <w:rFonts w:hint="eastAsia" w:ascii="宋体" w:hAnsi="宋体" w:eastAsia="宋体" w:cs="微软雅黑"/>
          <w:color w:val="auto"/>
          <w:sz w:val="24"/>
          <w:szCs w:val="24"/>
          <w:lang w:eastAsia="zh-CN"/>
        </w:rPr>
        <w:t>采购人支付</w:t>
      </w:r>
      <w:r>
        <w:rPr>
          <w:rFonts w:hint="eastAsia" w:ascii="宋体" w:hAnsi="宋体" w:eastAsia="宋体" w:cs="微软雅黑"/>
          <w:color w:val="auto"/>
          <w:sz w:val="24"/>
          <w:szCs w:val="24"/>
        </w:rPr>
        <w:t>合同款项的60%，自验收合格之日起，</w:t>
      </w:r>
      <w:bookmarkEnd w:id="3"/>
      <w:r>
        <w:rPr>
          <w:rFonts w:hint="eastAsia" w:ascii="宋体" w:hAnsi="宋体" w:eastAsia="宋体"/>
          <w:color w:val="auto"/>
          <w:sz w:val="24"/>
          <w:szCs w:val="24"/>
          <w:lang w:val="en-US" w:eastAsia="zh-CN"/>
        </w:rPr>
        <w:t>稳定运行1年后，采购人支付合同款项的10%（不计利息）。</w:t>
      </w:r>
    </w:p>
    <w:sectPr>
      <w:pgSz w:w="11906" w:h="16838"/>
      <w:pgMar w:top="1440" w:right="1474" w:bottom="1440" w:left="147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8638A6"/>
    <w:multiLevelType w:val="singleLevel"/>
    <w:tmpl w:val="A88638A6"/>
    <w:lvl w:ilvl="0" w:tentative="0">
      <w:start w:val="1"/>
      <w:numFmt w:val="decimalEnclosedCircleChinese"/>
      <w:suff w:val="nothing"/>
      <w:lvlText w:val="%1　"/>
      <w:lvlJc w:val="left"/>
      <w:pPr>
        <w:ind w:left="0" w:firstLine="400"/>
      </w:pPr>
      <w:rPr>
        <w:rFonts w:hint="eastAsia"/>
      </w:rPr>
    </w:lvl>
  </w:abstractNum>
  <w:abstractNum w:abstractNumId="1">
    <w:nsid w:val="E978B62B"/>
    <w:multiLevelType w:val="singleLevel"/>
    <w:tmpl w:val="E978B62B"/>
    <w:lvl w:ilvl="0" w:tentative="0">
      <w:start w:val="5"/>
      <w:numFmt w:val="decimal"/>
      <w:suff w:val="nothing"/>
      <w:lvlText w:val="（%1）"/>
      <w:lvlJc w:val="left"/>
    </w:lvl>
  </w:abstractNum>
  <w:abstractNum w:abstractNumId="2">
    <w:nsid w:val="14D84B87"/>
    <w:multiLevelType w:val="multilevel"/>
    <w:tmpl w:val="14D84B87"/>
    <w:lvl w:ilvl="0" w:tentative="0">
      <w:start w:val="1"/>
      <w:numFmt w:val="chineseCountingThousand"/>
      <w:pStyle w:val="2"/>
      <w:lvlText w:val="%1"/>
      <w:lvlJc w:val="left"/>
      <w:pPr>
        <w:ind w:left="425" w:hanging="425"/>
      </w:pPr>
      <w:rPr>
        <w:rFonts w:hint="eastAsia"/>
      </w:rPr>
    </w:lvl>
    <w:lvl w:ilvl="1" w:tentative="0">
      <w:start w:val="1"/>
      <w:numFmt w:val="chineseCountingThousand"/>
      <w:lvlText w:val="(%2)"/>
      <w:lvlJc w:val="left"/>
      <w:pPr>
        <w:ind w:left="850" w:hanging="567"/>
      </w:pPr>
      <w:rPr>
        <w:rFonts w:hint="eastAsia"/>
      </w:rPr>
    </w:lvl>
    <w:lvl w:ilvl="2" w:tentative="0">
      <w:start w:val="1"/>
      <w:numFmt w:val="decimal"/>
      <w:lvlText w:val="%3."/>
      <w:lvlJc w:val="left"/>
      <w:pPr>
        <w:ind w:left="1356" w:hanging="567"/>
      </w:pPr>
      <w:rPr>
        <w:rFonts w:hint="eastAsia"/>
      </w:rPr>
    </w:lvl>
    <w:lvl w:ilvl="3" w:tentative="0">
      <w:start w:val="1"/>
      <w:numFmt w:val="decimal"/>
      <w:isLgl/>
      <w:lvlText w:val="%1.%2.%3.%4"/>
      <w:lvlJc w:val="left"/>
      <w:pPr>
        <w:ind w:left="1984" w:hanging="708"/>
      </w:pPr>
      <w:rPr>
        <w:rFonts w:hint="eastAsia"/>
      </w:rPr>
    </w:lvl>
    <w:lvl w:ilvl="4" w:tentative="0">
      <w:start w:val="1"/>
      <w:numFmt w:val="decimal"/>
      <w:isLgl/>
      <w:lvlText w:val="%1.%2.%3.%4.%5"/>
      <w:lvlJc w:val="left"/>
      <w:pPr>
        <w:ind w:left="2551" w:hanging="850"/>
      </w:pPr>
      <w:rPr>
        <w:rFonts w:hint="eastAsia"/>
      </w:rPr>
    </w:lvl>
    <w:lvl w:ilvl="5" w:tentative="0">
      <w:start w:val="1"/>
      <w:numFmt w:val="decimal"/>
      <w:isLgl/>
      <w:lvlText w:val="%1.%2.%3.%4.%5.%6"/>
      <w:lvlJc w:val="left"/>
      <w:pPr>
        <w:ind w:left="3260" w:hanging="1134"/>
      </w:pPr>
      <w:rPr>
        <w:rFonts w:hint="eastAsia"/>
      </w:rPr>
    </w:lvl>
    <w:lvl w:ilvl="6" w:tentative="0">
      <w:start w:val="1"/>
      <w:numFmt w:val="decimal"/>
      <w:isLgl/>
      <w:lvlText w:val="%1.%2.%3.%4.%5.%6.%7"/>
      <w:lvlJc w:val="left"/>
      <w:pPr>
        <w:ind w:left="3827" w:hanging="1276"/>
      </w:pPr>
      <w:rPr>
        <w:rFonts w:hint="eastAsia"/>
      </w:rPr>
    </w:lvl>
    <w:lvl w:ilvl="7" w:tentative="0">
      <w:start w:val="1"/>
      <w:numFmt w:val="decimal"/>
      <w:isLgl/>
      <w:lvlText w:val="%1.%2.%3.%4.%5.%6.%7.%8"/>
      <w:lvlJc w:val="left"/>
      <w:pPr>
        <w:ind w:left="4394" w:hanging="1418"/>
      </w:pPr>
      <w:rPr>
        <w:rFonts w:hint="eastAsia"/>
      </w:rPr>
    </w:lvl>
    <w:lvl w:ilvl="8" w:tentative="0">
      <w:start w:val="1"/>
      <w:numFmt w:val="decimal"/>
      <w:isLgl/>
      <w:lvlText w:val="%1.%2.%3.%4.%5.%6.%7.%8.%9"/>
      <w:lvlJc w:val="left"/>
      <w:pPr>
        <w:ind w:left="5102" w:hanging="1700"/>
      </w:pPr>
      <w:rPr>
        <w:rFonts w:hint="eastAsia"/>
      </w:rPr>
    </w:lvl>
  </w:abstractNum>
  <w:abstractNum w:abstractNumId="3">
    <w:nsid w:val="5E85B215"/>
    <w:multiLevelType w:val="singleLevel"/>
    <w:tmpl w:val="5E85B215"/>
    <w:lvl w:ilvl="0" w:tentative="0">
      <w:start w:val="1"/>
      <w:numFmt w:val="decimal"/>
      <w:suff w:val="nothing"/>
      <w:lvlText w:val="（%1）"/>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2DF"/>
    <w:rsid w:val="000E2410"/>
    <w:rsid w:val="001A11FC"/>
    <w:rsid w:val="001A1C12"/>
    <w:rsid w:val="002A29C0"/>
    <w:rsid w:val="00306E6E"/>
    <w:rsid w:val="003E62DF"/>
    <w:rsid w:val="00435C7C"/>
    <w:rsid w:val="00481560"/>
    <w:rsid w:val="00491534"/>
    <w:rsid w:val="004D3BA6"/>
    <w:rsid w:val="005D449A"/>
    <w:rsid w:val="006A3CAE"/>
    <w:rsid w:val="006C202C"/>
    <w:rsid w:val="008C322F"/>
    <w:rsid w:val="00A140D3"/>
    <w:rsid w:val="00B759E0"/>
    <w:rsid w:val="00D5380E"/>
    <w:rsid w:val="00DC1FBB"/>
    <w:rsid w:val="00E61AD4"/>
    <w:rsid w:val="00F13AA1"/>
    <w:rsid w:val="018D1B2F"/>
    <w:rsid w:val="038608DA"/>
    <w:rsid w:val="054959A1"/>
    <w:rsid w:val="06DF14B2"/>
    <w:rsid w:val="072E01FC"/>
    <w:rsid w:val="08741252"/>
    <w:rsid w:val="0A791D80"/>
    <w:rsid w:val="0B0D3711"/>
    <w:rsid w:val="0F2A1F3D"/>
    <w:rsid w:val="109B068D"/>
    <w:rsid w:val="12D1790A"/>
    <w:rsid w:val="14182983"/>
    <w:rsid w:val="14782DB8"/>
    <w:rsid w:val="14AF00BD"/>
    <w:rsid w:val="153D4F2B"/>
    <w:rsid w:val="165C1DAE"/>
    <w:rsid w:val="16ED2D59"/>
    <w:rsid w:val="174D1CA9"/>
    <w:rsid w:val="17536FF6"/>
    <w:rsid w:val="17541870"/>
    <w:rsid w:val="19151124"/>
    <w:rsid w:val="1A251034"/>
    <w:rsid w:val="1AA944D3"/>
    <w:rsid w:val="1B2D4242"/>
    <w:rsid w:val="1B5C436C"/>
    <w:rsid w:val="1B91509A"/>
    <w:rsid w:val="1CE0755F"/>
    <w:rsid w:val="1D9262D5"/>
    <w:rsid w:val="22293C01"/>
    <w:rsid w:val="224243ED"/>
    <w:rsid w:val="228C19A7"/>
    <w:rsid w:val="24DA1462"/>
    <w:rsid w:val="251F0377"/>
    <w:rsid w:val="25C72037"/>
    <w:rsid w:val="25D43FBF"/>
    <w:rsid w:val="26AA16D4"/>
    <w:rsid w:val="284C2F0D"/>
    <w:rsid w:val="290632D5"/>
    <w:rsid w:val="2BD8031A"/>
    <w:rsid w:val="2C6E439E"/>
    <w:rsid w:val="2C8F073A"/>
    <w:rsid w:val="2CA67011"/>
    <w:rsid w:val="2CFD2EB1"/>
    <w:rsid w:val="2E55261B"/>
    <w:rsid w:val="2F5C155E"/>
    <w:rsid w:val="33AB6BB4"/>
    <w:rsid w:val="340053F5"/>
    <w:rsid w:val="34906983"/>
    <w:rsid w:val="34A02F04"/>
    <w:rsid w:val="36174A38"/>
    <w:rsid w:val="367D4F11"/>
    <w:rsid w:val="37A56611"/>
    <w:rsid w:val="395C56DE"/>
    <w:rsid w:val="3A6B617C"/>
    <w:rsid w:val="3A965B44"/>
    <w:rsid w:val="3B431CC9"/>
    <w:rsid w:val="3B4F3BCB"/>
    <w:rsid w:val="3C2D039F"/>
    <w:rsid w:val="3D655CAD"/>
    <w:rsid w:val="3DCF123E"/>
    <w:rsid w:val="3E3103B1"/>
    <w:rsid w:val="3EDC4992"/>
    <w:rsid w:val="3FC15623"/>
    <w:rsid w:val="3FFE146B"/>
    <w:rsid w:val="40E231F7"/>
    <w:rsid w:val="41971DBD"/>
    <w:rsid w:val="43204167"/>
    <w:rsid w:val="43367EEA"/>
    <w:rsid w:val="43CC4B30"/>
    <w:rsid w:val="44511123"/>
    <w:rsid w:val="4489049E"/>
    <w:rsid w:val="455A3219"/>
    <w:rsid w:val="457173F8"/>
    <w:rsid w:val="46D06DAF"/>
    <w:rsid w:val="47FA24B7"/>
    <w:rsid w:val="480C0CC5"/>
    <w:rsid w:val="49A858C7"/>
    <w:rsid w:val="49C017DB"/>
    <w:rsid w:val="4BF413EA"/>
    <w:rsid w:val="4CE76347"/>
    <w:rsid w:val="4D6B73A1"/>
    <w:rsid w:val="4D8E361A"/>
    <w:rsid w:val="4F640350"/>
    <w:rsid w:val="507D710A"/>
    <w:rsid w:val="50844495"/>
    <w:rsid w:val="508670F0"/>
    <w:rsid w:val="50A873B9"/>
    <w:rsid w:val="50E833CC"/>
    <w:rsid w:val="512908D3"/>
    <w:rsid w:val="513C5266"/>
    <w:rsid w:val="51DF6C75"/>
    <w:rsid w:val="52C84CF5"/>
    <w:rsid w:val="54361EC0"/>
    <w:rsid w:val="54B27DC2"/>
    <w:rsid w:val="54E82BB7"/>
    <w:rsid w:val="55571991"/>
    <w:rsid w:val="55B43D13"/>
    <w:rsid w:val="562C3FA0"/>
    <w:rsid w:val="56864135"/>
    <w:rsid w:val="585573E7"/>
    <w:rsid w:val="5A334C18"/>
    <w:rsid w:val="5C2974BB"/>
    <w:rsid w:val="5C4B79F0"/>
    <w:rsid w:val="5C6164F3"/>
    <w:rsid w:val="5EEF047E"/>
    <w:rsid w:val="606A2F3D"/>
    <w:rsid w:val="607B2E53"/>
    <w:rsid w:val="623A5387"/>
    <w:rsid w:val="624E5217"/>
    <w:rsid w:val="63EF6D4C"/>
    <w:rsid w:val="65EF576E"/>
    <w:rsid w:val="67234BE8"/>
    <w:rsid w:val="67C37F93"/>
    <w:rsid w:val="684269C4"/>
    <w:rsid w:val="686C39B1"/>
    <w:rsid w:val="688213A3"/>
    <w:rsid w:val="68B72934"/>
    <w:rsid w:val="68E24815"/>
    <w:rsid w:val="68F126D1"/>
    <w:rsid w:val="69A9737D"/>
    <w:rsid w:val="6A5B6461"/>
    <w:rsid w:val="6B9E401E"/>
    <w:rsid w:val="6C1A6998"/>
    <w:rsid w:val="6EEC336A"/>
    <w:rsid w:val="70875600"/>
    <w:rsid w:val="711C77D0"/>
    <w:rsid w:val="73051406"/>
    <w:rsid w:val="73F71B2F"/>
    <w:rsid w:val="7524075C"/>
    <w:rsid w:val="769D3B28"/>
    <w:rsid w:val="76C64F98"/>
    <w:rsid w:val="78305B1C"/>
    <w:rsid w:val="79792DFF"/>
    <w:rsid w:val="7A016569"/>
    <w:rsid w:val="7AB427B8"/>
    <w:rsid w:val="7E5F3E27"/>
    <w:rsid w:val="7ECF3D83"/>
    <w:rsid w:val="7ED45A9B"/>
    <w:rsid w:val="7F895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1"/>
    <w:qFormat/>
    <w:uiPriority w:val="0"/>
    <w:pPr>
      <w:spacing w:after="120"/>
    </w:pPr>
    <w:rPr>
      <w:rFonts w:ascii="Times New Roman" w:hAnsi="Times New Roman"/>
      <w:kern w:val="0"/>
      <w:sz w:val="20"/>
      <w:szCs w:val="24"/>
      <w:lang w:val="zh-CN"/>
    </w:rPr>
  </w:style>
  <w:style w:type="paragraph" w:styleId="6">
    <w:name w:val="index 4"/>
    <w:basedOn w:val="1"/>
    <w:next w:val="1"/>
    <w:qFormat/>
    <w:uiPriority w:val="0"/>
    <w:pPr>
      <w:ind w:left="600" w:leftChars="600"/>
    </w:pPr>
  </w:style>
  <w:style w:type="paragraph" w:styleId="7">
    <w:name w:val="Body Text Indent 2"/>
    <w:basedOn w:val="1"/>
    <w:qFormat/>
    <w:uiPriority w:val="0"/>
    <w:pPr>
      <w:ind w:firstLine="630"/>
    </w:pPr>
    <w:rPr>
      <w:sz w:val="32"/>
      <w:szCs w:val="20"/>
    </w:rPr>
  </w:style>
  <w:style w:type="paragraph" w:styleId="8">
    <w:name w:val="footer"/>
    <w:basedOn w:val="1"/>
    <w:link w:val="16"/>
    <w:qFormat/>
    <w:uiPriority w:val="0"/>
    <w:pPr>
      <w:tabs>
        <w:tab w:val="center" w:pos="4153"/>
        <w:tab w:val="right" w:pos="8306"/>
      </w:tabs>
      <w:snapToGrid w:val="0"/>
      <w:jc w:val="left"/>
    </w:pPr>
    <w:rPr>
      <w:sz w:val="18"/>
      <w:szCs w:val="18"/>
    </w:rPr>
  </w:style>
  <w:style w:type="paragraph" w:styleId="9">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qFormat/>
    <w:uiPriority w:val="34"/>
    <w:pPr>
      <w:ind w:firstLine="420" w:firstLineChars="200"/>
    </w:pPr>
  </w:style>
  <w:style w:type="paragraph" w:customStyle="1" w:styleId="14">
    <w:name w:val="p15"/>
    <w:basedOn w:val="1"/>
    <w:qFormat/>
    <w:uiPriority w:val="0"/>
    <w:pPr>
      <w:widowControl/>
      <w:ind w:firstLine="420"/>
    </w:pPr>
    <w:rPr>
      <w:kern w:val="0"/>
      <w:szCs w:val="21"/>
    </w:rPr>
  </w:style>
  <w:style w:type="character" w:customStyle="1" w:styleId="15">
    <w:name w:val="页眉 字符"/>
    <w:basedOn w:val="12"/>
    <w:link w:val="9"/>
    <w:qFormat/>
    <w:uiPriority w:val="0"/>
    <w:rPr>
      <w:rFonts w:asciiTheme="minorHAnsi" w:hAnsiTheme="minorHAnsi" w:eastAsiaTheme="minorEastAsia" w:cstheme="minorBidi"/>
      <w:kern w:val="2"/>
      <w:sz w:val="18"/>
      <w:szCs w:val="18"/>
    </w:rPr>
  </w:style>
  <w:style w:type="character" w:customStyle="1" w:styleId="16">
    <w:name w:val="页脚 字符"/>
    <w:basedOn w:val="12"/>
    <w:link w:val="8"/>
    <w:qFormat/>
    <w:uiPriority w:val="0"/>
    <w:rPr>
      <w:rFonts w:asciiTheme="minorHAnsi" w:hAnsiTheme="minorHAnsi" w:eastAsiaTheme="minorEastAsia" w:cstheme="minorBidi"/>
      <w:kern w:val="2"/>
      <w:sz w:val="18"/>
      <w:szCs w:val="18"/>
    </w:rPr>
  </w:style>
  <w:style w:type="paragraph" w:customStyle="1" w:styleId="17">
    <w:name w:val="_正文"/>
    <w:basedOn w:val="1"/>
    <w:qFormat/>
    <w:uiPriority w:val="0"/>
    <w:pPr>
      <w:ind w:firstLine="420"/>
    </w:pPr>
    <w:rPr>
      <w:rFonts w:ascii="宋体" w:hAnsi="宋体"/>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10628</Words>
  <Characters>10810</Characters>
  <Lines>26</Lines>
  <Paragraphs>7</Paragraphs>
  <TotalTime>0</TotalTime>
  <ScaleCrop>false</ScaleCrop>
  <LinksUpToDate>false</LinksUpToDate>
  <CharactersWithSpaces>10834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2021-09-14T03:36:00Z</dcterms:created>
  <dc:creator>LGYY-USER</dc:creator>
  <cp:lastModifiedBy>加深</cp:lastModifiedBy>
  <dcterms:modified xsi:type="dcterms:W3CDTF">2026-08-24T09:08:02Z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eyJoZGlkIjoiNmFkNzM0MjEyYTJlMGViYTU0N2EyNjMzYjM3OTNmZjIiLCJ1c2VySWQiOiIzNTY0MzY5ODAifQ==</vt:lpwstr>
  </property>
  <property fmtid="{D5CDD505-2E9C-101B-9397-08002B2CF9AE}" pid="4" name="ICV">
    <vt:lpwstr>6443FEA2B5BD45FBB47128B39720B0D4_13</vt:lpwstr>
  </property>
</Properties>
</file>