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3B1F6">
      <w:pPr>
        <w:keepNext/>
        <w:keepLines/>
        <w:jc w:val="center"/>
        <w:rPr>
          <w:rFonts w:hint="eastAsia" w:ascii="宋体" w:hAnsi="宋体" w:cs="微软雅黑"/>
          <w:b/>
          <w:bCs/>
          <w:kern w:val="44"/>
          <w:sz w:val="30"/>
          <w:szCs w:val="30"/>
        </w:rPr>
      </w:pPr>
      <w:bookmarkStart w:id="0" w:name="_Toc344816509"/>
      <w:r>
        <w:rPr>
          <w:rFonts w:hint="eastAsia" w:ascii="宋体" w:hAnsi="宋体" w:cs="微软雅黑"/>
          <w:b/>
          <w:bCs/>
          <w:kern w:val="44"/>
          <w:sz w:val="30"/>
          <w:szCs w:val="30"/>
        </w:rPr>
        <w:t>柳州市工人医院病理系统维保服务技术参数</w:t>
      </w:r>
    </w:p>
    <w:p w14:paraId="0C216B27">
      <w:pPr>
        <w:keepNext/>
        <w:keepLines/>
        <w:ind w:left="420" w:leftChars="200"/>
        <w:jc w:val="left"/>
        <w:rPr>
          <w:rFonts w:hint="eastAsia" w:ascii="宋体" w:hAnsi="宋体" w:cs="微软雅黑"/>
          <w:b/>
          <w:bCs/>
          <w:kern w:val="44"/>
          <w:sz w:val="24"/>
          <w:szCs w:val="24"/>
        </w:rPr>
      </w:pPr>
    </w:p>
    <w:bookmarkEnd w:id="0"/>
    <w:p w14:paraId="0E9DCC1E">
      <w:pPr>
        <w:pStyle w:val="10"/>
        <w:numPr>
          <w:ilvl w:val="0"/>
          <w:numId w:val="2"/>
        </w:numPr>
        <w:ind w:firstLine="482" w:firstLineChars="200"/>
        <w:rPr>
          <w:rFonts w:hint="eastAsia" w:ascii="仿宋" w:hAnsi="仿宋" w:eastAsia="仿宋" w:cs="仿宋"/>
          <w:b/>
          <w:bCs/>
          <w:color w:val="auto"/>
          <w:kern w:val="2"/>
          <w:sz w:val="24"/>
          <w:szCs w:val="22"/>
          <w:lang w:val="en-US" w:eastAsia="zh-CN" w:bidi="ar-SA"/>
        </w:rPr>
      </w:pPr>
      <w:r>
        <w:rPr>
          <w:rFonts w:hint="eastAsia" w:ascii="仿宋" w:hAnsi="仿宋" w:eastAsia="仿宋" w:cs="仿宋"/>
          <w:b/>
          <w:bCs/>
          <w:color w:val="auto"/>
          <w:kern w:val="2"/>
          <w:sz w:val="24"/>
          <w:szCs w:val="22"/>
          <w:lang w:val="en-US" w:eastAsia="zh-CN" w:bidi="ar-SA"/>
        </w:rPr>
        <w:t>项目背景</w:t>
      </w:r>
    </w:p>
    <w:p w14:paraId="3D439693">
      <w:pPr>
        <w:spacing w:line="360" w:lineRule="auto"/>
        <w:ind w:firstLine="480" w:firstLineChars="20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我院病理系统由上海朗珈软件有限公司（以下简称：朗珈公司）提供及部署上线，根据前期合同约定，该系统配套享有3年免费质保服务，目前系统免费质保期限已全部到期。原合同中没有对维保期过保后续保的费用进行约定，因此需要重新与上海朗珈软件有限公司进行维保服务询价。</w:t>
      </w:r>
    </w:p>
    <w:p w14:paraId="52B41DB6">
      <w:pPr>
        <w:spacing w:line="360" w:lineRule="auto"/>
        <w:rPr>
          <w:rFonts w:hint="eastAsia" w:ascii="仿宋" w:hAnsi="仿宋" w:eastAsia="仿宋" w:cs="仿宋"/>
          <w:color w:val="auto"/>
          <w:kern w:val="2"/>
          <w:sz w:val="24"/>
          <w:szCs w:val="22"/>
          <w:lang w:val="en-US" w:eastAsia="zh-CN" w:bidi="ar-SA"/>
        </w:rPr>
      </w:pPr>
    </w:p>
    <w:p w14:paraId="6A0C8796">
      <w:pPr>
        <w:pStyle w:val="10"/>
        <w:numPr>
          <w:ilvl w:val="0"/>
          <w:numId w:val="2"/>
        </w:numPr>
        <w:spacing w:line="360" w:lineRule="auto"/>
        <w:ind w:firstLine="482" w:firstLineChars="200"/>
        <w:rPr>
          <w:rFonts w:hint="eastAsia" w:ascii="仿宋" w:hAnsi="仿宋" w:eastAsia="仿宋" w:cs="仿宋"/>
          <w:color w:val="auto"/>
          <w:kern w:val="2"/>
          <w:sz w:val="24"/>
          <w:szCs w:val="22"/>
          <w:lang w:val="en-US" w:eastAsia="zh-CN" w:bidi="ar-SA"/>
        </w:rPr>
      </w:pPr>
      <w:r>
        <w:rPr>
          <w:rFonts w:hint="eastAsia" w:ascii="仿宋" w:hAnsi="仿宋" w:eastAsia="仿宋" w:cs="仿宋"/>
          <w:b/>
          <w:bCs/>
          <w:color w:val="auto"/>
          <w:kern w:val="2"/>
          <w:sz w:val="24"/>
          <w:szCs w:val="22"/>
          <w:lang w:val="en-US" w:eastAsia="zh-CN" w:bidi="ar-SA"/>
        </w:rPr>
        <w:t>维保服务技术详细说明</w:t>
      </w:r>
    </w:p>
    <w:p w14:paraId="0D165E2B">
      <w:pPr>
        <w:pStyle w:val="10"/>
        <w:numPr>
          <w:ilvl w:val="0"/>
          <w:numId w:val="3"/>
        </w:numPr>
        <w:spacing w:line="360" w:lineRule="auto"/>
        <w:ind w:firstLineChars="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每年的售后维护费不超过合同总额5%，本次签订叁年的维保服务。</w:t>
      </w:r>
    </w:p>
    <w:p w14:paraId="7A0C9F14">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维保服务对象为柳州市工人医院病理科已采购的正在使用的病理质控与资料管理系统软件。</w:t>
      </w:r>
    </w:p>
    <w:p w14:paraId="5182C482">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乙方提供7*24小时技术支持热线，当系统出现故障时，厂家工程师必须在1小时内做出服务响应，如果无法通过远程方式解决，必须在24个小时内到达现场服务解决问题；</w:t>
      </w:r>
    </w:p>
    <w:p w14:paraId="4B980B1F">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乙方每年至少</w:t>
      </w:r>
      <w:bookmarkStart w:id="1" w:name="_GoBack"/>
      <w:bookmarkEnd w:id="1"/>
      <w:r>
        <w:rPr>
          <w:rFonts w:hint="eastAsia" w:ascii="仿宋" w:hAnsi="仿宋" w:eastAsia="仿宋" w:cs="仿宋"/>
          <w:color w:val="auto"/>
          <w:kern w:val="2"/>
          <w:sz w:val="24"/>
          <w:szCs w:val="22"/>
          <w:lang w:val="en-US" w:eastAsia="zh-CN" w:bidi="ar-SA"/>
        </w:rPr>
        <w:t>巡检2次（不限定巡检方式），对服务器、客户端、数据库等软件系统运行情况逐一作检查以及优化，签售后维护清单，保证系统运行正确性；</w:t>
      </w:r>
    </w:p>
    <w:p w14:paraId="1DB02504">
      <w:pPr>
        <w:pStyle w:val="14"/>
        <w:widowControl/>
        <w:numPr>
          <w:ilvl w:val="0"/>
          <w:numId w:val="3"/>
        </w:numPr>
        <w:spacing w:line="360" w:lineRule="auto"/>
        <w:ind w:right="210" w:rightChars="100" w:firstLineChars="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故障解决：排除系统运行中的故障，使得系统可以得到平稳应用。这里的故障包括因编程问题使得软件未达到预期的功能效果或在软件运行期间出现的程序错误等，因程序错误产生的问题，免费修改；</w:t>
      </w:r>
    </w:p>
    <w:p w14:paraId="04BABEFD">
      <w:pPr>
        <w:pStyle w:val="14"/>
        <w:widowControl/>
        <w:numPr>
          <w:ilvl w:val="0"/>
          <w:numId w:val="3"/>
        </w:numPr>
        <w:spacing w:line="360" w:lineRule="auto"/>
        <w:ind w:right="210" w:rightChars="100" w:firstLineChars="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乙方提供培训、指导等服务；</w:t>
      </w:r>
    </w:p>
    <w:p w14:paraId="26BCB5EE">
      <w:pPr>
        <w:pStyle w:val="14"/>
        <w:widowControl/>
        <w:numPr>
          <w:ilvl w:val="0"/>
          <w:numId w:val="3"/>
        </w:numPr>
        <w:spacing w:line="360" w:lineRule="auto"/>
        <w:ind w:right="210" w:rightChars="100" w:firstLineChars="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乙方根据甲方要求为甲方培训管理人员，使得部分问题可以由客户技术人员在第一时间得到解决。包括功能配置、字典维护、参数调整等正常的维护工作；</w:t>
      </w:r>
    </w:p>
    <w:p w14:paraId="454AC4D5">
      <w:pPr>
        <w:pStyle w:val="14"/>
        <w:widowControl/>
        <w:numPr>
          <w:ilvl w:val="0"/>
          <w:numId w:val="3"/>
        </w:numPr>
        <w:spacing w:line="360" w:lineRule="auto"/>
        <w:ind w:right="210" w:rightChars="100" w:firstLineChars="0"/>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提供电话咨询，解答客户在系统使用、维护过程中遇到的问题，及时提出解决问题的建议和操作方法；</w:t>
      </w:r>
    </w:p>
    <w:p w14:paraId="67B17A7C">
      <w:pPr>
        <w:pStyle w:val="2"/>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提供远程在线诊断和故障排除：对于电话咨询无法解决的问题，通过Internet远程登录到用户网络系统进行的故障诊断和故障排除；</w:t>
      </w:r>
    </w:p>
    <w:p w14:paraId="07EEC3AB">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系统环境的维护：主要防止因操作系统故障或系统配置故障影响用户正常使用；</w:t>
      </w:r>
    </w:p>
    <w:p w14:paraId="042F3831">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系统应用软件维护：对应用软件设计在保证期内进行更新及维护，并迅速恢复因用户误操作或某些错误操作导致系统故障；</w:t>
      </w:r>
    </w:p>
    <w:p w14:paraId="6FCB4E23">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软件自身错误类问题提供永久性免费修改服务；</w:t>
      </w:r>
    </w:p>
    <w:p w14:paraId="3F48109E">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维保期内免费提供病理系统已对接的接口的日常运行维护与管理，保障数据正常交换。针对维保期内新增的第三方业务系统接口对接需求，乙方提供免费对接HIS6.0，其他第三方业务系统对接，乙方免费提供累计3个工作日（人天）的开发工作量。如新增接口开发工作量超出免费额度，超出部分由双方另行协商确定开发费用。保期内，免费提供系统硬件扩容或系统迁移所需要的软件技术支持；</w:t>
      </w:r>
    </w:p>
    <w:p w14:paraId="4677C189">
      <w:pPr>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帮助医院培养2名能独立满足医院系统日常运维维护的技术人员；</w:t>
      </w:r>
    </w:p>
    <w:p w14:paraId="19391211">
      <w:pPr>
        <w:pStyle w:val="2"/>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提供全面的接口技术，与第三方系统共享数据和功能，这些接口技术包括中间件技术接口、WEBSEVICE通用接口、数据库级接口、文件文本接口等；</w:t>
      </w:r>
    </w:p>
    <w:p w14:paraId="4F66EA01">
      <w:pPr>
        <w:pStyle w:val="2"/>
        <w:numPr>
          <w:ilvl w:val="0"/>
          <w:numId w:val="3"/>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满足医院电子病历系统功能应用水平分级评价达到6级以上评审、医院信息互联互通标准化成熟度测评达到五级乙等以上水平评审、信息系统安全等级保护三级测评、三甲医院评审、医院智慧服务分级评估标准体系达到4级以上相关的功能要求、医院智慧管理分级评估标准体系达到4级以上相关的功能要求、网络攻防演练中的安全防护要求以及医院其他需要评审的信息化技术改造服务要求；如果评级涉及到新增功能模块或者定制化开发，则根据模块与定制化开发的需求，双方另行协商价格；</w:t>
      </w:r>
    </w:p>
    <w:p w14:paraId="1A67EC34">
      <w:pPr>
        <w:pStyle w:val="3"/>
        <w:numPr>
          <w:ilvl w:val="0"/>
          <w:numId w:val="3"/>
        </w:numPr>
        <w:spacing w:line="360" w:lineRule="auto"/>
        <w:jc w:val="both"/>
        <w:rPr>
          <w:rFonts w:hint="eastAsia" w:ascii="仿宋" w:hAnsi="仿宋" w:eastAsia="仿宋" w:cs="仿宋"/>
          <w:b w:val="0"/>
          <w:bCs/>
          <w:color w:val="auto"/>
          <w:kern w:val="2"/>
          <w:sz w:val="24"/>
          <w:szCs w:val="22"/>
          <w:lang w:val="en-US" w:eastAsia="zh-CN" w:bidi="ar-SA"/>
        </w:rPr>
      </w:pPr>
      <w:r>
        <w:rPr>
          <w:rFonts w:hint="eastAsia" w:ascii="仿宋" w:hAnsi="仿宋" w:eastAsia="仿宋" w:cs="仿宋"/>
          <w:b w:val="0"/>
          <w:bCs/>
          <w:color w:val="auto"/>
          <w:kern w:val="2"/>
          <w:sz w:val="24"/>
          <w:szCs w:val="22"/>
          <w:lang w:val="en-US" w:eastAsia="zh-CN" w:bidi="ar-SA"/>
        </w:rPr>
        <w:t>维保期内，对病理质控与资料管理系统提供同一大版本内免费的升级和调整服务，对病理科提出的合理要求，需要尽量满足。</w:t>
      </w:r>
    </w:p>
    <w:p w14:paraId="1A65B10F">
      <w:pPr>
        <w:pStyle w:val="10"/>
        <w:numPr>
          <w:ilvl w:val="0"/>
          <w:numId w:val="2"/>
        </w:numPr>
        <w:spacing w:line="360" w:lineRule="auto"/>
        <w:ind w:firstLine="482" w:firstLineChars="200"/>
        <w:rPr>
          <w:rFonts w:hint="eastAsia" w:ascii="仿宋" w:hAnsi="仿宋" w:eastAsia="仿宋" w:cs="仿宋"/>
          <w:b/>
          <w:bCs/>
          <w:color w:val="auto"/>
          <w:kern w:val="2"/>
          <w:sz w:val="24"/>
          <w:szCs w:val="22"/>
          <w:lang w:val="en-US" w:eastAsia="zh-CN" w:bidi="ar-SA"/>
        </w:rPr>
      </w:pPr>
      <w:r>
        <w:rPr>
          <w:rFonts w:hint="eastAsia" w:ascii="仿宋" w:hAnsi="仿宋" w:eastAsia="仿宋" w:cs="仿宋"/>
          <w:b/>
          <w:bCs/>
          <w:color w:val="auto"/>
          <w:kern w:val="2"/>
          <w:sz w:val="24"/>
          <w:szCs w:val="22"/>
          <w:lang w:val="en-US" w:eastAsia="zh-CN" w:bidi="ar-SA"/>
        </w:rPr>
        <w:t>违约责任</w:t>
      </w:r>
    </w:p>
    <w:p w14:paraId="15E879FA">
      <w:pPr>
        <w:pStyle w:val="2"/>
        <w:numPr>
          <w:ilvl w:val="0"/>
          <w:numId w:val="4"/>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每缺少1次巡检记录，乙方应向甲方支付违约金1000元；</w:t>
      </w:r>
    </w:p>
    <w:p w14:paraId="367DFA36">
      <w:pPr>
        <w:pStyle w:val="2"/>
        <w:numPr>
          <w:ilvl w:val="0"/>
          <w:numId w:val="4"/>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任何一方违反本技术要求中“保密、廉洁条款”要求的，应承担相应的违约责任并赔偿由此造成的损失，损失累计金额超过合同款项的5%的，损失方同时有权终止合同并收回已付款项。</w:t>
      </w:r>
    </w:p>
    <w:p w14:paraId="0C840DA7">
      <w:pPr>
        <w:pStyle w:val="2"/>
        <w:numPr>
          <w:ilvl w:val="0"/>
          <w:numId w:val="4"/>
        </w:numPr>
        <w:spacing w:line="360" w:lineRule="auto"/>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乙方未按本技术要求和响应文件中规定的其他服务承诺提供售后服务的，按损失情况，每次应按合同合计金额的0.1‰-0.1%由乙方向甲方支付违约金，损失累计金额超过合同款项的5%的，损失方同时有权终止合同并收回已付款项。</w:t>
      </w:r>
    </w:p>
    <w:p w14:paraId="38098B86">
      <w:pPr>
        <w:pStyle w:val="2"/>
        <w:numPr>
          <w:ilvl w:val="0"/>
          <w:numId w:val="2"/>
        </w:numPr>
        <w:spacing w:line="360" w:lineRule="auto"/>
        <w:ind w:firstLine="482" w:firstLineChars="200"/>
        <w:rPr>
          <w:rFonts w:hint="eastAsia" w:ascii="宋体" w:hAnsi="宋体"/>
          <w:b/>
          <w:bCs/>
          <w:sz w:val="28"/>
          <w:lang w:val="en-US"/>
        </w:rPr>
      </w:pPr>
      <w:r>
        <w:rPr>
          <w:rFonts w:hint="eastAsia" w:ascii="仿宋" w:hAnsi="仿宋" w:eastAsia="仿宋" w:cs="仿宋"/>
          <w:b/>
          <w:bCs/>
          <w:color w:val="auto"/>
          <w:kern w:val="2"/>
          <w:sz w:val="24"/>
          <w:szCs w:val="22"/>
          <w:lang w:val="en-US" w:eastAsia="zh-CN" w:bidi="ar-SA"/>
        </w:rPr>
        <w:t>保密、廉洁协议</w:t>
      </w:r>
    </w:p>
    <w:p w14:paraId="28494D54">
      <w:pPr>
        <w:numPr>
          <w:ilvl w:val="0"/>
          <w:numId w:val="5"/>
        </w:numPr>
        <w:spacing w:line="360" w:lineRule="auto"/>
        <w:jc w:val="left"/>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双方保证对从另一方取得且无法自公开渠道获得的商业秘密(技术信息、经营信息及其他商业秘密)予以保密。未经该商业秘密的提供方同意，一方不得向任何第三方泄露该商业秘密的全部或部分内容，但法律、法规另有规定或双方另有约定的除外。任何一方违反保密义务的，应承担相应的违约责任并赔偿由此造成的损失。</w:t>
      </w:r>
    </w:p>
    <w:p w14:paraId="5F0DFDE2">
      <w:pPr>
        <w:numPr>
          <w:ilvl w:val="0"/>
          <w:numId w:val="5"/>
        </w:numPr>
        <w:spacing w:line="360" w:lineRule="auto"/>
        <w:jc w:val="left"/>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双方不得以任何方式向第三方泄露本项目的软件技术、设计方案以及功能配置等内容。</w:t>
      </w:r>
    </w:p>
    <w:p w14:paraId="5D723635">
      <w:pPr>
        <w:numPr>
          <w:ilvl w:val="0"/>
          <w:numId w:val="5"/>
        </w:numPr>
        <w:spacing w:line="360" w:lineRule="auto"/>
        <w:jc w:val="left"/>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以任何方式向第三方泄露在本协议开发实施过程中获取的经济、技术、数据以及双方其他非公开的信息。</w:t>
      </w:r>
    </w:p>
    <w:p w14:paraId="66FC61F0">
      <w:pPr>
        <w:numPr>
          <w:ilvl w:val="0"/>
          <w:numId w:val="5"/>
        </w:numPr>
        <w:spacing w:line="360" w:lineRule="auto"/>
        <w:jc w:val="left"/>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不从事商业贿赂行为，遵守廉洁协议或相关规定。甲方发现乙方有违反廉洁协议或相关规定采用不正当手段进行不正当竞争行为的，或被有关部门生效文书认定有行贿或者受贿行为的，甲方有权解除该业务合同，由此给甲方造成的损失以及发生的一切费用均由乙方承担，甲方有权对乙方实施商业贿赂不良记录，列入“黑名单”，并三年内取消其业务往来资格。</w:t>
      </w:r>
    </w:p>
    <w:p w14:paraId="7E7704CF">
      <w:pPr>
        <w:numPr>
          <w:ilvl w:val="0"/>
          <w:numId w:val="5"/>
        </w:numPr>
        <w:spacing w:line="360" w:lineRule="auto"/>
        <w:jc w:val="left"/>
        <w:rPr>
          <w:rFonts w:hint="eastAsia" w:ascii="仿宋" w:hAnsi="仿宋" w:eastAsia="仿宋" w:cs="仿宋"/>
          <w:color w:val="auto"/>
          <w:kern w:val="2"/>
          <w:sz w:val="24"/>
          <w:szCs w:val="22"/>
          <w:lang w:val="en-US" w:eastAsia="zh-CN" w:bidi="ar-SA"/>
        </w:rPr>
      </w:pPr>
      <w:r>
        <w:rPr>
          <w:rFonts w:hint="eastAsia" w:ascii="仿宋" w:hAnsi="仿宋" w:eastAsia="仿宋" w:cs="仿宋"/>
          <w:color w:val="auto"/>
          <w:kern w:val="2"/>
          <w:sz w:val="24"/>
          <w:szCs w:val="22"/>
          <w:lang w:val="en-US" w:eastAsia="zh-CN" w:bidi="ar-SA"/>
        </w:rPr>
        <w:t>保密期限自本合同生效之日起永久有效，如乙方需解除保密协议需向甲方提出书面申请，双方协商同意签字确认后方可解除。</w:t>
      </w:r>
    </w:p>
    <w:p w14:paraId="66AC5AE1">
      <w:pPr>
        <w:pStyle w:val="10"/>
        <w:spacing w:line="360" w:lineRule="auto"/>
        <w:ind w:firstLine="0" w:firstLineChars="0"/>
        <w:rPr>
          <w:rFonts w:hint="eastAsia" w:ascii="仿宋" w:hAnsi="仿宋" w:eastAsia="仿宋" w:cs="仿宋"/>
          <w:b/>
          <w:bCs/>
          <w:color w:val="auto"/>
          <w:kern w:val="2"/>
          <w:sz w:val="24"/>
          <w:szCs w:val="22"/>
          <w:lang w:val="en-US" w:eastAsia="zh-CN" w:bidi="ar-SA"/>
        </w:rPr>
      </w:pPr>
      <w:r>
        <w:rPr>
          <w:rFonts w:hint="eastAsia" w:ascii="宋体" w:hAnsi="宋体"/>
          <w:b/>
          <w:sz w:val="28"/>
          <w:szCs w:val="28"/>
        </w:rPr>
        <w:t xml:space="preserve">   五、</w:t>
      </w:r>
      <w:r>
        <w:rPr>
          <w:rFonts w:hint="eastAsia" w:ascii="仿宋" w:hAnsi="仿宋" w:eastAsia="仿宋" w:cs="仿宋"/>
          <w:b/>
          <w:bCs/>
          <w:color w:val="auto"/>
          <w:kern w:val="2"/>
          <w:sz w:val="24"/>
          <w:szCs w:val="22"/>
          <w:lang w:val="en-US" w:eastAsia="zh-CN" w:bidi="ar-SA"/>
        </w:rPr>
        <w:t>付款方式</w:t>
      </w:r>
    </w:p>
    <w:p w14:paraId="0D82DEA6">
      <w:pPr>
        <w:pStyle w:val="10"/>
        <w:spacing w:line="360" w:lineRule="auto"/>
        <w:ind w:firstLine="480"/>
        <w:rPr>
          <w:rFonts w:hint="eastAsia" w:ascii="仿宋" w:hAnsi="仿宋" w:eastAsia="仿宋" w:cs="仿宋"/>
          <w:sz w:val="24"/>
          <w:szCs w:val="24"/>
        </w:rPr>
      </w:pPr>
      <w:r>
        <w:rPr>
          <w:rFonts w:hint="eastAsia" w:ascii="仿宋" w:hAnsi="仿宋" w:eastAsia="仿宋" w:cs="仿宋"/>
          <w:color w:val="auto"/>
          <w:sz w:val="24"/>
          <w:szCs w:val="22"/>
          <w:lang w:val="en-US" w:eastAsia="zh-CN"/>
        </w:rPr>
        <w:t>签订维保合同后，乙方</w:t>
      </w:r>
      <w:r>
        <w:rPr>
          <w:rFonts w:hint="eastAsia" w:ascii="仿宋" w:hAnsi="仿宋" w:eastAsia="仿宋" w:cs="仿宋"/>
          <w:color w:val="auto"/>
          <w:sz w:val="24"/>
          <w:szCs w:val="22"/>
        </w:rPr>
        <w:t>开具</w:t>
      </w:r>
      <w:r>
        <w:rPr>
          <w:rFonts w:hint="eastAsia" w:ascii="仿宋" w:hAnsi="仿宋" w:eastAsia="仿宋" w:cs="仿宋"/>
          <w:color w:val="auto"/>
          <w:sz w:val="24"/>
          <w:szCs w:val="22"/>
          <w:lang w:eastAsia="zh-CN"/>
        </w:rPr>
        <w:t>第一年维保服务费</w:t>
      </w:r>
      <w:r>
        <w:rPr>
          <w:rFonts w:hint="eastAsia" w:ascii="仿宋" w:hAnsi="仿宋" w:eastAsia="仿宋" w:cs="仿宋"/>
          <w:color w:val="auto"/>
          <w:sz w:val="24"/>
          <w:szCs w:val="22"/>
        </w:rPr>
        <w:t>增值税发票给</w:t>
      </w:r>
      <w:r>
        <w:rPr>
          <w:rFonts w:hint="eastAsia" w:ascii="仿宋" w:hAnsi="仿宋" w:eastAsia="仿宋" w:cs="仿宋"/>
          <w:color w:val="auto"/>
          <w:sz w:val="24"/>
          <w:szCs w:val="22"/>
          <w:lang w:eastAsia="zh-CN"/>
        </w:rPr>
        <w:t>甲方</w:t>
      </w:r>
      <w:r>
        <w:rPr>
          <w:rFonts w:hint="eastAsia" w:ascii="仿宋" w:hAnsi="仿宋" w:eastAsia="仿宋" w:cs="仿宋"/>
          <w:color w:val="auto"/>
          <w:sz w:val="24"/>
          <w:szCs w:val="22"/>
          <w:lang w:eastAsia="zh-CN"/>
        </w:rPr>
        <w:t>，甲方</w:t>
      </w:r>
      <w:r>
        <w:rPr>
          <w:rFonts w:hint="eastAsia" w:ascii="仿宋" w:hAnsi="仿宋" w:eastAsia="仿宋" w:cs="仿宋"/>
          <w:color w:val="auto"/>
          <w:sz w:val="24"/>
          <w:szCs w:val="22"/>
          <w:lang w:eastAsia="zh-CN"/>
        </w:rPr>
        <w:t>收到发票后</w:t>
      </w:r>
      <w:r>
        <w:rPr>
          <w:rFonts w:hint="eastAsia" w:ascii="仿宋" w:hAnsi="仿宋" w:eastAsia="仿宋" w:cs="仿宋"/>
          <w:color w:val="auto"/>
          <w:sz w:val="24"/>
          <w:szCs w:val="22"/>
        </w:rPr>
        <w:t>支付</w:t>
      </w:r>
      <w:r>
        <w:rPr>
          <w:rFonts w:hint="eastAsia" w:ascii="仿宋" w:hAnsi="仿宋" w:eastAsia="仿宋" w:cs="仿宋"/>
          <w:color w:val="auto"/>
          <w:sz w:val="24"/>
          <w:szCs w:val="22"/>
          <w:lang w:eastAsia="zh-CN"/>
        </w:rPr>
        <w:t>给乙方</w:t>
      </w:r>
      <w:r>
        <w:rPr>
          <w:rFonts w:hint="eastAsia" w:ascii="仿宋" w:hAnsi="仿宋" w:eastAsia="仿宋" w:cs="仿宋"/>
          <w:color w:val="auto"/>
          <w:sz w:val="24"/>
          <w:szCs w:val="22"/>
        </w:rPr>
        <w:t>第一年</w:t>
      </w:r>
      <w:r>
        <w:rPr>
          <w:rFonts w:hint="eastAsia" w:ascii="仿宋" w:hAnsi="仿宋" w:eastAsia="仿宋" w:cs="仿宋"/>
          <w:color w:val="auto"/>
          <w:sz w:val="24"/>
          <w:szCs w:val="22"/>
          <w:lang w:eastAsia="zh-CN"/>
        </w:rPr>
        <w:t>维保</w:t>
      </w:r>
      <w:r>
        <w:rPr>
          <w:rFonts w:hint="eastAsia" w:ascii="仿宋" w:hAnsi="仿宋" w:eastAsia="仿宋" w:cs="仿宋"/>
          <w:color w:val="auto"/>
          <w:sz w:val="24"/>
          <w:szCs w:val="22"/>
        </w:rPr>
        <w:t>服务</w:t>
      </w:r>
      <w:r>
        <w:rPr>
          <w:rFonts w:hint="eastAsia" w:ascii="仿宋" w:hAnsi="仿宋" w:eastAsia="仿宋" w:cs="仿宋"/>
          <w:color w:val="auto"/>
          <w:sz w:val="24"/>
          <w:szCs w:val="22"/>
          <w:lang w:val="en-US" w:eastAsia="zh-CN"/>
        </w:rPr>
        <w:t>费；第二年开始凭前一年的验收合格报告，</w:t>
      </w:r>
      <w:r>
        <w:rPr>
          <w:rFonts w:hint="eastAsia" w:ascii="仿宋" w:hAnsi="仿宋" w:eastAsia="仿宋" w:cs="仿宋"/>
          <w:color w:val="auto"/>
          <w:sz w:val="24"/>
          <w:szCs w:val="22"/>
          <w:lang w:eastAsia="zh-CN"/>
        </w:rPr>
        <w:t>乙方</w:t>
      </w:r>
      <w:r>
        <w:rPr>
          <w:rFonts w:hint="eastAsia" w:ascii="仿宋" w:hAnsi="仿宋" w:eastAsia="仿宋" w:cs="仿宋"/>
          <w:color w:val="auto"/>
          <w:sz w:val="24"/>
          <w:szCs w:val="22"/>
        </w:rPr>
        <w:t>开具</w:t>
      </w:r>
      <w:r>
        <w:rPr>
          <w:rFonts w:hint="eastAsia" w:ascii="仿宋" w:hAnsi="仿宋" w:eastAsia="仿宋" w:cs="仿宋"/>
          <w:color w:val="auto"/>
          <w:sz w:val="24"/>
          <w:szCs w:val="22"/>
          <w:lang w:eastAsia="zh-CN"/>
        </w:rPr>
        <w:t>当年维保服务费</w:t>
      </w:r>
      <w:r>
        <w:rPr>
          <w:rFonts w:hint="eastAsia" w:ascii="仿宋" w:hAnsi="仿宋" w:eastAsia="仿宋" w:cs="仿宋"/>
          <w:color w:val="auto"/>
          <w:sz w:val="24"/>
          <w:szCs w:val="22"/>
        </w:rPr>
        <w:t>增值税发票给</w:t>
      </w:r>
      <w:r>
        <w:rPr>
          <w:rFonts w:hint="eastAsia" w:ascii="仿宋" w:hAnsi="仿宋" w:eastAsia="仿宋" w:cs="仿宋"/>
          <w:color w:val="auto"/>
          <w:sz w:val="24"/>
          <w:szCs w:val="22"/>
          <w:lang w:eastAsia="zh-CN"/>
        </w:rPr>
        <w:t>甲方</w:t>
      </w:r>
      <w:r>
        <w:rPr>
          <w:rFonts w:hint="eastAsia" w:ascii="仿宋" w:hAnsi="仿宋" w:eastAsia="仿宋" w:cs="仿宋"/>
          <w:color w:val="auto"/>
          <w:sz w:val="24"/>
          <w:szCs w:val="22"/>
          <w:lang w:eastAsia="zh-CN"/>
        </w:rPr>
        <w:t>，甲方</w:t>
      </w:r>
      <w:r>
        <w:rPr>
          <w:rFonts w:hint="eastAsia" w:ascii="仿宋" w:hAnsi="仿宋" w:eastAsia="仿宋" w:cs="仿宋"/>
          <w:color w:val="auto"/>
          <w:sz w:val="24"/>
          <w:szCs w:val="22"/>
          <w:lang w:eastAsia="zh-CN"/>
        </w:rPr>
        <w:t>收到发票后支付当年维保</w:t>
      </w:r>
      <w:r>
        <w:rPr>
          <w:rFonts w:hint="eastAsia" w:ascii="仿宋" w:hAnsi="仿宋" w:eastAsia="仿宋" w:cs="仿宋"/>
          <w:color w:val="auto"/>
          <w:sz w:val="24"/>
          <w:szCs w:val="22"/>
        </w:rPr>
        <w:t>务费</w:t>
      </w:r>
      <w:r>
        <w:rPr>
          <w:rFonts w:hint="eastAsia" w:ascii="仿宋" w:hAnsi="仿宋" w:eastAsia="仿宋" w:cs="仿宋"/>
          <w:color w:val="auto"/>
          <w:sz w:val="24"/>
          <w:szCs w:val="22"/>
          <w:lang w:val="en-US" w:eastAsia="zh-CN"/>
        </w:rPr>
        <w:t>，直至付清。</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chineseCountingThousand"/>
      <w:pStyle w:val="4"/>
      <w:lvlText w:val="%1"/>
      <w:lvlJc w:val="left"/>
      <w:pPr>
        <w:ind w:left="425" w:hanging="425"/>
      </w:pPr>
      <w:rPr>
        <w:rFonts w:hint="eastAsia"/>
      </w:rPr>
    </w:lvl>
    <w:lvl w:ilvl="1" w:tentative="0">
      <w:start w:val="1"/>
      <w:numFmt w:val="chineseCountingThousand"/>
      <w:lvlText w:val="(%2)"/>
      <w:lvlJc w:val="left"/>
      <w:pPr>
        <w:ind w:left="850" w:hanging="567"/>
      </w:pPr>
      <w:rPr>
        <w:rFonts w:hint="eastAsia"/>
      </w:rPr>
    </w:lvl>
    <w:lvl w:ilvl="2" w:tentative="0">
      <w:start w:val="1"/>
      <w:numFmt w:val="decimal"/>
      <w:lvlText w:val="%3."/>
      <w:lvlJc w:val="left"/>
      <w:pPr>
        <w:ind w:left="1356" w:hanging="567"/>
      </w:pPr>
      <w:rPr>
        <w:rFonts w:hint="eastAsia"/>
      </w:rPr>
    </w:lvl>
    <w:lvl w:ilvl="3" w:tentative="0">
      <w:start w:val="1"/>
      <w:numFmt w:val="decimal"/>
      <w:isLgl/>
      <w:lvlText w:val="%1.%2.%3.%4"/>
      <w:lvlJc w:val="left"/>
      <w:pPr>
        <w:ind w:left="1984" w:hanging="708"/>
      </w:pPr>
      <w:rPr>
        <w:rFonts w:hint="eastAsia"/>
      </w:rPr>
    </w:lvl>
    <w:lvl w:ilvl="4" w:tentative="0">
      <w:start w:val="1"/>
      <w:numFmt w:val="decimal"/>
      <w:isLgl/>
      <w:lvlText w:val="%1.%2.%3.%4.%5"/>
      <w:lvlJc w:val="left"/>
      <w:pPr>
        <w:ind w:left="2551" w:hanging="850"/>
      </w:pPr>
      <w:rPr>
        <w:rFonts w:hint="eastAsia"/>
      </w:rPr>
    </w:lvl>
    <w:lvl w:ilvl="5" w:tentative="0">
      <w:start w:val="1"/>
      <w:numFmt w:val="decimal"/>
      <w:isLgl/>
      <w:lvlText w:val="%1.%2.%3.%4.%5.%6"/>
      <w:lvlJc w:val="left"/>
      <w:pPr>
        <w:ind w:left="3260" w:hanging="1134"/>
      </w:pPr>
      <w:rPr>
        <w:rFonts w:hint="eastAsia"/>
      </w:rPr>
    </w:lvl>
    <w:lvl w:ilvl="6" w:tentative="0">
      <w:start w:val="1"/>
      <w:numFmt w:val="decimal"/>
      <w:isLgl/>
      <w:lvlText w:val="%1.%2.%3.%4.%5.%6.%7"/>
      <w:lvlJc w:val="left"/>
      <w:pPr>
        <w:ind w:left="3827" w:hanging="1276"/>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00000001"/>
    <w:multiLevelType w:val="singleLevel"/>
    <w:tmpl w:val="00000001"/>
    <w:lvl w:ilvl="0" w:tentative="0">
      <w:start w:val="1"/>
      <w:numFmt w:val="decimal"/>
      <w:lvlText w:val="%1."/>
      <w:lvlJc w:val="left"/>
      <w:pPr>
        <w:ind w:left="425" w:hanging="425"/>
      </w:pPr>
      <w:rPr>
        <w:rFonts w:hint="default"/>
      </w:rPr>
    </w:lvl>
  </w:abstractNum>
  <w:abstractNum w:abstractNumId="2">
    <w:nsid w:val="00000002"/>
    <w:multiLevelType w:val="singleLevel"/>
    <w:tmpl w:val="00000002"/>
    <w:lvl w:ilvl="0" w:tentative="0">
      <w:start w:val="1"/>
      <w:numFmt w:val="chineseCounting"/>
      <w:suff w:val="nothing"/>
      <w:lvlText w:val="%1、"/>
      <w:lvlJc w:val="left"/>
      <w:pPr>
        <w:ind w:left="0" w:firstLine="420"/>
      </w:pPr>
      <w:rPr>
        <w:rFonts w:hint="eastAsia"/>
      </w:rPr>
    </w:lvl>
  </w:abstractNum>
  <w:abstractNum w:abstractNumId="3">
    <w:nsid w:val="00000003"/>
    <w:multiLevelType w:val="singleLevel"/>
    <w:tmpl w:val="00000003"/>
    <w:lvl w:ilvl="0" w:tentative="0">
      <w:start w:val="1"/>
      <w:numFmt w:val="decimal"/>
      <w:lvlText w:val="%1."/>
      <w:lvlJc w:val="left"/>
      <w:pPr>
        <w:ind w:left="425" w:hanging="425"/>
      </w:pPr>
      <w:rPr>
        <w:rFonts w:hint="default"/>
      </w:rPr>
    </w:lvl>
  </w:abstractNum>
  <w:abstractNum w:abstractNumId="4">
    <w:nsid w:val="21C20B5E"/>
    <w:multiLevelType w:val="singleLevel"/>
    <w:tmpl w:val="21C20B5E"/>
    <w:lvl w:ilvl="0" w:tentative="0">
      <w:start w:val="1"/>
      <w:numFmt w:val="decimal"/>
      <w:lvlText w:val="%1."/>
      <w:lvlJc w:val="left"/>
      <w:pPr>
        <w:ind w:left="425" w:hanging="425"/>
      </w:pPr>
      <w:rPr>
        <w:rFonts w:hint="default"/>
        <w:color w:val="auto"/>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I3ZDgzZmI2ZDJmOTI0YzYwZjFmMWYxMDRmMGE4MDYifQ=="/>
  </w:docVars>
  <w:rsids>
    <w:rsidRoot w:val="00A16510"/>
    <w:rsid w:val="0002296D"/>
    <w:rsid w:val="007B4D67"/>
    <w:rsid w:val="00A16510"/>
    <w:rsid w:val="00B61C52"/>
    <w:rsid w:val="07942578"/>
    <w:rsid w:val="0B7373D0"/>
    <w:rsid w:val="0D464D9C"/>
    <w:rsid w:val="149347C7"/>
    <w:rsid w:val="16257519"/>
    <w:rsid w:val="18D860D6"/>
    <w:rsid w:val="1BDD4B1E"/>
    <w:rsid w:val="249E30D3"/>
    <w:rsid w:val="299F058D"/>
    <w:rsid w:val="3A992821"/>
    <w:rsid w:val="3F000B20"/>
    <w:rsid w:val="44153036"/>
    <w:rsid w:val="4F147D44"/>
    <w:rsid w:val="50B16809"/>
    <w:rsid w:val="549C5B95"/>
    <w:rsid w:val="550A5B2E"/>
    <w:rsid w:val="5E595CA4"/>
    <w:rsid w:val="5FCD423E"/>
    <w:rsid w:val="6AAD6A36"/>
    <w:rsid w:val="6B944135"/>
    <w:rsid w:val="6F215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4">
    <w:name w:val="heading 1"/>
    <w:basedOn w:val="1"/>
    <w:next w:val="1"/>
    <w:qFormat/>
    <w:uiPriority w:val="9"/>
    <w:pPr>
      <w:keepNext/>
      <w:keepLines/>
      <w:numPr>
        <w:ilvl w:val="0"/>
        <w:numId w:val="1"/>
      </w:numPr>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rPr>
      <w:rFonts w:ascii="Times New Roman" w:hAnsi="Times New Roman"/>
      <w:kern w:val="0"/>
      <w:sz w:val="20"/>
      <w:szCs w:val="24"/>
      <w:lang w:val="zh-CN"/>
    </w:rPr>
  </w:style>
  <w:style w:type="paragraph" w:styleId="3">
    <w:name w:val="Subtitle"/>
    <w:basedOn w:val="1"/>
    <w:qFormat/>
    <w:uiPriority w:val="0"/>
    <w:pPr>
      <w:spacing w:before="240" w:after="60" w:line="312" w:lineRule="auto"/>
      <w:jc w:val="center"/>
      <w:outlineLvl w:val="1"/>
    </w:pPr>
    <w:rPr>
      <w:rFonts w:ascii="Arial" w:hAnsi="Arial"/>
      <w:b/>
      <w:kern w:val="28"/>
      <w:sz w:val="32"/>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List Paragraph_bac10228-1b89-4f94-bd3e-a8fbd30aa9ab"/>
    <w:basedOn w:val="1"/>
    <w:qFormat/>
    <w:uiPriority w:val="34"/>
    <w:pPr>
      <w:ind w:firstLine="420" w:firstLineChars="200"/>
    </w:pPr>
  </w:style>
  <w:style w:type="paragraph" w:customStyle="1" w:styleId="11">
    <w:name w:val="p15"/>
    <w:basedOn w:val="1"/>
    <w:qFormat/>
    <w:uiPriority w:val="0"/>
    <w:pPr>
      <w:widowControl/>
      <w:ind w:firstLine="420"/>
    </w:pPr>
    <w:rPr>
      <w:kern w:val="0"/>
      <w:szCs w:val="21"/>
    </w:rPr>
  </w:style>
  <w:style w:type="character" w:customStyle="1" w:styleId="12">
    <w:name w:val="页眉 字符"/>
    <w:basedOn w:val="9"/>
    <w:link w:val="6"/>
    <w:qFormat/>
    <w:uiPriority w:val="0"/>
    <w:rPr>
      <w:rFonts w:ascii="Calibri" w:hAnsi="Calibri" w:eastAsia="宋体" w:cs="宋体"/>
      <w:kern w:val="2"/>
      <w:sz w:val="18"/>
      <w:szCs w:val="18"/>
    </w:rPr>
  </w:style>
  <w:style w:type="character" w:customStyle="1" w:styleId="13">
    <w:name w:val="页脚 字符"/>
    <w:basedOn w:val="9"/>
    <w:link w:val="5"/>
    <w:qFormat/>
    <w:uiPriority w:val="0"/>
    <w:rPr>
      <w:rFonts w:ascii="Calibri" w:hAnsi="Calibri" w:eastAsia="宋体" w:cs="宋体"/>
      <w:kern w:val="2"/>
      <w:sz w:val="18"/>
      <w:szCs w:val="18"/>
    </w:rPr>
  </w:style>
  <w:style w:type="paragraph" w:customStyle="1" w:styleId="14">
    <w:name w:val="列出段落1"/>
    <w:basedOn w:val="1"/>
    <w:qFormat/>
    <w:uiPriority w:val="34"/>
    <w:pPr>
      <w:ind w:firstLine="420" w:firstLineChars="200"/>
    </w:pPr>
    <w:rPr>
      <w:rFonts w:ascii="Times New Roman" w:hAnsi="Times New Roman" w:cs="Times New Roman"/>
      <w:szCs w:val="24"/>
    </w:rPr>
  </w:style>
  <w:style w:type="paragraph" w:customStyle="1" w:styleId="15">
    <w:name w:val="Revision"/>
    <w:hidden/>
    <w:unhideWhenUsed/>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2057</Words>
  <Characters>2093</Characters>
  <Lines>14</Lines>
  <Paragraphs>4</Paragraphs>
  <TotalTime>19</TotalTime>
  <ScaleCrop>false</ScaleCrop>
  <LinksUpToDate>false</LinksUpToDate>
  <CharactersWithSpaces>2096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2026-08-19T05:21:00Z</dcterms:created>
  <dc:creator>LGYY-USER</dc:creator>
  <cp:lastModifiedBy>阿信</cp:lastModifiedBy>
  <cp:lastPrinted>2022-04-11T02:51:00Z</cp:lastPrinted>
  <dcterms:modified xsi:type="dcterms:W3CDTF">2026-08-20T07:18:57Z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8D64A50830544A19BCE9183D2E058491</vt:lpwstr>
  </property>
  <property fmtid="{D5CDD505-2E9C-101B-9397-08002B2CF9AE}" pid="4" name="KSOTemplateDocerSaveRecord">
    <vt:lpwstr>eyJoZGlkIjoiMGRiOWE0M2Y5OWYwZTYyYWYwNmUzNWIwNzlhMjAzZWIiLCJ1c2VySWQiOiIzODk2MzM3NTIifQ==</vt:lpwstr>
  </property>
</Properties>
</file>