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C52C93">
      <w:pPr>
        <w:keepNext/>
        <w:keepLines/>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微软雅黑"/>
          <w:b/>
          <w:bCs/>
          <w:kern w:val="44"/>
          <w:sz w:val="30"/>
          <w:szCs w:val="30"/>
          <w:lang w:val="en-US" w:eastAsia="zh-CN"/>
        </w:rPr>
      </w:pPr>
      <w:bookmarkStart w:id="0" w:name="_Toc344816509"/>
      <w:r>
        <w:rPr>
          <w:rFonts w:hint="eastAsia" w:ascii="宋体" w:hAnsi="宋体" w:eastAsia="宋体" w:cs="微软雅黑"/>
          <w:b/>
          <w:bCs/>
          <w:kern w:val="44"/>
          <w:sz w:val="30"/>
          <w:szCs w:val="30"/>
        </w:rPr>
        <w:t>柳州市</w:t>
      </w:r>
      <w:r>
        <w:rPr>
          <w:rFonts w:ascii="宋体" w:hAnsi="宋体" w:eastAsia="宋体" w:cs="微软雅黑"/>
          <w:b/>
          <w:bCs/>
          <w:kern w:val="44"/>
          <w:sz w:val="30"/>
          <w:szCs w:val="30"/>
        </w:rPr>
        <w:t>工人医院</w:t>
      </w:r>
      <w:r>
        <w:rPr>
          <w:rFonts w:hint="eastAsia" w:ascii="宋体" w:hAnsi="宋体" w:eastAsia="宋体" w:cs="微软雅黑"/>
          <w:b/>
          <w:bCs/>
          <w:kern w:val="44"/>
          <w:sz w:val="30"/>
          <w:szCs w:val="30"/>
        </w:rPr>
        <w:t>信息</w:t>
      </w:r>
      <w:r>
        <w:rPr>
          <w:rFonts w:hint="eastAsia" w:ascii="宋体" w:hAnsi="宋体" w:eastAsia="宋体" w:cs="微软雅黑"/>
          <w:b/>
          <w:bCs/>
          <w:kern w:val="44"/>
          <w:sz w:val="30"/>
          <w:szCs w:val="30"/>
          <w:lang w:val="en-US" w:eastAsia="zh-CN"/>
        </w:rPr>
        <w:t>安全防护系统</w:t>
      </w:r>
      <w:r>
        <w:rPr>
          <w:rFonts w:hint="eastAsia" w:ascii="宋体" w:hAnsi="宋体" w:eastAsia="宋体" w:cs="微软雅黑"/>
          <w:b/>
          <w:bCs/>
          <w:kern w:val="44"/>
          <w:sz w:val="30"/>
          <w:szCs w:val="30"/>
        </w:rPr>
        <w:t>（二期）</w:t>
      </w:r>
      <w:r>
        <w:rPr>
          <w:rFonts w:hint="eastAsia" w:ascii="宋体" w:hAnsi="宋体" w:eastAsia="宋体" w:cs="微软雅黑"/>
          <w:b/>
          <w:bCs/>
          <w:kern w:val="44"/>
          <w:sz w:val="30"/>
          <w:szCs w:val="30"/>
          <w:lang w:val="en-US" w:eastAsia="zh-CN"/>
        </w:rPr>
        <w:t>建设</w:t>
      </w:r>
    </w:p>
    <w:p w14:paraId="37F034E4">
      <w:pPr>
        <w:keepNext/>
        <w:keepLines/>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微软雅黑"/>
          <w:b/>
          <w:bCs/>
          <w:kern w:val="44"/>
          <w:sz w:val="30"/>
          <w:szCs w:val="30"/>
          <w:lang w:eastAsia="zh-CN"/>
        </w:rPr>
      </w:pPr>
      <w:r>
        <w:rPr>
          <w:rFonts w:hint="eastAsia" w:ascii="宋体" w:hAnsi="宋体" w:eastAsia="宋体" w:cs="微软雅黑"/>
          <w:b/>
          <w:bCs/>
          <w:kern w:val="44"/>
          <w:sz w:val="30"/>
          <w:szCs w:val="30"/>
        </w:rPr>
        <w:t>技术参数</w:t>
      </w:r>
      <w:r>
        <w:rPr>
          <w:rFonts w:hint="eastAsia" w:ascii="宋体" w:hAnsi="宋体" w:eastAsia="宋体" w:cs="微软雅黑"/>
          <w:b/>
          <w:bCs/>
          <w:kern w:val="44"/>
          <w:sz w:val="30"/>
          <w:szCs w:val="30"/>
          <w:lang w:eastAsia="zh-CN"/>
        </w:rPr>
        <w:t>要求</w:t>
      </w:r>
    </w:p>
    <w:p w14:paraId="27660619">
      <w:pPr>
        <w:keepNext/>
        <w:keepLines/>
        <w:pageBreakBefore w:val="0"/>
        <w:widowControl w:val="0"/>
        <w:kinsoku/>
        <w:wordWrap/>
        <w:overflowPunct/>
        <w:topLinePunct w:val="0"/>
        <w:autoSpaceDE/>
        <w:autoSpaceDN/>
        <w:bidi w:val="0"/>
        <w:adjustRightInd/>
        <w:snapToGrid/>
        <w:spacing w:line="312" w:lineRule="auto"/>
        <w:ind w:left="420" w:leftChars="200"/>
        <w:jc w:val="left"/>
        <w:textAlignment w:val="auto"/>
        <w:rPr>
          <w:rFonts w:ascii="宋体" w:hAnsi="宋体" w:eastAsia="宋体" w:cs="微软雅黑"/>
          <w:b/>
          <w:bCs/>
          <w:kern w:val="44"/>
          <w:sz w:val="24"/>
          <w:szCs w:val="24"/>
        </w:rPr>
      </w:pPr>
    </w:p>
    <w:bookmarkEnd w:id="0"/>
    <w:p w14:paraId="57DA26DF">
      <w:pPr>
        <w:pStyle w:val="15"/>
        <w:pageBreakBefore w:val="0"/>
        <w:widowControl w:val="0"/>
        <w:numPr>
          <w:ilvl w:val="0"/>
          <w:numId w:val="2"/>
        </w:numPr>
        <w:kinsoku/>
        <w:wordWrap/>
        <w:overflowPunct/>
        <w:topLinePunct w:val="0"/>
        <w:autoSpaceDE/>
        <w:autoSpaceDN/>
        <w:bidi w:val="0"/>
        <w:adjustRightInd/>
        <w:snapToGrid/>
        <w:spacing w:line="312" w:lineRule="auto"/>
        <w:ind w:firstLineChars="0"/>
        <w:textAlignment w:val="auto"/>
        <w:rPr>
          <w:rFonts w:ascii="宋体" w:hAnsi="宋体" w:eastAsia="宋体"/>
          <w:b/>
          <w:sz w:val="28"/>
          <w:szCs w:val="28"/>
        </w:rPr>
      </w:pPr>
      <w:r>
        <w:rPr>
          <w:rFonts w:hint="eastAsia" w:ascii="宋体" w:hAnsi="宋体" w:eastAsia="宋体"/>
          <w:b/>
          <w:sz w:val="28"/>
          <w:szCs w:val="28"/>
        </w:rPr>
        <w:t>项目背景</w:t>
      </w:r>
    </w:p>
    <w:p w14:paraId="255BEFF1">
      <w:pPr>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sz w:val="24"/>
          <w:szCs w:val="24"/>
          <w:lang w:eastAsia="zh-CN"/>
        </w:rPr>
      </w:pPr>
      <w:r>
        <w:rPr>
          <w:rFonts w:hint="eastAsia" w:ascii="宋体" w:hAnsi="宋体" w:eastAsia="宋体"/>
          <w:sz w:val="24"/>
          <w:szCs w:val="24"/>
          <w:lang w:val="en-US"/>
        </w:rPr>
        <w:t>当前医院信息系统大量采用非信创安全设备，同时现有密码体系未全面采用国密算法，难以满足《中华人民共和国密码法》《网络安全等级保护基本要求》及国家卫生健康委关于医疗行业商用密码应用的合规性要求。本项目将通过采购信创设备实现非信创设备的替换，构建自主可控的安全防护体系</w:t>
      </w:r>
      <w:r>
        <w:rPr>
          <w:rFonts w:hint="eastAsia" w:ascii="宋体" w:hAnsi="宋体" w:eastAsia="宋体"/>
          <w:sz w:val="24"/>
          <w:szCs w:val="24"/>
          <w:lang w:val="en-US" w:eastAsia="zh-CN"/>
        </w:rPr>
        <w:t>。项目建成后将显著提升医院信息系统的安全防护能力，同时满足政策合规和业务连续性需求，为医院未来信息化建设和业务发展提供坚实的安全保障，最终构建安全、可靠、可控的网络安全防护体系，支撑医院数字化转型和长期稳定运行。</w:t>
      </w:r>
    </w:p>
    <w:p w14:paraId="3ED7C03A">
      <w:pPr>
        <w:pStyle w:val="15"/>
        <w:pageBreakBefore w:val="0"/>
        <w:widowControl w:val="0"/>
        <w:kinsoku/>
        <w:wordWrap/>
        <w:overflowPunct/>
        <w:topLinePunct w:val="0"/>
        <w:autoSpaceDE/>
        <w:autoSpaceDN/>
        <w:bidi w:val="0"/>
        <w:adjustRightInd/>
        <w:snapToGrid/>
        <w:spacing w:line="312" w:lineRule="auto"/>
        <w:ind w:firstLine="0" w:firstLineChars="0"/>
        <w:textAlignment w:val="auto"/>
        <w:rPr>
          <w:rFonts w:ascii="宋体" w:hAnsi="宋体" w:eastAsia="宋体"/>
          <w:sz w:val="24"/>
          <w:szCs w:val="24"/>
        </w:rPr>
      </w:pPr>
      <w:r>
        <w:rPr>
          <w:rFonts w:hint="eastAsia" w:ascii="宋体" w:hAnsi="宋体" w:eastAsia="宋体"/>
          <w:b/>
          <w:sz w:val="28"/>
          <w:szCs w:val="28"/>
        </w:rPr>
        <w:t>二、项目建设内容及要求</w:t>
      </w:r>
    </w:p>
    <w:tbl>
      <w:tblPr>
        <w:tblStyle w:val="11"/>
        <w:tblW w:w="7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312"/>
        <w:gridCol w:w="567"/>
        <w:gridCol w:w="442"/>
        <w:gridCol w:w="4922"/>
      </w:tblGrid>
      <w:tr w14:paraId="1735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40" w:type="dxa"/>
            <w:tcBorders>
              <w:top w:val="single" w:color="auto" w:sz="4" w:space="0"/>
              <w:left w:val="single" w:color="auto" w:sz="4" w:space="0"/>
              <w:bottom w:val="single" w:color="auto" w:sz="4" w:space="0"/>
              <w:right w:val="single" w:color="auto" w:sz="4" w:space="0"/>
            </w:tcBorders>
            <w:vAlign w:val="center"/>
          </w:tcPr>
          <w:p w14:paraId="4F8B4A4F">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序号</w:t>
            </w:r>
          </w:p>
        </w:tc>
        <w:tc>
          <w:tcPr>
            <w:tcW w:w="1312" w:type="dxa"/>
            <w:tcBorders>
              <w:top w:val="single" w:color="auto" w:sz="4" w:space="0"/>
              <w:left w:val="single" w:color="auto" w:sz="4" w:space="0"/>
              <w:bottom w:val="single" w:color="auto" w:sz="4" w:space="0"/>
              <w:right w:val="single" w:color="auto" w:sz="4" w:space="0"/>
            </w:tcBorders>
            <w:vAlign w:val="center"/>
          </w:tcPr>
          <w:p w14:paraId="12EE4A44">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项目名称</w:t>
            </w:r>
          </w:p>
        </w:tc>
        <w:tc>
          <w:tcPr>
            <w:tcW w:w="567" w:type="dxa"/>
            <w:tcBorders>
              <w:top w:val="single" w:color="auto" w:sz="4" w:space="0"/>
              <w:left w:val="single" w:color="auto" w:sz="4" w:space="0"/>
              <w:bottom w:val="single" w:color="auto" w:sz="4" w:space="0"/>
              <w:right w:val="single" w:color="auto" w:sz="4" w:space="0"/>
            </w:tcBorders>
            <w:vAlign w:val="center"/>
          </w:tcPr>
          <w:p w14:paraId="0D57E618">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数量</w:t>
            </w:r>
          </w:p>
        </w:tc>
        <w:tc>
          <w:tcPr>
            <w:tcW w:w="442" w:type="dxa"/>
            <w:tcBorders>
              <w:top w:val="single" w:color="auto" w:sz="4" w:space="0"/>
              <w:left w:val="single" w:color="auto" w:sz="4" w:space="0"/>
              <w:bottom w:val="single" w:color="auto" w:sz="4" w:space="0"/>
              <w:right w:val="single" w:color="auto" w:sz="4" w:space="0"/>
            </w:tcBorders>
            <w:vAlign w:val="center"/>
          </w:tcPr>
          <w:p w14:paraId="5264C22D">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单位</w:t>
            </w:r>
          </w:p>
        </w:tc>
        <w:tc>
          <w:tcPr>
            <w:tcW w:w="4922" w:type="dxa"/>
            <w:tcBorders>
              <w:top w:val="single" w:color="auto" w:sz="4" w:space="0"/>
              <w:left w:val="single" w:color="auto" w:sz="4" w:space="0"/>
              <w:bottom w:val="single" w:color="auto" w:sz="4" w:space="0"/>
              <w:right w:val="single" w:color="auto" w:sz="4" w:space="0"/>
            </w:tcBorders>
            <w:vAlign w:val="center"/>
          </w:tcPr>
          <w:p w14:paraId="4DBCA676">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技术参数及性能配置要求</w:t>
            </w:r>
          </w:p>
        </w:tc>
      </w:tr>
      <w:tr w14:paraId="0233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40" w:type="dxa"/>
            <w:tcBorders>
              <w:top w:val="single" w:color="auto" w:sz="4" w:space="0"/>
              <w:left w:val="single" w:color="auto" w:sz="4" w:space="0"/>
              <w:bottom w:val="single" w:color="auto" w:sz="4" w:space="0"/>
              <w:right w:val="single" w:color="auto" w:sz="4" w:space="0"/>
            </w:tcBorders>
            <w:vAlign w:val="center"/>
          </w:tcPr>
          <w:p w14:paraId="49E9690B">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1</w:t>
            </w:r>
          </w:p>
        </w:tc>
        <w:tc>
          <w:tcPr>
            <w:tcW w:w="1312" w:type="dxa"/>
            <w:tcBorders>
              <w:top w:val="single" w:color="auto" w:sz="4" w:space="0"/>
              <w:left w:val="single" w:color="auto" w:sz="4" w:space="0"/>
              <w:bottom w:val="single" w:color="auto" w:sz="4" w:space="0"/>
              <w:right w:val="single" w:color="auto" w:sz="4" w:space="0"/>
            </w:tcBorders>
            <w:vAlign w:val="center"/>
          </w:tcPr>
          <w:p w14:paraId="5EBA1531">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信创日志审计系统</w:t>
            </w:r>
          </w:p>
        </w:tc>
        <w:tc>
          <w:tcPr>
            <w:tcW w:w="567" w:type="dxa"/>
            <w:tcBorders>
              <w:top w:val="single" w:color="auto" w:sz="4" w:space="0"/>
              <w:left w:val="single" w:color="auto" w:sz="4" w:space="0"/>
              <w:bottom w:val="single" w:color="auto" w:sz="4" w:space="0"/>
              <w:right w:val="single" w:color="auto" w:sz="4" w:space="0"/>
            </w:tcBorders>
            <w:vAlign w:val="center"/>
          </w:tcPr>
          <w:p w14:paraId="0025AE3A">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1</w:t>
            </w:r>
          </w:p>
        </w:tc>
        <w:tc>
          <w:tcPr>
            <w:tcW w:w="442" w:type="dxa"/>
            <w:tcBorders>
              <w:top w:val="single" w:color="auto" w:sz="4" w:space="0"/>
              <w:left w:val="single" w:color="auto" w:sz="4" w:space="0"/>
              <w:bottom w:val="single" w:color="auto" w:sz="4" w:space="0"/>
              <w:right w:val="single" w:color="auto" w:sz="4" w:space="0"/>
            </w:tcBorders>
            <w:vAlign w:val="center"/>
          </w:tcPr>
          <w:p w14:paraId="7918F172">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台</w:t>
            </w:r>
          </w:p>
        </w:tc>
        <w:tc>
          <w:tcPr>
            <w:tcW w:w="4922" w:type="dxa"/>
            <w:tcBorders>
              <w:top w:val="single" w:color="auto" w:sz="4" w:space="0"/>
              <w:left w:val="single" w:color="auto" w:sz="4" w:space="0"/>
              <w:bottom w:val="single" w:color="auto" w:sz="4" w:space="0"/>
              <w:right w:val="single" w:color="auto" w:sz="4" w:space="0"/>
            </w:tcBorders>
            <w:vAlign w:val="center"/>
          </w:tcPr>
          <w:p w14:paraId="6BB778D6">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国产化设备，采用国产信创处理器和信创操作系统，提供双冗余电源</w:t>
            </w:r>
            <w:r>
              <w:rPr>
                <w:rFonts w:hint="eastAsia"/>
                <w:lang w:val="en-US" w:eastAsia="zh-CN"/>
              </w:rPr>
              <w:t>，</w:t>
            </w:r>
            <w:r>
              <w:rPr>
                <w:rFonts w:hint="eastAsia"/>
                <w:lang w:val="en-US"/>
              </w:rPr>
              <w:t>自身可满足日志完整性保护要求。</w:t>
            </w:r>
          </w:p>
          <w:p w14:paraId="5852C431">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标准机架设备，千兆电口不少于4个，网络接口扩展槽不少于2个，内存不少于16G。</w:t>
            </w:r>
          </w:p>
          <w:p w14:paraId="42F80E1F">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硬盘不少于</w:t>
            </w:r>
            <w:r>
              <w:rPr>
                <w:rFonts w:hint="eastAsia"/>
                <w:lang w:val="en-US" w:eastAsia="zh-CN"/>
              </w:rPr>
              <w:t>8T</w:t>
            </w:r>
            <w:r>
              <w:rPr>
                <w:rFonts w:hint="eastAsia"/>
                <w:lang w:val="en-US"/>
              </w:rPr>
              <w:t>，日志保存时间不少于180天，并支持后期扩展外部网络存储(IP SAN、NAS、DAS、磁盘阵列等)。</w:t>
            </w:r>
          </w:p>
          <w:p w14:paraId="11FC0F20">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日志源授权不少于</w:t>
            </w:r>
            <w:r>
              <w:rPr>
                <w:rFonts w:hint="eastAsia"/>
                <w:lang w:val="en-US" w:eastAsia="zh-CN"/>
              </w:rPr>
              <w:t>3</w:t>
            </w:r>
            <w:r>
              <w:rPr>
                <w:rFonts w:hint="eastAsia"/>
                <w:lang w:val="en-US"/>
              </w:rPr>
              <w:t>00个，最大可扩展审计主机许可数</w:t>
            </w:r>
            <w:r>
              <w:rPr>
                <w:rFonts w:hint="eastAsia"/>
                <w:lang w:val="en-US" w:eastAsia="zh-CN"/>
              </w:rPr>
              <w:t>不少于</w:t>
            </w:r>
            <w:r>
              <w:rPr>
                <w:rFonts w:hint="eastAsia"/>
                <w:lang w:val="en-US"/>
              </w:rPr>
              <w:t>500</w:t>
            </w:r>
            <w:r>
              <w:rPr>
                <w:rFonts w:hint="eastAsia"/>
                <w:lang w:val="en-US" w:eastAsia="zh-CN"/>
              </w:rPr>
              <w:t>个</w:t>
            </w:r>
            <w:r>
              <w:rPr>
                <w:rFonts w:hint="eastAsia"/>
                <w:lang w:val="en-US"/>
              </w:rPr>
              <w:t>，日志处理性能不低于4000EPS。</w:t>
            </w:r>
          </w:p>
          <w:p w14:paraId="6570B8D2">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支持双活部署，配置和日志双向同步，实现高可用，同时日志写入和读取处理分配到双活设备进行共同处理，提升读写性能。</w:t>
            </w:r>
          </w:p>
          <w:p w14:paraId="3CE58A8F">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支持主流安全设备、网络设备、中间件、服务器、操作系统、虚拟化等日志对象的日志数据采集。</w:t>
            </w:r>
          </w:p>
          <w:p w14:paraId="72268929">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日志提取规则支持自动键值提取、URL提取、JSON提取，支持字段划词提取，不需要写正则表达式，减少规则配置的工作量。</w:t>
            </w:r>
          </w:p>
          <w:p w14:paraId="542EF4DE">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支持自定义条件的多事件进行聚合，且支持日志概览统计展示。</w:t>
            </w:r>
          </w:p>
          <w:p w14:paraId="3C15A1CF">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内置灵活查询语法，支持全文检索、短语搜索、字段过滤、布尔查询、逻辑运算搜索（多个词使用AND，OR，NOT以及括号进行组合）、数值范围搜索(数值比较运算，如&gt;,&lt;,&lt;=,&gt;=等)、通配符搜索、简单正则表达式。</w:t>
            </w:r>
          </w:p>
          <w:p w14:paraId="450055BA">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支持针对搜索结果的日志的上下文查看（同索引或同来源），上下文页面还可以进行关键字二次搜索过滤，方便定位事件。</w:t>
            </w:r>
          </w:p>
          <w:p w14:paraId="386BC65B">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支持触发告警事件的上下文分析，同时支持关键字二次检索，实现事件完整回溯。</w:t>
            </w:r>
          </w:p>
          <w:p w14:paraId="435B7D57">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告警输出可以自定义，组合输出字段和输出内容，提升告警日志可视化效果；支持每分钟累计统计事件计数，触发阈值即进行告警，告警延迟不超过1分钟，基于普通查询告警机制下会有5分钟到数小时的告警延迟。</w:t>
            </w:r>
          </w:p>
          <w:p w14:paraId="4286A109">
            <w:pPr>
              <w:pStyle w:val="4"/>
              <w:pageBreakBefore w:val="0"/>
              <w:widowControl w:val="0"/>
              <w:numPr>
                <w:ilvl w:val="0"/>
                <w:numId w:val="3"/>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设备使用的CPU应为国产自主可控产品，需在响应说明中列出生产厂商、品牌和规格型号，并提供设备生产原厂商使用国产自主</w:t>
            </w:r>
            <w:r>
              <w:rPr>
                <w:rFonts w:hint="eastAsia"/>
                <w:lang w:val="en-US" w:eastAsia="zh-CN"/>
              </w:rPr>
              <w:t>CPU</w:t>
            </w:r>
            <w:r>
              <w:rPr>
                <w:rFonts w:hint="eastAsia"/>
                <w:lang w:val="en-US"/>
              </w:rPr>
              <w:t>的证明材料。</w:t>
            </w:r>
          </w:p>
        </w:tc>
      </w:tr>
      <w:tr w14:paraId="16D1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37A0067D">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lang w:val="en-US"/>
              </w:rPr>
              <w:t>2</w:t>
            </w:r>
          </w:p>
        </w:tc>
        <w:tc>
          <w:tcPr>
            <w:tcW w:w="1312" w:type="dxa"/>
            <w:tcBorders>
              <w:top w:val="single" w:color="auto" w:sz="4" w:space="0"/>
              <w:left w:val="single" w:color="auto" w:sz="4" w:space="0"/>
              <w:bottom w:val="single" w:color="auto" w:sz="4" w:space="0"/>
              <w:right w:val="single" w:color="auto" w:sz="4" w:space="0"/>
            </w:tcBorders>
            <w:vAlign w:val="center"/>
          </w:tcPr>
          <w:p w14:paraId="76B58EDD">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信创漏洞扫描系统</w:t>
            </w:r>
          </w:p>
        </w:tc>
        <w:tc>
          <w:tcPr>
            <w:tcW w:w="567" w:type="dxa"/>
            <w:tcBorders>
              <w:top w:val="single" w:color="auto" w:sz="4" w:space="0"/>
              <w:left w:val="single" w:color="auto" w:sz="4" w:space="0"/>
              <w:bottom w:val="single" w:color="auto" w:sz="4" w:space="0"/>
              <w:right w:val="single" w:color="auto" w:sz="4" w:space="0"/>
            </w:tcBorders>
            <w:vAlign w:val="center"/>
          </w:tcPr>
          <w:p w14:paraId="7D32DB42">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1</w:t>
            </w:r>
          </w:p>
        </w:tc>
        <w:tc>
          <w:tcPr>
            <w:tcW w:w="442" w:type="dxa"/>
            <w:tcBorders>
              <w:top w:val="single" w:color="auto" w:sz="4" w:space="0"/>
              <w:left w:val="single" w:color="auto" w:sz="4" w:space="0"/>
              <w:bottom w:val="single" w:color="auto" w:sz="4" w:space="0"/>
              <w:right w:val="single" w:color="auto" w:sz="4" w:space="0"/>
            </w:tcBorders>
            <w:vAlign w:val="center"/>
          </w:tcPr>
          <w:p w14:paraId="088A522E">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台</w:t>
            </w:r>
          </w:p>
        </w:tc>
        <w:tc>
          <w:tcPr>
            <w:tcW w:w="4922" w:type="dxa"/>
            <w:tcBorders>
              <w:top w:val="single" w:color="auto" w:sz="4" w:space="0"/>
              <w:left w:val="single" w:color="auto" w:sz="4" w:space="0"/>
              <w:bottom w:val="single" w:color="auto" w:sz="4" w:space="0"/>
              <w:right w:val="single" w:color="auto" w:sz="4" w:space="0"/>
            </w:tcBorders>
            <w:vAlign w:val="center"/>
          </w:tcPr>
          <w:p w14:paraId="5EB039DC">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国产化设备，采用国产信创处理器和信创操作系统，提供双冗余电源。</w:t>
            </w:r>
          </w:p>
          <w:p w14:paraId="33738BF4">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eastAsia="zh-CN"/>
              </w:rPr>
              <w:t>系</w:t>
            </w:r>
            <w:r>
              <w:rPr>
                <w:rFonts w:hint="eastAsia"/>
                <w:lang w:val="en-US"/>
              </w:rPr>
              <w:t>统漏扫授权IP数：无限</w:t>
            </w:r>
            <w:r>
              <w:rPr>
                <w:rFonts w:hint="eastAsia"/>
                <w:lang w:val="en-US" w:eastAsia="zh-CN"/>
              </w:rPr>
              <w:t>；</w:t>
            </w:r>
            <w:r>
              <w:rPr>
                <w:rFonts w:hint="eastAsia"/>
                <w:lang w:val="en-US"/>
              </w:rPr>
              <w:t>WEB漏扫授权URL数：无限</w:t>
            </w:r>
            <w:r>
              <w:rPr>
                <w:rFonts w:hint="eastAsia"/>
                <w:lang w:val="en-US" w:eastAsia="zh-CN"/>
              </w:rPr>
              <w:t>。</w:t>
            </w:r>
          </w:p>
          <w:p w14:paraId="0EB1EAD4">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标准机架设备，RJ45串口不少于1个，USB接口不少于2个，千兆电口不少于</w:t>
            </w:r>
            <w:r>
              <w:rPr>
                <w:rFonts w:hint="eastAsia"/>
                <w:lang w:val="en-US" w:eastAsia="zh-CN"/>
              </w:rPr>
              <w:t>4</w:t>
            </w:r>
            <w:r>
              <w:rPr>
                <w:rFonts w:hint="eastAsia"/>
                <w:lang w:val="en-US"/>
              </w:rPr>
              <w:t>个，千兆光口不少于</w:t>
            </w:r>
            <w:r>
              <w:rPr>
                <w:rFonts w:hint="eastAsia"/>
                <w:lang w:val="en-US" w:eastAsia="zh-CN"/>
              </w:rPr>
              <w:t>2</w:t>
            </w:r>
            <w:r>
              <w:rPr>
                <w:rFonts w:hint="eastAsia"/>
                <w:lang w:val="en-US"/>
              </w:rPr>
              <w:t>个，接口网卡扩展槽位不少于2个。</w:t>
            </w:r>
          </w:p>
          <w:p w14:paraId="2EF2D72C">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硬盘容量不低于4T。</w:t>
            </w:r>
          </w:p>
          <w:p w14:paraId="2A57E6A7">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最大扫描速度不低于1500ip/h，最大并发任务数不少于10，最大并发扫描主机数不少于75。</w:t>
            </w:r>
          </w:p>
          <w:p w14:paraId="3EDCE4F4">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配置不少于256个可扫描的无限制范围的IP地址或域名授权，提供1路扫描端口授权。</w:t>
            </w:r>
          </w:p>
          <w:p w14:paraId="7741A7BB">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可对云计算平台、大数据组件、物联网设备提供漏洞检测和分析。</w:t>
            </w:r>
          </w:p>
          <w:p w14:paraId="4C67E9AC">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产品需使用国产化硬件平台以及自主可控的安全操作系统，采用B/S设计架构，并采用SSL加密通信方式，无须安装客户端，用户可通过浏览器远程方便的对产品进行管理。</w:t>
            </w:r>
          </w:p>
          <w:p w14:paraId="320EECD2">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支持IPv4和IPv6环境的部署和扫描。</w:t>
            </w:r>
          </w:p>
          <w:p w14:paraId="00255A07">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支持多路扫描功能，可以同时对多个隔离业务子网进行扫描。</w:t>
            </w:r>
          </w:p>
          <w:p w14:paraId="07E0B061">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 xml:space="preserve">支持检测的漏洞数大于270000条，兼容CVE、CNCVE、CNNVD、CNVD、Bugtraq等主流标准。  </w:t>
            </w:r>
          </w:p>
          <w:p w14:paraId="35AAEAA4">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支持对系统漏洞扫描、配置合规进行检查和综合分析，可输出同时包含漏洞扫描和配置核查结果的报表。</w:t>
            </w:r>
          </w:p>
          <w:p w14:paraId="41F67515">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 xml:space="preserve">支持通过多种维度对漏洞进行检索，包括：CVE ID、BUGTRAQ ID、CNCVE ID、CNVD ID、CNNVD ID、MS 编号、风险等级、漏洞名称、是否使用危险插件、漏洞发布日期等信息。  </w:t>
            </w:r>
          </w:p>
          <w:p w14:paraId="612FE14E">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支持扫描国产操作系统、应用及软件的安全漏洞，如中标麒麟、银河麒麟、深度等，提供详细漏洞列表。</w:t>
            </w:r>
          </w:p>
          <w:p w14:paraId="5D8FF23E">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 xml:space="preserve">支持专门针对DNS服务的安全漏洞检测，包括DNS投毒等漏洞检测能力。  </w:t>
            </w:r>
          </w:p>
          <w:p w14:paraId="5BC6C007">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支持专门针对已有攻击利用代码的漏洞检测，检测用户资产是否存在可利用的漏洞。</w:t>
            </w:r>
          </w:p>
          <w:p w14:paraId="2A7200D0">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具备单独口令猜测扫描任务，支持多种口令猜测方式，包括利用SMB、RDP、TELNET、FTP、SSH、POP3、Tomcat、SQL SERVEMONGODB、SNMP等协议进行口令猜测，允许外挂用户提供的用户名字典、密码R、MySQL、Oracle、Sybase、DB2、字典和用户名密码组合字典。</w:t>
            </w:r>
          </w:p>
          <w:p w14:paraId="4D1BB580">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支持复用已有任务配置用于新的扫描任务。</w:t>
            </w:r>
          </w:p>
          <w:p w14:paraId="3942131B">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支持多用户分级权限管理，可为每个用户角色分配账号、任务级的权限分配、允许登录的IP范围和允许扫描的IP范围等。</w:t>
            </w:r>
          </w:p>
          <w:p w14:paraId="171A0AFB">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支持不同用户角色权限管理，区分系统管理员、普通用户、审计管理员等角色，不同管理员拥有不同的管理权限。</w:t>
            </w:r>
          </w:p>
          <w:p w14:paraId="75638967">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支持认证信息管理，可将系统登录信息、配置检查模板进行统一管理和配置，提供登录信息导入功能，无须每次下任务时进行配置。</w:t>
            </w:r>
          </w:p>
          <w:p w14:paraId="64E4079E">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支持自定义风险值计算标准配置，可自定义主机风险等级评定标准和网络风险等级评定标准。</w:t>
            </w:r>
          </w:p>
          <w:p w14:paraId="2844CBF0">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 xml:space="preserve">支持风险告警和风险闭环处理，可在集中告警平台灵活配置告警内容、告警方式、告警资产范围等，支持邮件和页面告警，支持单个或批量修改风险状态。  </w:t>
            </w:r>
          </w:p>
          <w:p w14:paraId="3F2FED1C">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 xml:space="preserve">支持通过仪表盘直观展示资产风险值、主机风险等级分布、资产风险趋势、资产风险分布趋势等内容。  </w:t>
            </w:r>
          </w:p>
          <w:p w14:paraId="1BC82E13">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 xml:space="preserve">支持实现显示扫描结果，包括扫描进度、主机存活数、预计扫描时间、漏洞风险信息等信息。  </w:t>
            </w:r>
          </w:p>
          <w:p w14:paraId="7877CF0B">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提供审计功能，能够记录和查询登录日志、操作日志和异常报告。</w:t>
            </w:r>
          </w:p>
          <w:p w14:paraId="7A7CFBCE">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能够提供针对不同角色的默认报表模板，离线报告支持HTML、WPS、EXCEL、PDF等格式，报告可直接下载或通过邮件自动发送给相应管理人员。</w:t>
            </w:r>
          </w:p>
          <w:p w14:paraId="3504FB31">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支持扫描任务完成后自动生成报表和发送到指定邮箱或上传到FTP服务器。</w:t>
            </w:r>
          </w:p>
          <w:p w14:paraId="36522B39">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rFonts w:hint="eastAsia"/>
                <w:lang w:val="en-US"/>
              </w:rPr>
            </w:pPr>
            <w:r>
              <w:rPr>
                <w:rFonts w:hint="eastAsia"/>
                <w:lang w:val="en-US"/>
              </w:rPr>
              <w:t>质保期内提供漏洞库升级服务、硬件保修和技术支持服务。</w:t>
            </w:r>
          </w:p>
          <w:p w14:paraId="05AFF9D1">
            <w:pPr>
              <w:pStyle w:val="4"/>
              <w:pageBreakBefore w:val="0"/>
              <w:widowControl w:val="0"/>
              <w:numPr>
                <w:ilvl w:val="0"/>
                <w:numId w:val="4"/>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设备使用的CPU应为国产自主可控产品，需在响应说明中列出生产厂商、品牌和规格型号，并提供设备生产原厂商使用国产自主</w:t>
            </w:r>
            <w:r>
              <w:rPr>
                <w:rFonts w:hint="eastAsia"/>
                <w:lang w:val="en-US" w:eastAsia="zh-CN"/>
              </w:rPr>
              <w:t>CPU</w:t>
            </w:r>
            <w:r>
              <w:rPr>
                <w:rFonts w:hint="eastAsia"/>
                <w:lang w:val="en-US"/>
              </w:rPr>
              <w:t>的证明材料。</w:t>
            </w:r>
          </w:p>
        </w:tc>
      </w:tr>
      <w:tr w14:paraId="32FD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6288C167">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lang w:val="en-US"/>
              </w:rPr>
              <w:t>3</w:t>
            </w:r>
          </w:p>
        </w:tc>
        <w:tc>
          <w:tcPr>
            <w:tcW w:w="1312" w:type="dxa"/>
            <w:tcBorders>
              <w:top w:val="single" w:color="auto" w:sz="4" w:space="0"/>
              <w:left w:val="single" w:color="auto" w:sz="4" w:space="0"/>
              <w:bottom w:val="single" w:color="auto" w:sz="4" w:space="0"/>
              <w:right w:val="single" w:color="auto" w:sz="4" w:space="0"/>
            </w:tcBorders>
            <w:vAlign w:val="center"/>
          </w:tcPr>
          <w:p w14:paraId="4C57572C">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信创数据库审计系统</w:t>
            </w:r>
          </w:p>
        </w:tc>
        <w:tc>
          <w:tcPr>
            <w:tcW w:w="567" w:type="dxa"/>
            <w:tcBorders>
              <w:top w:val="single" w:color="auto" w:sz="4" w:space="0"/>
              <w:left w:val="single" w:color="auto" w:sz="4" w:space="0"/>
              <w:bottom w:val="single" w:color="auto" w:sz="4" w:space="0"/>
              <w:right w:val="single" w:color="auto" w:sz="4" w:space="0"/>
            </w:tcBorders>
            <w:vAlign w:val="center"/>
          </w:tcPr>
          <w:p w14:paraId="488C1076">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1</w:t>
            </w:r>
          </w:p>
        </w:tc>
        <w:tc>
          <w:tcPr>
            <w:tcW w:w="442" w:type="dxa"/>
            <w:tcBorders>
              <w:top w:val="single" w:color="auto" w:sz="4" w:space="0"/>
              <w:left w:val="single" w:color="auto" w:sz="4" w:space="0"/>
              <w:bottom w:val="single" w:color="auto" w:sz="4" w:space="0"/>
              <w:right w:val="single" w:color="auto" w:sz="4" w:space="0"/>
            </w:tcBorders>
            <w:vAlign w:val="center"/>
          </w:tcPr>
          <w:p w14:paraId="7B56407B">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台</w:t>
            </w:r>
          </w:p>
        </w:tc>
        <w:tc>
          <w:tcPr>
            <w:tcW w:w="4922" w:type="dxa"/>
            <w:tcBorders>
              <w:top w:val="single" w:color="auto" w:sz="4" w:space="0"/>
              <w:left w:val="single" w:color="auto" w:sz="4" w:space="0"/>
              <w:bottom w:val="single" w:color="auto" w:sz="4" w:space="0"/>
              <w:right w:val="single" w:color="auto" w:sz="4" w:space="0"/>
            </w:tcBorders>
            <w:vAlign w:val="center"/>
          </w:tcPr>
          <w:p w14:paraId="24FF575B">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软硬件一体机产品形态，采用国产信创处理器和信创操作系统，硬件采用标准机架式设备，提供双冗余电源。</w:t>
            </w:r>
          </w:p>
          <w:p w14:paraId="54B41284">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千兆电口不少于6个，千兆光口不少于4个。</w:t>
            </w:r>
          </w:p>
          <w:p w14:paraId="74E2D81F">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内置硬盘容量不少于</w:t>
            </w:r>
            <w:r>
              <w:rPr>
                <w:rFonts w:hint="eastAsia"/>
                <w:lang w:val="en-US" w:eastAsia="zh-CN"/>
              </w:rPr>
              <w:t>8TB，</w:t>
            </w:r>
            <w:r>
              <w:rPr>
                <w:rFonts w:hint="eastAsia"/>
                <w:lang w:val="en-US"/>
              </w:rPr>
              <w:t>日志保存时间不少于180天，并支持后期扩展外部网络存储(IP SAN、NAS、DAS、磁盘阵列等)。</w:t>
            </w:r>
          </w:p>
          <w:p w14:paraId="6B2E58BA">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数据库实例授权数无限制；支持同时审计多种数据库及跨多种数据库平台操作。</w:t>
            </w:r>
          </w:p>
          <w:p w14:paraId="4A4C5840">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SQL处理能力不低于</w:t>
            </w:r>
            <w:r>
              <w:rPr>
                <w:rFonts w:hint="eastAsia"/>
                <w:lang w:val="en-US" w:eastAsia="zh-CN"/>
              </w:rPr>
              <w:t>3</w:t>
            </w:r>
            <w:r>
              <w:rPr>
                <w:rFonts w:hint="eastAsia"/>
                <w:lang w:val="en-US"/>
              </w:rPr>
              <w:t>0000条/秒，总记录事件不少于20亿条。</w:t>
            </w:r>
          </w:p>
          <w:p w14:paraId="3F9FF7CE">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支持设备日志按照标准SYSLOG格式或SNMP协议输出到第三方日志服务器，并支持Syslog告警、SNMP trap告警、邮件告警，短信告警。</w:t>
            </w:r>
            <w:bookmarkStart w:id="4" w:name="_GoBack"/>
            <w:bookmarkEnd w:id="4"/>
          </w:p>
          <w:p w14:paraId="6EB41F4A">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具备国家版权局颁发的《计算机软件著作权登记证书》，并具备《中国国家信息安全产品认证证书》，提供复印件并加盖原厂公章。</w:t>
            </w:r>
          </w:p>
          <w:p w14:paraId="6E4823D0">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支持用户多角色划分功能，如管理员、普通用户、审计员等，支持各用户角色细粒度的权限管理，并且系统可以对使用人员的操作进行审计记录，可以由审计员进行查询，具有自身安全审计功能。</w:t>
            </w:r>
          </w:p>
          <w:p w14:paraId="5534E3C8">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支持ORACLE、SQL Server、MY SQL、DB2、Sybase、Informix、Postgresql、人大金仓（Kingbase）、南大通用（GBASE）、达梦(DM)、Cache、Mongodb等国内外主流数据库系统。</w:t>
            </w:r>
          </w:p>
          <w:p w14:paraId="1A77B04D">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支持基于IP地址、时间、用户、用户组、数据库用户名、数据库类型、数据库表名、字段名、关键字等组合审计策略。</w:t>
            </w:r>
          </w:p>
          <w:p w14:paraId="72CDF640">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基于IP地址、时间、用户名、数据库操作类型、数据库名、表名、字段名、关键字等条件进行审计日志查询，并支持风险级别排行统计查询、支持数据库条件的统计查询、支持统计趋势查询分析、支持风险级别查询分析、支持通过多SQL语句的统计查询、支持统计分析下钻、支持业务系统元素统计查询。</w:t>
            </w:r>
          </w:p>
          <w:p w14:paraId="7672BA64">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 xml:space="preserve">支持各类报表输出,格式支持WORD、PDF、EXCEL等。 </w:t>
            </w:r>
          </w:p>
          <w:p w14:paraId="206C4C10">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rFonts w:hint="eastAsia"/>
                <w:lang w:val="en-US"/>
              </w:rPr>
            </w:pPr>
            <w:r>
              <w:rPr>
                <w:rFonts w:hint="eastAsia"/>
                <w:lang w:val="en-US"/>
              </w:rPr>
              <w:t>支持监测还原SQL操作语句中涉及数据库审计要素，包括源IP地址、目的IP地址、访问时间、数据库用户名、客户端类型、数据库操作类型、数据库名、数据库表名、字段名等，并可获取执行操作结果。</w:t>
            </w:r>
          </w:p>
          <w:p w14:paraId="0D3AB7F7">
            <w:pPr>
              <w:pStyle w:val="4"/>
              <w:pageBreakBefore w:val="0"/>
              <w:widowControl w:val="0"/>
              <w:numPr>
                <w:ilvl w:val="0"/>
                <w:numId w:val="5"/>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设备使用的CPU应为国产自主可控产品，需在响应说明中列出生产厂商、品牌和规格型号，并提供设备生产原厂商使用国产自主</w:t>
            </w:r>
            <w:r>
              <w:rPr>
                <w:rFonts w:hint="eastAsia"/>
                <w:lang w:val="en-US" w:eastAsia="zh-CN"/>
              </w:rPr>
              <w:t>CPU</w:t>
            </w:r>
            <w:r>
              <w:rPr>
                <w:rFonts w:hint="eastAsia"/>
                <w:lang w:val="en-US"/>
              </w:rPr>
              <w:t>的证明材料。</w:t>
            </w:r>
          </w:p>
        </w:tc>
      </w:tr>
      <w:tr w14:paraId="4A82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36B5DA9D">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4</w:t>
            </w:r>
          </w:p>
        </w:tc>
        <w:tc>
          <w:tcPr>
            <w:tcW w:w="1312" w:type="dxa"/>
            <w:tcBorders>
              <w:top w:val="single" w:color="auto" w:sz="4" w:space="0"/>
              <w:left w:val="single" w:color="auto" w:sz="4" w:space="0"/>
              <w:bottom w:val="single" w:color="auto" w:sz="4" w:space="0"/>
              <w:right w:val="single" w:color="auto" w:sz="4" w:space="0"/>
            </w:tcBorders>
            <w:vAlign w:val="center"/>
          </w:tcPr>
          <w:p w14:paraId="7D0EEAC8">
            <w:pPr>
              <w:pStyle w:val="4"/>
              <w:pageBreakBefore w:val="0"/>
              <w:widowControl w:val="0"/>
              <w:kinsoku/>
              <w:wordWrap/>
              <w:overflowPunct/>
              <w:topLinePunct w:val="0"/>
              <w:autoSpaceDE/>
              <w:autoSpaceDN/>
              <w:bidi w:val="0"/>
              <w:adjustRightInd/>
              <w:snapToGrid/>
              <w:spacing w:after="0" w:line="312" w:lineRule="auto"/>
              <w:textAlignment w:val="auto"/>
              <w:rPr>
                <w:rFonts w:hint="default" w:eastAsiaTheme="minorEastAsia"/>
                <w:lang w:val="en-US" w:eastAsia="zh-CN"/>
              </w:rPr>
            </w:pPr>
            <w:r>
              <w:rPr>
                <w:rFonts w:hint="eastAsia"/>
                <w:lang w:val="en-US" w:eastAsia="zh-CN"/>
              </w:rPr>
              <w:t>上网行为管理</w:t>
            </w:r>
          </w:p>
        </w:tc>
        <w:tc>
          <w:tcPr>
            <w:tcW w:w="567" w:type="dxa"/>
            <w:tcBorders>
              <w:top w:val="single" w:color="auto" w:sz="4" w:space="0"/>
              <w:left w:val="single" w:color="auto" w:sz="4" w:space="0"/>
              <w:bottom w:val="single" w:color="auto" w:sz="4" w:space="0"/>
              <w:right w:val="single" w:color="auto" w:sz="4" w:space="0"/>
            </w:tcBorders>
            <w:vAlign w:val="center"/>
          </w:tcPr>
          <w:p w14:paraId="75E24DDF">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1</w:t>
            </w:r>
          </w:p>
        </w:tc>
        <w:tc>
          <w:tcPr>
            <w:tcW w:w="442" w:type="dxa"/>
            <w:tcBorders>
              <w:top w:val="single" w:color="auto" w:sz="4" w:space="0"/>
              <w:left w:val="single" w:color="auto" w:sz="4" w:space="0"/>
              <w:bottom w:val="single" w:color="auto" w:sz="4" w:space="0"/>
              <w:right w:val="single" w:color="auto" w:sz="4" w:space="0"/>
            </w:tcBorders>
            <w:vAlign w:val="center"/>
          </w:tcPr>
          <w:p w14:paraId="0DDCC9C8">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台</w:t>
            </w:r>
          </w:p>
        </w:tc>
        <w:tc>
          <w:tcPr>
            <w:tcW w:w="4922" w:type="dxa"/>
            <w:tcBorders>
              <w:top w:val="single" w:color="auto" w:sz="4" w:space="0"/>
              <w:left w:val="single" w:color="auto" w:sz="4" w:space="0"/>
              <w:bottom w:val="single" w:color="auto" w:sz="4" w:space="0"/>
              <w:right w:val="single" w:color="auto" w:sz="4" w:space="0"/>
            </w:tcBorders>
            <w:vAlign w:val="center"/>
          </w:tcPr>
          <w:p w14:paraId="56782DA7">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rPr>
            </w:pPr>
            <w:r>
              <w:rPr>
                <w:rFonts w:hint="eastAsia" w:ascii="Times New Roman" w:hAnsi="Times New Roman"/>
                <w:lang w:val="en-US"/>
              </w:rPr>
              <w:t>软硬件一体机产品形态，采用国产信创处理器和信创操作系统，硬件采用标准机架式设备，提供双冗余电源。</w:t>
            </w:r>
          </w:p>
          <w:p w14:paraId="45327739">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rPr>
            </w:pPr>
            <w:r>
              <w:rPr>
                <w:rFonts w:hint="eastAsia" w:ascii="Times New Roman" w:hAnsi="Times New Roman"/>
                <w:lang w:val="en-US"/>
              </w:rPr>
              <w:t>标准机架设备，RJ45串口不少于1个，USB接口不少于2个，千兆电口不少于</w:t>
            </w:r>
            <w:r>
              <w:rPr>
                <w:rFonts w:hint="eastAsia" w:ascii="Times New Roman" w:hAnsi="Times New Roman"/>
                <w:lang w:val="en-US" w:eastAsia="zh-CN"/>
              </w:rPr>
              <w:t>6</w:t>
            </w:r>
            <w:r>
              <w:rPr>
                <w:rFonts w:hint="eastAsia" w:ascii="Times New Roman" w:hAnsi="Times New Roman"/>
                <w:lang w:val="en-US"/>
              </w:rPr>
              <w:t>个（含2对bypass），千兆光口不少于</w:t>
            </w:r>
            <w:r>
              <w:rPr>
                <w:rFonts w:hint="eastAsia" w:ascii="Times New Roman" w:hAnsi="Times New Roman"/>
                <w:lang w:val="en-US" w:eastAsia="zh-CN"/>
              </w:rPr>
              <w:t>4</w:t>
            </w:r>
            <w:r>
              <w:rPr>
                <w:rFonts w:hint="eastAsia" w:ascii="Times New Roman" w:hAnsi="Times New Roman"/>
                <w:lang w:val="en-US"/>
              </w:rPr>
              <w:t>个，接口网卡扩展槽位不少于2个。</w:t>
            </w:r>
          </w:p>
          <w:p w14:paraId="2691B5E6">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内存不少于8G；</w:t>
            </w:r>
            <w:r>
              <w:rPr>
                <w:rFonts w:hint="eastAsia" w:ascii="Times New Roman" w:hAnsi="Times New Roman"/>
                <w:lang w:val="en-US"/>
              </w:rPr>
              <w:t>硬盘容量不低</w:t>
            </w:r>
            <w:r>
              <w:rPr>
                <w:rFonts w:hint="eastAsia" w:ascii="Times New Roman" w:hAnsi="Times New Roman"/>
                <w:lang w:val="en-US" w:eastAsia="zh-CN"/>
              </w:rPr>
              <w:t>于</w:t>
            </w:r>
            <w:r>
              <w:rPr>
                <w:rFonts w:hint="eastAsia"/>
                <w:lang w:val="en-US" w:eastAsia="zh-CN"/>
              </w:rPr>
              <w:t>2</w:t>
            </w:r>
            <w:r>
              <w:rPr>
                <w:rFonts w:hint="eastAsia" w:ascii="Times New Roman" w:hAnsi="Times New Roman"/>
                <w:lang w:val="en-US" w:eastAsia="zh-CN"/>
              </w:rPr>
              <w:t>T。提供详细审计日志，满足合规溯源与运维管理需求，日志保存时间不少于180天，并支持后期扩展外部网络存储(IP SAN、NAS、DAS、磁盘阵列等)。</w:t>
            </w:r>
          </w:p>
          <w:p w14:paraId="6FC093D2">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网络层吞吐量不少于10Gbps，应用层吞吐量不少于1.5Gbps，最大并发连接数不少于40万，每秒新建连接数不少于4万，支持最大用户数不少于2000人。</w:t>
            </w:r>
          </w:p>
          <w:p w14:paraId="73A28856">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具备AI 应用智能识别</w:t>
            </w:r>
            <w:r>
              <w:rPr>
                <w:rFonts w:hint="eastAsia"/>
                <w:lang w:val="en-US" w:eastAsia="zh-CN"/>
              </w:rPr>
              <w:t>和管控</w:t>
            </w:r>
            <w:r>
              <w:rPr>
                <w:rFonts w:hint="eastAsia" w:ascii="Times New Roman" w:hAnsi="Times New Roman"/>
                <w:lang w:val="en-US" w:eastAsia="zh-CN"/>
              </w:rPr>
              <w:t>能力，通过配置应用控制策略将AI 大模型及自主智能体 (Agent) 平台进行访问控制；同时</w:t>
            </w:r>
            <w:r>
              <w:rPr>
                <w:rFonts w:hint="eastAsia"/>
                <w:lang w:val="en-US" w:eastAsia="zh-CN"/>
              </w:rPr>
              <w:t>可</w:t>
            </w:r>
            <w:r>
              <w:rPr>
                <w:rFonts w:hint="eastAsia" w:ascii="Times New Roman" w:hAnsi="Times New Roman"/>
                <w:lang w:val="en-US" w:eastAsia="zh-CN"/>
              </w:rPr>
              <w:t>通过UR过滤拦截其官方域名，实现对国外 AI 大模型及 Agent 的全生命周期管控，确保网络内 AI 应用访问合规可控、全程可审计。禁止调用高风险/不合规/未授权模型API，允许调用指定的大模型API</w:t>
            </w:r>
            <w:r>
              <w:rPr>
                <w:rFonts w:hint="eastAsia"/>
                <w:lang w:val="en-US" w:eastAsia="zh-CN"/>
              </w:rPr>
              <w:t>。</w:t>
            </w:r>
          </w:p>
          <w:p w14:paraId="46734185">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设备应支持对“翻墙”行为的全方位管控，包括但不限于：通过深度包检测（DPI）与深度流检测（DFI）技术，识别并阻断各类“翻墙”代理应用和VPN隧道流量</w:t>
            </w:r>
            <w:r>
              <w:rPr>
                <w:rFonts w:hint="eastAsia" w:ascii="Times New Roman" w:hAnsi="Times New Roman"/>
                <w:lang w:val="en-US" w:eastAsia="zh-CN"/>
              </w:rPr>
              <w:fldChar w:fldCharType="begin"/>
            </w:r>
            <w:r>
              <w:rPr>
                <w:rFonts w:hint="eastAsia" w:ascii="Times New Roman" w:hAnsi="Times New Roman"/>
                <w:lang w:val="en-US" w:eastAsia="zh-CN"/>
              </w:rPr>
              <w:instrText xml:space="preserve"> HYPERLINK "http://www.imfirewall.com/blog/wap.asp?act=list&amp;sort=1&amp;page=next&amp;nextid=69" \t "https://chat.deepseek.com/a/chat/s/_blank" </w:instrText>
            </w:r>
            <w:r>
              <w:rPr>
                <w:rFonts w:hint="eastAsia" w:ascii="Times New Roman" w:hAnsi="Times New Roman"/>
                <w:lang w:val="en-US" w:eastAsia="zh-CN"/>
              </w:rPr>
              <w:fldChar w:fldCharType="separate"/>
            </w:r>
            <w:r>
              <w:rPr>
                <w:rFonts w:hint="eastAsia" w:ascii="Times New Roman" w:hAnsi="Times New Roman"/>
                <w:lang w:val="en-US" w:eastAsia="zh-CN"/>
              </w:rPr>
              <w:fldChar w:fldCharType="end"/>
            </w:r>
            <w:r>
              <w:rPr>
                <w:rFonts w:hint="eastAsia" w:ascii="Times New Roman" w:hAnsi="Times New Roman"/>
                <w:lang w:val="en-US" w:eastAsia="zh-CN"/>
              </w:rPr>
              <w:fldChar w:fldCharType="begin"/>
            </w:r>
            <w:r>
              <w:rPr>
                <w:rFonts w:hint="eastAsia" w:ascii="Times New Roman" w:hAnsi="Times New Roman"/>
                <w:lang w:val="en-US" w:eastAsia="zh-CN"/>
              </w:rPr>
              <w:instrText xml:space="preserve"> HYPERLINK "https://ep.rising.com.cn/wangguan/19026.html" \t "https://chat.deepseek.com/a/chat/s/_blank" </w:instrText>
            </w:r>
            <w:r>
              <w:rPr>
                <w:rFonts w:hint="eastAsia" w:ascii="Times New Roman" w:hAnsi="Times New Roman"/>
                <w:lang w:val="en-US" w:eastAsia="zh-CN"/>
              </w:rPr>
              <w:fldChar w:fldCharType="separate"/>
            </w:r>
            <w:r>
              <w:rPr>
                <w:rFonts w:hint="eastAsia" w:ascii="Times New Roman" w:hAnsi="Times New Roman"/>
                <w:lang w:val="en-US" w:eastAsia="zh-CN"/>
              </w:rPr>
              <w:fldChar w:fldCharType="end"/>
            </w:r>
            <w:r>
              <w:rPr>
                <w:rFonts w:hint="eastAsia" w:ascii="Times New Roman" w:hAnsi="Times New Roman"/>
                <w:lang w:val="en-US" w:eastAsia="zh-CN"/>
              </w:rPr>
              <w:t>；支持对“代理规避”类网站的URL过滤，防止用户获取“翻墙”工具或服务</w:t>
            </w:r>
            <w:r>
              <w:rPr>
                <w:rFonts w:hint="eastAsia" w:ascii="Times New Roman" w:hAnsi="Times New Roman"/>
                <w:lang w:val="en-US" w:eastAsia="zh-CN"/>
              </w:rPr>
              <w:fldChar w:fldCharType="begin"/>
            </w:r>
            <w:r>
              <w:rPr>
                <w:rFonts w:hint="eastAsia" w:ascii="Times New Roman" w:hAnsi="Times New Roman"/>
                <w:lang w:val="en-US" w:eastAsia="zh-CN"/>
              </w:rPr>
              <w:instrText xml:space="preserve"> HYPERLINK "https://www.watchguard.com/help/docs/help-center/en-us/content/en-us/Fireware/configuration_examples/block_evasive_apps_config_example.html" \t "https://chat.deepseek.com/a/chat/s/_blank" </w:instrText>
            </w:r>
            <w:r>
              <w:rPr>
                <w:rFonts w:hint="eastAsia" w:ascii="Times New Roman" w:hAnsi="Times New Roman"/>
                <w:lang w:val="en-US" w:eastAsia="zh-CN"/>
              </w:rPr>
              <w:fldChar w:fldCharType="separate"/>
            </w:r>
            <w:r>
              <w:rPr>
                <w:rFonts w:hint="eastAsia" w:ascii="Times New Roman" w:hAnsi="Times New Roman"/>
                <w:lang w:val="en-US" w:eastAsia="zh-CN"/>
              </w:rPr>
              <w:fldChar w:fldCharType="end"/>
            </w:r>
            <w:r>
              <w:rPr>
                <w:rFonts w:hint="eastAsia" w:ascii="Times New Roman" w:hAnsi="Times New Roman"/>
                <w:lang w:val="en-US" w:eastAsia="zh-CN"/>
              </w:rPr>
              <w:t>；能够对绕过行为进行日志记录，支持对“翻墙”事件的快速溯源和行为分析。</w:t>
            </w:r>
          </w:p>
          <w:p w14:paraId="65B7E2C8">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支持共享上网检测功能，支持共享接入检测和共享接入管控功能，可以通过设置管控地址和例外地址优化管控功能，同时支持阻断或告警动作。</w:t>
            </w:r>
          </w:p>
          <w:p w14:paraId="6FC6BF38">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支持路由模式（NAT、路由转发、DHCP、OSPF）、网桥模式（多路桥接模式）、旁路模式。</w:t>
            </w:r>
          </w:p>
          <w:p w14:paraId="60873C4F">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支持日志、报表、告警等审计功能，日志存储本地及外发Syslog</w:t>
            </w:r>
          </w:p>
          <w:p w14:paraId="54E4460F">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支持本地认证、Portal认证、Radius认证、LDAP认证、POP3认证、AD域单点登录、微信公众号认证、IC卡认证、二维码认证、互联网钉钉认证、混合认证和免认证。</w:t>
            </w:r>
          </w:p>
          <w:p w14:paraId="0F7485F2">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支持绑定IP认证、绑定MAC认证，及IP/MAC绑定认证等；支持当用户MAC地址变动时，需要重新认证。</w:t>
            </w:r>
          </w:p>
          <w:p w14:paraId="2586387F">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支持P2P智能流控，通过抑制P2P的上行流量，来减缓P2P的下行流量，从而解决网络出口在做流控后仍然压力较大的问题。</w:t>
            </w:r>
          </w:p>
          <w:p w14:paraId="6F7A139B">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系统须支持基于用户组、应用类型和时间计划等多维度的虚拟带宽通道配置，每条通道应独立设置上行/下行带宽上限、保证带宽及优先级，并支持动态带宽借用及单用户/IP限速，确保关键业务（如视频会议、VoIP、ERP等）的稳定运行。</w:t>
            </w:r>
          </w:p>
          <w:p w14:paraId="05FF1E1A">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支持应用识别、应用内容过滤、URL识别与控制、SSL加密内容审计与控制、旁路阻断、流量管理、防网络共享、日志报表、应用缓存加速等功能，可扩展支持web应用防护、入侵防御、病毒过滤、威胁情报、用户行为分析等功能。</w:t>
            </w:r>
          </w:p>
          <w:p w14:paraId="5090559D">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支持基于时间段/用户/用户组/终端类型/位置等维度的多种上网行为统计排行报表。</w:t>
            </w:r>
          </w:p>
          <w:p w14:paraId="491DBE70">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rFonts w:hint="eastAsia" w:ascii="Times New Roman" w:hAnsi="Times New Roman"/>
                <w:lang w:val="en-US" w:eastAsia="zh-CN"/>
              </w:rPr>
            </w:pPr>
            <w:r>
              <w:rPr>
                <w:rFonts w:hint="eastAsia" w:ascii="Times New Roman" w:hAnsi="Times New Roman"/>
                <w:lang w:val="en-US" w:eastAsia="zh-CN"/>
              </w:rPr>
              <w:t>质保期内提供硬件维保、基础系统软件升级、应用协议库、URL特征库和审计特征库升级服务。</w:t>
            </w:r>
          </w:p>
          <w:p w14:paraId="33250966">
            <w:pPr>
              <w:pStyle w:val="4"/>
              <w:pageBreakBefore w:val="0"/>
              <w:widowControl w:val="0"/>
              <w:numPr>
                <w:ilvl w:val="0"/>
                <w:numId w:val="6"/>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ascii="Times New Roman" w:hAnsi="Times New Roman"/>
                <w:lang w:val="en-US" w:eastAsia="zh-CN"/>
              </w:rPr>
              <w:t>设备使用的CPU应为国产自主可控产品，需在响应说明中列出生产厂商、品牌和规格型号，并提供设备生产原厂商使用国产自主CPU的证明材料。</w:t>
            </w:r>
          </w:p>
        </w:tc>
      </w:tr>
      <w:tr w14:paraId="2D6D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43A99CA2">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5</w:t>
            </w:r>
          </w:p>
        </w:tc>
        <w:tc>
          <w:tcPr>
            <w:tcW w:w="1312" w:type="dxa"/>
            <w:tcBorders>
              <w:top w:val="single" w:color="auto" w:sz="4" w:space="0"/>
              <w:left w:val="single" w:color="auto" w:sz="4" w:space="0"/>
              <w:bottom w:val="single" w:color="auto" w:sz="4" w:space="0"/>
              <w:right w:val="single" w:color="auto" w:sz="4" w:space="0"/>
            </w:tcBorders>
            <w:vAlign w:val="center"/>
          </w:tcPr>
          <w:p w14:paraId="7CF8FCA6">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服务器区边界防火墙</w:t>
            </w:r>
          </w:p>
        </w:tc>
        <w:tc>
          <w:tcPr>
            <w:tcW w:w="567" w:type="dxa"/>
            <w:tcBorders>
              <w:top w:val="single" w:color="auto" w:sz="4" w:space="0"/>
              <w:left w:val="single" w:color="auto" w:sz="4" w:space="0"/>
              <w:bottom w:val="single" w:color="auto" w:sz="4" w:space="0"/>
              <w:right w:val="single" w:color="auto" w:sz="4" w:space="0"/>
            </w:tcBorders>
            <w:vAlign w:val="center"/>
          </w:tcPr>
          <w:p w14:paraId="6590126F">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2</w:t>
            </w:r>
          </w:p>
        </w:tc>
        <w:tc>
          <w:tcPr>
            <w:tcW w:w="442" w:type="dxa"/>
            <w:tcBorders>
              <w:top w:val="single" w:color="auto" w:sz="4" w:space="0"/>
              <w:left w:val="single" w:color="auto" w:sz="4" w:space="0"/>
              <w:bottom w:val="single" w:color="auto" w:sz="4" w:space="0"/>
              <w:right w:val="single" w:color="auto" w:sz="4" w:space="0"/>
            </w:tcBorders>
            <w:vAlign w:val="center"/>
          </w:tcPr>
          <w:p w14:paraId="77D0BF95">
            <w:pPr>
              <w:pStyle w:val="4"/>
              <w:pageBreakBefore w:val="0"/>
              <w:widowControl w:val="0"/>
              <w:kinsoku/>
              <w:wordWrap/>
              <w:overflowPunct/>
              <w:topLinePunct w:val="0"/>
              <w:autoSpaceDE/>
              <w:autoSpaceDN/>
              <w:bidi w:val="0"/>
              <w:adjustRightInd/>
              <w:snapToGrid/>
              <w:spacing w:after="0" w:line="312" w:lineRule="auto"/>
              <w:textAlignment w:val="auto"/>
              <w:rPr>
                <w:lang w:val="en-US"/>
              </w:rPr>
            </w:pPr>
            <w:r>
              <w:rPr>
                <w:rFonts w:hint="eastAsia"/>
                <w:lang w:val="en-US"/>
              </w:rPr>
              <w:t>台</w:t>
            </w:r>
          </w:p>
        </w:tc>
        <w:tc>
          <w:tcPr>
            <w:tcW w:w="4922" w:type="dxa"/>
            <w:tcBorders>
              <w:top w:val="single" w:color="auto" w:sz="4" w:space="0"/>
              <w:left w:val="single" w:color="auto" w:sz="4" w:space="0"/>
              <w:bottom w:val="single" w:color="auto" w:sz="4" w:space="0"/>
              <w:right w:val="single" w:color="auto" w:sz="4" w:space="0"/>
            </w:tcBorders>
            <w:vAlign w:val="center"/>
          </w:tcPr>
          <w:p w14:paraId="7014DD7D">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color w:val="auto"/>
                <w:lang w:val="en-US"/>
              </w:rPr>
            </w:pPr>
            <w:r>
              <w:rPr>
                <w:rFonts w:hint="eastAsia"/>
                <w:color w:val="auto"/>
                <w:lang w:val="en-US"/>
              </w:rPr>
              <w:t>机架标准机架式设备，采用国产信创处理器和信创操作系统，提供双冗余电源，支持热插拔。</w:t>
            </w:r>
          </w:p>
          <w:p w14:paraId="6A93A0A6">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color w:val="auto"/>
                <w:lang w:val="en-US"/>
              </w:rPr>
            </w:pPr>
            <w:r>
              <w:rPr>
                <w:rFonts w:hint="eastAsia"/>
                <w:color w:val="auto"/>
                <w:lang w:val="en-US" w:eastAsia="zh-CN"/>
              </w:rPr>
              <w:t>万兆</w:t>
            </w:r>
            <w:r>
              <w:rPr>
                <w:rFonts w:hint="eastAsia"/>
                <w:color w:val="auto"/>
                <w:lang w:val="en-US"/>
              </w:rPr>
              <w:t>SFP+接口不少于8个，</w:t>
            </w:r>
            <w:r>
              <w:rPr>
                <w:rFonts w:hint="eastAsia"/>
                <w:color w:val="auto"/>
                <w:lang w:val="en-US" w:eastAsia="zh-CN"/>
              </w:rPr>
              <w:t>千兆</w:t>
            </w:r>
            <w:r>
              <w:rPr>
                <w:rFonts w:hint="eastAsia"/>
                <w:color w:val="auto"/>
                <w:lang w:val="en-US"/>
              </w:rPr>
              <w:t>SFP+接口不少于</w:t>
            </w:r>
            <w:r>
              <w:rPr>
                <w:rFonts w:hint="eastAsia"/>
                <w:color w:val="auto"/>
                <w:lang w:val="en-US" w:eastAsia="zh-CN"/>
              </w:rPr>
              <w:t>8</w:t>
            </w:r>
            <w:r>
              <w:rPr>
                <w:rFonts w:hint="eastAsia"/>
                <w:color w:val="auto"/>
                <w:lang w:val="en-US"/>
              </w:rPr>
              <w:t>个</w:t>
            </w:r>
            <w:r>
              <w:rPr>
                <w:rFonts w:hint="eastAsia"/>
                <w:color w:val="auto"/>
                <w:lang w:val="en-US" w:eastAsia="zh-CN"/>
              </w:rPr>
              <w:t>，千</w:t>
            </w:r>
            <w:r>
              <w:rPr>
                <w:rFonts w:hint="eastAsia"/>
                <w:color w:val="auto"/>
                <w:lang w:val="en-US"/>
              </w:rPr>
              <w:t>兆电口不少于</w:t>
            </w:r>
            <w:r>
              <w:rPr>
                <w:rFonts w:hint="eastAsia"/>
                <w:color w:val="auto"/>
                <w:lang w:val="en-US" w:eastAsia="zh-CN"/>
              </w:rPr>
              <w:t>16</w:t>
            </w:r>
            <w:r>
              <w:rPr>
                <w:rFonts w:hint="eastAsia"/>
                <w:color w:val="auto"/>
                <w:lang w:val="en-US"/>
              </w:rPr>
              <w:t>个（含2对bypass）</w:t>
            </w:r>
            <w:r>
              <w:rPr>
                <w:rFonts w:hint="eastAsia"/>
                <w:color w:val="auto"/>
                <w:lang w:val="en-US" w:eastAsia="zh-CN"/>
              </w:rPr>
              <w:t>，</w:t>
            </w:r>
            <w:r>
              <w:rPr>
                <w:rFonts w:hint="eastAsia"/>
                <w:color w:val="auto"/>
                <w:lang w:val="en-US"/>
              </w:rPr>
              <w:t>管理接口（MGT口）不少于1个，USB 3.0 口不少于2个。</w:t>
            </w:r>
          </w:p>
          <w:p w14:paraId="01182C10">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color w:val="auto"/>
                <w:lang w:val="en-US"/>
              </w:rPr>
            </w:pPr>
            <w:r>
              <w:rPr>
                <w:rFonts w:hint="eastAsia"/>
                <w:color w:val="auto"/>
                <w:lang w:val="en-US"/>
              </w:rPr>
              <w:t>配置1个双机热备接口（HA口），1个console口，具备业务扩展槽位不少于</w:t>
            </w:r>
            <w:r>
              <w:rPr>
                <w:rFonts w:hint="eastAsia"/>
                <w:color w:val="auto"/>
                <w:lang w:val="en-US" w:eastAsia="zh-CN"/>
              </w:rPr>
              <w:t>4</w:t>
            </w:r>
            <w:r>
              <w:rPr>
                <w:rFonts w:hint="eastAsia"/>
                <w:color w:val="auto"/>
                <w:lang w:val="en-US"/>
              </w:rPr>
              <w:t>个。</w:t>
            </w:r>
          </w:p>
          <w:p w14:paraId="205F45FB">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rFonts w:hint="eastAsia"/>
                <w:color w:val="auto"/>
                <w:lang w:val="en-US"/>
              </w:rPr>
            </w:pPr>
            <w:r>
              <w:rPr>
                <w:rFonts w:hint="eastAsia"/>
                <w:color w:val="auto"/>
                <w:lang w:val="en-US"/>
              </w:rPr>
              <w:t>内存不少于32GB，硬盘存储空间不少于</w:t>
            </w:r>
            <w:r>
              <w:rPr>
                <w:rFonts w:hint="eastAsia"/>
                <w:color w:val="auto"/>
                <w:lang w:val="en-US" w:eastAsia="zh-CN"/>
              </w:rPr>
              <w:t>4TB</w:t>
            </w:r>
            <w:r>
              <w:rPr>
                <w:rFonts w:hint="eastAsia"/>
                <w:color w:val="auto"/>
                <w:lang w:val="en-US"/>
              </w:rPr>
              <w:t>。</w:t>
            </w:r>
          </w:p>
          <w:p w14:paraId="030AC2EA">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rFonts w:hint="eastAsia"/>
                <w:color w:val="auto"/>
                <w:lang w:val="en-US"/>
              </w:rPr>
            </w:pPr>
            <w:r>
              <w:rPr>
                <w:rFonts w:hint="eastAsia"/>
                <w:color w:val="auto"/>
                <w:lang w:val="en-US"/>
              </w:rPr>
              <w:t>每台设备配置堆叠线缆及堆叠模块，支持两台设备堆叠部署，堆叠带宽</w:t>
            </w:r>
            <w:r>
              <w:rPr>
                <w:rFonts w:hint="eastAsia"/>
                <w:color w:val="auto"/>
                <w:lang w:val="en-US" w:eastAsia="zh-CN"/>
              </w:rPr>
              <w:t>不少于2</w:t>
            </w:r>
            <w:r>
              <w:rPr>
                <w:rFonts w:hint="eastAsia"/>
                <w:color w:val="auto"/>
                <w:lang w:val="en-US"/>
              </w:rPr>
              <w:t>0Gbps</w:t>
            </w:r>
            <w:r>
              <w:rPr>
                <w:rFonts w:hint="eastAsia"/>
                <w:color w:val="auto"/>
                <w:lang w:val="en-US" w:eastAsia="zh-CN"/>
              </w:rPr>
              <w:t>。</w:t>
            </w:r>
          </w:p>
          <w:p w14:paraId="0E93D0E5">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rFonts w:hint="eastAsia"/>
                <w:color w:val="auto"/>
                <w:lang w:val="en-US"/>
              </w:rPr>
            </w:pPr>
            <w:r>
              <w:rPr>
                <w:rFonts w:hint="eastAsia"/>
                <w:color w:val="auto"/>
                <w:lang w:val="en-US"/>
              </w:rPr>
              <w:t>每台设备配置万兆</w:t>
            </w:r>
            <w:r>
              <w:rPr>
                <w:rFonts w:hint="eastAsia"/>
                <w:color w:val="auto"/>
                <w:lang w:val="en-US" w:eastAsia="zh-CN"/>
              </w:rPr>
              <w:t>单</w:t>
            </w:r>
            <w:r>
              <w:rPr>
                <w:rFonts w:hint="eastAsia"/>
                <w:color w:val="auto"/>
                <w:lang w:val="en-US"/>
              </w:rPr>
              <w:t>模光</w:t>
            </w:r>
            <w:r>
              <w:rPr>
                <w:rFonts w:hint="eastAsia"/>
                <w:color w:val="auto"/>
                <w:lang w:val="en-US" w:eastAsia="zh-CN"/>
              </w:rPr>
              <w:t>模块不少于6</w:t>
            </w:r>
            <w:r>
              <w:rPr>
                <w:rFonts w:hint="eastAsia"/>
                <w:color w:val="auto"/>
                <w:lang w:val="en-US"/>
              </w:rPr>
              <w:t>个</w:t>
            </w:r>
            <w:r>
              <w:rPr>
                <w:rFonts w:hint="eastAsia"/>
                <w:color w:val="auto"/>
                <w:lang w:val="en-US" w:eastAsia="zh-CN"/>
              </w:rPr>
              <w:t>，千兆单模光模块不少于8个。</w:t>
            </w:r>
          </w:p>
          <w:p w14:paraId="3789CF22">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rFonts w:hint="eastAsia"/>
                <w:color w:val="auto"/>
                <w:lang w:val="en-US" w:eastAsia="zh-CN"/>
              </w:rPr>
            </w:pPr>
            <w:r>
              <w:rPr>
                <w:rFonts w:hint="eastAsia"/>
                <w:color w:val="auto"/>
                <w:lang w:val="en-US"/>
              </w:rPr>
              <w:t>支持日志、报表、告警等审计功能，日志存储本地及外发Syslog</w:t>
            </w:r>
            <w:r>
              <w:rPr>
                <w:rFonts w:hint="eastAsia"/>
                <w:color w:val="auto"/>
                <w:lang w:val="en-US" w:eastAsia="zh-CN"/>
              </w:rPr>
              <w:t>。</w:t>
            </w:r>
          </w:p>
          <w:p w14:paraId="0D3AC47F">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color w:val="auto"/>
                <w:lang w:val="en-US"/>
              </w:rPr>
            </w:pPr>
            <w:r>
              <w:rPr>
                <w:rFonts w:hint="eastAsia"/>
                <w:color w:val="auto"/>
                <w:lang w:val="en-US" w:eastAsia="zh-CN"/>
              </w:rPr>
              <w:t>支持逻辑防火墙/虚拟系统（Virtual System / Tenant）功能，默认授权不少于10个，可独立配置安全策略、路由表、NAT及管理账号，无需额外付费扩容。</w:t>
            </w:r>
          </w:p>
          <w:p w14:paraId="1FD04544">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防火墙吞吐量不小于60Gbps，最大并发连接数不小于1800万，每秒新建连接数不小于55万，防病毒吞吐量不小于14Gbps，入侵防御吞吐量不小于35Gbps。</w:t>
            </w:r>
          </w:p>
          <w:p w14:paraId="1B9C5233">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rFonts w:hint="eastAsia"/>
                <w:lang w:val="en-US"/>
              </w:rPr>
            </w:pPr>
            <w:r>
              <w:rPr>
                <w:rFonts w:hint="eastAsia"/>
                <w:lang w:val="en-US"/>
              </w:rPr>
              <w:t>支持双机热备（HA）架构，兼容主备及双活部署模式，通过冗余设计与自动故障切换机制，确保业务系统高可用性并消除单点故障。</w:t>
            </w:r>
          </w:p>
          <w:p w14:paraId="0BF0CF62">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rFonts w:hint="eastAsia"/>
                <w:lang w:val="en-US"/>
              </w:rPr>
            </w:pPr>
            <w:r>
              <w:rPr>
                <w:rFonts w:hint="eastAsia"/>
                <w:lang w:val="en-US"/>
              </w:rPr>
              <w:t>支持共享上网检测功能，可以通过设置管控地址和例外地址优化管控功能，同时支持阻断或告警动作。</w:t>
            </w:r>
          </w:p>
          <w:p w14:paraId="0FB7FBCC">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具备静态和动态路由功能、源目的IP地址转换和链路聚合等网络功能。</w:t>
            </w:r>
          </w:p>
          <w:p w14:paraId="42CD0A0A">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具备会话限制、DOS攻击防护、安全访问控制和关键字过滤等安全功能。</w:t>
            </w:r>
          </w:p>
          <w:p w14:paraId="02D401C9">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具备网络流量应用类型识别和流量和会话监控等功能。</w:t>
            </w:r>
          </w:p>
          <w:p w14:paraId="489C2E41">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eastAsia="zh-CN"/>
              </w:rPr>
              <w:t>具备IP黑名单手工导入和导出数据能力，以及自动更新黑名单数据的能力。IP 黑名单功能能对用户主动提供的黑名单数据的适配能力，需能支持黑名单文件导入和导出，导入格式应支持.txt/csv。</w:t>
            </w:r>
          </w:p>
          <w:p w14:paraId="02A24C43">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质保期内提供硬件维保、基础系统软件升级、应用识别库特征库、入侵防御特征库、病毒特征库、威胁情报特征库升级服务。</w:t>
            </w:r>
          </w:p>
          <w:p w14:paraId="60ABBA71">
            <w:pPr>
              <w:pStyle w:val="4"/>
              <w:pageBreakBefore w:val="0"/>
              <w:widowControl w:val="0"/>
              <w:numPr>
                <w:ilvl w:val="0"/>
                <w:numId w:val="7"/>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设备使用的CPU应为国产自主可控产品，需在响应说明中列出生产厂商、品牌和规格型号，并提供设备生产原厂商使用国产自主</w:t>
            </w:r>
            <w:r>
              <w:rPr>
                <w:rFonts w:hint="eastAsia"/>
                <w:lang w:val="en-US" w:eastAsia="zh-CN"/>
              </w:rPr>
              <w:t>CPU</w:t>
            </w:r>
            <w:r>
              <w:rPr>
                <w:rFonts w:hint="eastAsia"/>
                <w:lang w:val="en-US"/>
              </w:rPr>
              <w:t>的证明材料。</w:t>
            </w:r>
          </w:p>
        </w:tc>
      </w:tr>
      <w:tr w14:paraId="692C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14:paraId="08CB83BA">
            <w:pPr>
              <w:pStyle w:val="4"/>
              <w:pageBreakBefore w:val="0"/>
              <w:widowControl w:val="0"/>
              <w:kinsoku/>
              <w:wordWrap/>
              <w:overflowPunct/>
              <w:topLinePunct w:val="0"/>
              <w:autoSpaceDE/>
              <w:autoSpaceDN/>
              <w:bidi w:val="0"/>
              <w:adjustRightInd/>
              <w:snapToGrid/>
              <w:spacing w:after="0" w:line="312" w:lineRule="auto"/>
              <w:textAlignment w:val="auto"/>
              <w:rPr>
                <w:rFonts w:hint="eastAsia" w:eastAsiaTheme="minorEastAsia"/>
                <w:lang w:val="en-US" w:eastAsia="zh-CN"/>
              </w:rPr>
            </w:pPr>
            <w:r>
              <w:rPr>
                <w:rFonts w:hint="eastAsia"/>
                <w:lang w:val="en-US" w:eastAsia="zh-CN"/>
              </w:rPr>
              <w:t>6</w:t>
            </w:r>
          </w:p>
        </w:tc>
        <w:tc>
          <w:tcPr>
            <w:tcW w:w="1312" w:type="dxa"/>
            <w:tcBorders>
              <w:top w:val="single" w:color="auto" w:sz="4" w:space="0"/>
              <w:left w:val="single" w:color="auto" w:sz="4" w:space="0"/>
              <w:bottom w:val="single" w:color="auto" w:sz="4" w:space="0"/>
              <w:right w:val="single" w:color="auto" w:sz="4" w:space="0"/>
            </w:tcBorders>
            <w:vAlign w:val="center"/>
          </w:tcPr>
          <w:p w14:paraId="33D94AD0">
            <w:pPr>
              <w:pStyle w:val="4"/>
              <w:pageBreakBefore w:val="0"/>
              <w:widowControl w:val="0"/>
              <w:kinsoku/>
              <w:wordWrap/>
              <w:overflowPunct/>
              <w:topLinePunct w:val="0"/>
              <w:autoSpaceDE/>
              <w:autoSpaceDN/>
              <w:bidi w:val="0"/>
              <w:adjustRightInd/>
              <w:snapToGrid/>
              <w:spacing w:after="0" w:line="312" w:lineRule="auto"/>
              <w:textAlignment w:val="auto"/>
              <w:rPr>
                <w:rFonts w:hint="eastAsia"/>
                <w:lang w:val="en-US"/>
              </w:rPr>
            </w:pPr>
            <w:r>
              <w:rPr>
                <w:rFonts w:hint="eastAsia"/>
                <w:lang w:val="en-US" w:eastAsia="zh-CN"/>
              </w:rPr>
              <w:t>外网出口</w:t>
            </w:r>
            <w:r>
              <w:rPr>
                <w:rFonts w:hint="eastAsia"/>
                <w:lang w:val="en-US"/>
              </w:rPr>
              <w:t>防火墙</w:t>
            </w:r>
          </w:p>
        </w:tc>
        <w:tc>
          <w:tcPr>
            <w:tcW w:w="567" w:type="dxa"/>
            <w:tcBorders>
              <w:top w:val="single" w:color="auto" w:sz="4" w:space="0"/>
              <w:left w:val="single" w:color="auto" w:sz="4" w:space="0"/>
              <w:bottom w:val="single" w:color="auto" w:sz="4" w:space="0"/>
              <w:right w:val="single" w:color="auto" w:sz="4" w:space="0"/>
            </w:tcBorders>
            <w:vAlign w:val="center"/>
          </w:tcPr>
          <w:p w14:paraId="71A1D93A">
            <w:pPr>
              <w:pStyle w:val="4"/>
              <w:pageBreakBefore w:val="0"/>
              <w:widowControl w:val="0"/>
              <w:kinsoku/>
              <w:wordWrap/>
              <w:overflowPunct/>
              <w:topLinePunct w:val="0"/>
              <w:autoSpaceDE/>
              <w:autoSpaceDN/>
              <w:bidi w:val="0"/>
              <w:adjustRightInd/>
              <w:snapToGrid/>
              <w:spacing w:after="0" w:line="312" w:lineRule="auto"/>
              <w:textAlignment w:val="auto"/>
              <w:rPr>
                <w:rFonts w:hint="eastAsia"/>
                <w:lang w:val="en-US"/>
              </w:rPr>
            </w:pPr>
            <w:r>
              <w:rPr>
                <w:rFonts w:hint="eastAsia"/>
                <w:lang w:val="en-US"/>
              </w:rPr>
              <w:t>2</w:t>
            </w:r>
          </w:p>
        </w:tc>
        <w:tc>
          <w:tcPr>
            <w:tcW w:w="442" w:type="dxa"/>
            <w:tcBorders>
              <w:top w:val="single" w:color="auto" w:sz="4" w:space="0"/>
              <w:left w:val="single" w:color="auto" w:sz="4" w:space="0"/>
              <w:bottom w:val="single" w:color="auto" w:sz="4" w:space="0"/>
              <w:right w:val="single" w:color="auto" w:sz="4" w:space="0"/>
            </w:tcBorders>
            <w:vAlign w:val="center"/>
          </w:tcPr>
          <w:p w14:paraId="2E9D13CA">
            <w:pPr>
              <w:pStyle w:val="4"/>
              <w:pageBreakBefore w:val="0"/>
              <w:widowControl w:val="0"/>
              <w:kinsoku/>
              <w:wordWrap/>
              <w:overflowPunct/>
              <w:topLinePunct w:val="0"/>
              <w:autoSpaceDE/>
              <w:autoSpaceDN/>
              <w:bidi w:val="0"/>
              <w:adjustRightInd/>
              <w:snapToGrid/>
              <w:spacing w:after="0" w:line="312" w:lineRule="auto"/>
              <w:textAlignment w:val="auto"/>
              <w:rPr>
                <w:rFonts w:hint="eastAsia"/>
                <w:lang w:val="en-US"/>
              </w:rPr>
            </w:pPr>
            <w:r>
              <w:rPr>
                <w:rFonts w:hint="eastAsia"/>
                <w:lang w:val="en-US"/>
              </w:rPr>
              <w:t>台</w:t>
            </w:r>
          </w:p>
        </w:tc>
        <w:tc>
          <w:tcPr>
            <w:tcW w:w="4922" w:type="dxa"/>
            <w:tcBorders>
              <w:top w:val="single" w:color="auto" w:sz="4" w:space="0"/>
              <w:left w:val="single" w:color="auto" w:sz="4" w:space="0"/>
              <w:bottom w:val="single" w:color="auto" w:sz="4" w:space="0"/>
              <w:right w:val="single" w:color="auto" w:sz="4" w:space="0"/>
            </w:tcBorders>
            <w:vAlign w:val="center"/>
          </w:tcPr>
          <w:p w14:paraId="4CF26F94">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color w:val="auto"/>
                <w:lang w:val="en-US"/>
              </w:rPr>
            </w:pPr>
            <w:r>
              <w:rPr>
                <w:rFonts w:hint="eastAsia"/>
                <w:lang w:val="en-US"/>
              </w:rPr>
              <w:t>机架</w:t>
            </w:r>
            <w:r>
              <w:rPr>
                <w:rFonts w:hint="eastAsia"/>
                <w:color w:val="auto"/>
                <w:lang w:val="en-US"/>
              </w:rPr>
              <w:t>标准机架式设备，采用国产信创处理器和信创操作系统，提供双冗余电源，支持热插拔。</w:t>
            </w:r>
          </w:p>
          <w:p w14:paraId="41F4F574">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color w:val="auto"/>
                <w:lang w:val="en-US"/>
              </w:rPr>
            </w:pPr>
            <w:r>
              <w:rPr>
                <w:rFonts w:hint="eastAsia"/>
                <w:color w:val="auto"/>
                <w:lang w:val="en-US" w:eastAsia="zh-CN"/>
              </w:rPr>
              <w:t>万兆</w:t>
            </w:r>
            <w:r>
              <w:rPr>
                <w:rFonts w:hint="eastAsia"/>
                <w:color w:val="auto"/>
                <w:lang w:val="en-US"/>
              </w:rPr>
              <w:t>SFP+接口不少于</w:t>
            </w:r>
            <w:r>
              <w:rPr>
                <w:rFonts w:hint="eastAsia"/>
                <w:color w:val="auto"/>
                <w:lang w:val="en-US" w:eastAsia="zh-CN"/>
              </w:rPr>
              <w:t>8</w:t>
            </w:r>
            <w:r>
              <w:rPr>
                <w:rFonts w:hint="eastAsia"/>
                <w:color w:val="auto"/>
                <w:lang w:val="en-US"/>
              </w:rPr>
              <w:t>个，</w:t>
            </w:r>
            <w:r>
              <w:rPr>
                <w:rFonts w:hint="eastAsia"/>
                <w:color w:val="auto"/>
                <w:lang w:val="en-US" w:eastAsia="zh-CN"/>
              </w:rPr>
              <w:t>千</w:t>
            </w:r>
            <w:r>
              <w:rPr>
                <w:rFonts w:hint="eastAsia"/>
                <w:color w:val="auto"/>
                <w:lang w:val="en-US"/>
              </w:rPr>
              <w:t>兆电口不少于</w:t>
            </w:r>
            <w:r>
              <w:rPr>
                <w:rFonts w:hint="eastAsia"/>
                <w:color w:val="auto"/>
                <w:lang w:val="en-US" w:eastAsia="zh-CN"/>
              </w:rPr>
              <w:t>16</w:t>
            </w:r>
            <w:r>
              <w:rPr>
                <w:rFonts w:hint="eastAsia"/>
                <w:color w:val="auto"/>
                <w:lang w:val="en-US"/>
              </w:rPr>
              <w:t>个（含2对bypass），管理接口（MGT口）不少于1个，USB 3.0 口不少于2个。</w:t>
            </w:r>
          </w:p>
          <w:p w14:paraId="068001D1">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color w:val="auto"/>
                <w:lang w:val="en-US"/>
              </w:rPr>
            </w:pPr>
            <w:r>
              <w:rPr>
                <w:rFonts w:hint="eastAsia"/>
                <w:color w:val="auto"/>
                <w:lang w:val="en-US"/>
              </w:rPr>
              <w:t>配置1个双机热备接口（HA口），1个console口，具备业务扩展槽位不少于</w:t>
            </w:r>
            <w:r>
              <w:rPr>
                <w:rFonts w:hint="eastAsia"/>
                <w:color w:val="auto"/>
                <w:lang w:val="en-US" w:eastAsia="zh-CN"/>
              </w:rPr>
              <w:t>4</w:t>
            </w:r>
            <w:r>
              <w:rPr>
                <w:rFonts w:hint="eastAsia"/>
                <w:color w:val="auto"/>
                <w:lang w:val="en-US"/>
              </w:rPr>
              <w:t>个。</w:t>
            </w:r>
          </w:p>
          <w:p w14:paraId="32A237CE">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rFonts w:hint="eastAsia"/>
                <w:color w:val="auto"/>
                <w:lang w:val="en-US"/>
              </w:rPr>
            </w:pPr>
            <w:r>
              <w:rPr>
                <w:rFonts w:hint="eastAsia"/>
                <w:color w:val="auto"/>
                <w:lang w:val="en-US"/>
              </w:rPr>
              <w:t>内存不少于</w:t>
            </w:r>
            <w:r>
              <w:rPr>
                <w:rFonts w:hint="eastAsia"/>
                <w:color w:val="auto"/>
                <w:lang w:val="en-US" w:eastAsia="zh-CN"/>
              </w:rPr>
              <w:t>16</w:t>
            </w:r>
            <w:r>
              <w:rPr>
                <w:rFonts w:hint="eastAsia"/>
                <w:color w:val="auto"/>
                <w:lang w:val="en-US"/>
              </w:rPr>
              <w:t>GB，硬盘存储空间不少于</w:t>
            </w:r>
            <w:r>
              <w:rPr>
                <w:rFonts w:hint="eastAsia"/>
                <w:color w:val="auto"/>
                <w:lang w:val="en-US" w:eastAsia="zh-CN"/>
              </w:rPr>
              <w:t>4TB</w:t>
            </w:r>
            <w:r>
              <w:rPr>
                <w:rFonts w:hint="eastAsia"/>
                <w:color w:val="auto"/>
                <w:lang w:val="en-US"/>
              </w:rPr>
              <w:t>。</w:t>
            </w:r>
          </w:p>
          <w:p w14:paraId="7DF4F220">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rFonts w:hint="eastAsia"/>
                <w:color w:val="auto"/>
                <w:lang w:val="en-US"/>
              </w:rPr>
            </w:pPr>
            <w:r>
              <w:rPr>
                <w:rFonts w:hint="eastAsia"/>
                <w:color w:val="auto"/>
                <w:lang w:val="en-US"/>
              </w:rPr>
              <w:t>每台设备配置堆叠线缆及堆叠模块，支持两台设备堆叠部署，堆叠带宽</w:t>
            </w:r>
            <w:r>
              <w:rPr>
                <w:rFonts w:hint="eastAsia"/>
                <w:color w:val="auto"/>
                <w:lang w:val="en-US" w:eastAsia="zh-CN"/>
              </w:rPr>
              <w:t>不少于2</w:t>
            </w:r>
            <w:r>
              <w:rPr>
                <w:rFonts w:hint="eastAsia"/>
                <w:color w:val="auto"/>
                <w:lang w:val="en-US"/>
              </w:rPr>
              <w:t>0Gbps</w:t>
            </w:r>
            <w:r>
              <w:rPr>
                <w:rFonts w:hint="eastAsia"/>
                <w:color w:val="auto"/>
                <w:lang w:val="en-US" w:eastAsia="zh-CN"/>
              </w:rPr>
              <w:t>。</w:t>
            </w:r>
          </w:p>
          <w:p w14:paraId="01A6E563">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rFonts w:hint="eastAsia"/>
                <w:color w:val="auto"/>
                <w:lang w:val="en-US"/>
              </w:rPr>
            </w:pPr>
            <w:r>
              <w:rPr>
                <w:rFonts w:hint="eastAsia"/>
                <w:color w:val="auto"/>
                <w:lang w:val="en-US"/>
              </w:rPr>
              <w:t>每台设备配置</w:t>
            </w:r>
            <w:r>
              <w:rPr>
                <w:rFonts w:hint="eastAsia"/>
                <w:color w:val="auto"/>
                <w:lang w:val="en-US" w:eastAsia="zh-CN"/>
              </w:rPr>
              <w:t>万</w:t>
            </w:r>
            <w:r>
              <w:rPr>
                <w:rFonts w:hint="eastAsia"/>
                <w:color w:val="auto"/>
                <w:lang w:val="en-US"/>
              </w:rPr>
              <w:t>兆</w:t>
            </w:r>
            <w:r>
              <w:rPr>
                <w:rFonts w:hint="eastAsia"/>
                <w:color w:val="auto"/>
                <w:lang w:val="en-US" w:eastAsia="zh-CN"/>
              </w:rPr>
              <w:t>单</w:t>
            </w:r>
            <w:r>
              <w:rPr>
                <w:rFonts w:hint="eastAsia"/>
                <w:color w:val="auto"/>
                <w:lang w:val="en-US"/>
              </w:rPr>
              <w:t>模光</w:t>
            </w:r>
            <w:r>
              <w:rPr>
                <w:rFonts w:hint="eastAsia"/>
                <w:color w:val="auto"/>
                <w:lang w:val="en-US" w:eastAsia="zh-CN"/>
              </w:rPr>
              <w:t>模块不少于4</w:t>
            </w:r>
            <w:r>
              <w:rPr>
                <w:rFonts w:hint="eastAsia"/>
                <w:color w:val="auto"/>
                <w:lang w:val="en-US"/>
              </w:rPr>
              <w:t>个</w:t>
            </w:r>
            <w:r>
              <w:rPr>
                <w:rFonts w:hint="eastAsia"/>
                <w:color w:val="auto"/>
                <w:lang w:val="en-US" w:eastAsia="zh-CN"/>
              </w:rPr>
              <w:t>，千兆单模光模块不少于6个。</w:t>
            </w:r>
          </w:p>
          <w:p w14:paraId="684992EC">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rFonts w:hint="eastAsia"/>
                <w:color w:val="auto"/>
                <w:lang w:val="en-US"/>
              </w:rPr>
            </w:pPr>
            <w:r>
              <w:rPr>
                <w:rFonts w:hint="eastAsia"/>
                <w:color w:val="auto"/>
                <w:lang w:val="en-US"/>
              </w:rPr>
              <w:t>支持日志、报表、告警等审计功能，日志存储本地及外发Syslog</w:t>
            </w:r>
            <w:r>
              <w:rPr>
                <w:rFonts w:hint="eastAsia"/>
                <w:color w:val="auto"/>
                <w:lang w:val="en-US" w:eastAsia="zh-CN"/>
              </w:rPr>
              <w:t>。</w:t>
            </w:r>
          </w:p>
          <w:p w14:paraId="72FFED7B">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rFonts w:hint="eastAsia"/>
                <w:lang w:val="en-US"/>
              </w:rPr>
            </w:pPr>
            <w:r>
              <w:rPr>
                <w:rFonts w:hint="eastAsia"/>
                <w:color w:val="auto"/>
                <w:lang w:val="en-US" w:eastAsia="zh-CN"/>
              </w:rPr>
              <w:t>支持逻辑防火墙/虚拟系统（Virtua</w:t>
            </w:r>
            <w:r>
              <w:rPr>
                <w:rFonts w:hint="eastAsia"/>
                <w:lang w:val="en-US" w:eastAsia="zh-CN"/>
              </w:rPr>
              <w:t>l System / Tenant）功能，默认授权不少于10个，可独立配置安全策略、路由表、NAT及管理账号，无需额外付费扩容。</w:t>
            </w:r>
          </w:p>
          <w:p w14:paraId="7183DD28">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lang w:val="en-US" w:eastAsia="zh-CN"/>
              </w:rPr>
              <w:t>支持双机Active-Active高可用部署模式，两台设备均可转发业务流量，支持会话状态、NAT、IPSec VPN、应用识别等表项全同步，主备切换不中断业务</w:t>
            </w:r>
            <w:r>
              <w:rPr>
                <w:rFonts w:hint="eastAsia"/>
                <w:lang w:val="en-US" w:eastAsia="zh-CN"/>
              </w:rPr>
              <w:t>。</w:t>
            </w:r>
          </w:p>
          <w:p w14:paraId="1F8D12C9">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eastAsia="zh-CN"/>
              </w:rPr>
              <w:t>整机</w:t>
            </w:r>
            <w:r>
              <w:rPr>
                <w:rFonts w:hint="eastAsia"/>
                <w:lang w:val="en-US"/>
              </w:rPr>
              <w:t>防火墙吞吐量不小于60Gbps，最大并发连接数不小于1800万，每秒新建连接数不小于55万，防病毒吞吐量不小于14Gbps，入侵防御吞吐量不小于35Gbps。</w:t>
            </w:r>
          </w:p>
          <w:p w14:paraId="576C2F01">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支持双机热备（HA）架构，兼容主备及双活部署模式，通过冗余设计与自动故障切换机制，确保业务系统高可用性并消除单点故障。</w:t>
            </w:r>
          </w:p>
          <w:p w14:paraId="4D039CF5">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支持共享上网检测功能，可以通过设置管控地址和例外地址优化管控功能，同时支持阻断或告警动作。</w:t>
            </w:r>
          </w:p>
          <w:p w14:paraId="510832EA">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支持在源地址转换过程中，对SNAT（源地址转换）使用的地址池利用率进行监控</w:t>
            </w:r>
            <w:r>
              <w:rPr>
                <w:rFonts w:hint="eastAsia"/>
                <w:lang w:val="en-US" w:eastAsia="zh-CN"/>
              </w:rPr>
              <w:t>。</w:t>
            </w:r>
          </w:p>
          <w:p w14:paraId="26E67CB9">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支持路由、透明、交换以及混合模式接入，满足复杂应用环境的接入需求</w:t>
            </w:r>
            <w:r>
              <w:rPr>
                <w:rFonts w:hint="eastAsia"/>
                <w:lang w:val="en-US" w:eastAsia="zh-CN"/>
              </w:rPr>
              <w:t>。</w:t>
            </w:r>
          </w:p>
          <w:p w14:paraId="4C3A8C39">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具备静态路由、动态路由、策略路由功能、源目的IP地址转换和链路聚合等网络功能。</w:t>
            </w:r>
          </w:p>
          <w:p w14:paraId="13CDF014">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具备会话限制、DOS攻击防护、安全访问控制和关键字过滤等安全功能。</w:t>
            </w:r>
          </w:p>
          <w:p w14:paraId="1F07A43B">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rPr>
              <w:t>具备网络流量应用类型识别和流量和会话监控等功能。</w:t>
            </w:r>
          </w:p>
          <w:p w14:paraId="56CA8A6E">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lang w:val="en-US"/>
              </w:rPr>
            </w:pPr>
            <w:r>
              <w:rPr>
                <w:rFonts w:hint="eastAsia"/>
                <w:lang w:val="en-US" w:eastAsia="zh-CN"/>
              </w:rPr>
              <w:t>具备IP黑名单手工导入和导出数据能力，以及自动更新黑名单数据的能力。IP 黑名单功能能对用户主动提供的黑名单数据的适配能力，需能支持黑名单文件导入和导出，导入格式应支持.txt/csv。</w:t>
            </w:r>
          </w:p>
          <w:p w14:paraId="304DEC8E">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rFonts w:hint="eastAsia"/>
                <w:lang w:val="en-US"/>
              </w:rPr>
            </w:pPr>
            <w:r>
              <w:rPr>
                <w:rFonts w:hint="eastAsia"/>
                <w:lang w:val="en-US"/>
              </w:rPr>
              <w:t>质保期内提供硬件维保、基础系统软件升级、应用识别库特征库、入侵防御特征库、病毒特征库、威胁情报特征库升级服务。</w:t>
            </w:r>
          </w:p>
          <w:p w14:paraId="4419A5E3">
            <w:pPr>
              <w:pStyle w:val="4"/>
              <w:pageBreakBefore w:val="0"/>
              <w:widowControl w:val="0"/>
              <w:numPr>
                <w:ilvl w:val="0"/>
                <w:numId w:val="8"/>
              </w:numPr>
              <w:kinsoku/>
              <w:wordWrap/>
              <w:overflowPunct/>
              <w:topLinePunct w:val="0"/>
              <w:autoSpaceDE/>
              <w:autoSpaceDN/>
              <w:bidi w:val="0"/>
              <w:adjustRightInd/>
              <w:snapToGrid/>
              <w:spacing w:after="0" w:line="312" w:lineRule="auto"/>
              <w:ind w:left="425" w:leftChars="0" w:hanging="425" w:firstLineChars="0"/>
              <w:textAlignment w:val="auto"/>
              <w:rPr>
                <w:rFonts w:hint="eastAsia"/>
                <w:lang w:val="en-US"/>
              </w:rPr>
            </w:pPr>
            <w:r>
              <w:rPr>
                <w:rFonts w:hint="eastAsia"/>
                <w:lang w:val="en-US"/>
              </w:rPr>
              <w:t>设备使用的CPU应为国产自主可控产品，需在响应说明中列出生产厂商、品牌和规格型号，并提供设备生产原厂商使用国产自主</w:t>
            </w:r>
            <w:r>
              <w:rPr>
                <w:rFonts w:hint="eastAsia"/>
                <w:lang w:val="en-US" w:eastAsia="zh-CN"/>
              </w:rPr>
              <w:t>CPU</w:t>
            </w:r>
            <w:r>
              <w:rPr>
                <w:rFonts w:hint="eastAsia"/>
                <w:lang w:val="en-US"/>
              </w:rPr>
              <w:t>的证明材料。</w:t>
            </w:r>
          </w:p>
        </w:tc>
      </w:tr>
    </w:tbl>
    <w:p w14:paraId="65F9C1FF">
      <w:pPr>
        <w:pStyle w:val="4"/>
        <w:pageBreakBefore w:val="0"/>
        <w:widowControl w:val="0"/>
        <w:kinsoku/>
        <w:wordWrap/>
        <w:overflowPunct/>
        <w:topLinePunct w:val="0"/>
        <w:autoSpaceDE/>
        <w:autoSpaceDN/>
        <w:bidi w:val="0"/>
        <w:adjustRightInd/>
        <w:snapToGrid/>
        <w:spacing w:after="0" w:line="312" w:lineRule="auto"/>
        <w:textAlignment w:val="auto"/>
        <w:rPr>
          <w:lang w:val="en-US"/>
        </w:rPr>
      </w:pPr>
    </w:p>
    <w:p w14:paraId="09EF5CAE">
      <w:pPr>
        <w:pStyle w:val="4"/>
        <w:pageBreakBefore w:val="0"/>
        <w:widowControl w:val="0"/>
        <w:kinsoku/>
        <w:wordWrap/>
        <w:overflowPunct/>
        <w:topLinePunct w:val="0"/>
        <w:autoSpaceDE/>
        <w:autoSpaceDN/>
        <w:bidi w:val="0"/>
        <w:adjustRightInd/>
        <w:snapToGrid/>
        <w:spacing w:after="0" w:line="312" w:lineRule="auto"/>
        <w:textAlignment w:val="auto"/>
        <w:rPr>
          <w:rFonts w:ascii="宋体" w:hAnsi="宋体" w:eastAsia="宋体" w:cs="宋体"/>
          <w:b/>
          <w:bCs/>
          <w:color w:val="auto"/>
          <w:sz w:val="28"/>
          <w:lang w:val="en-US"/>
        </w:rPr>
      </w:pPr>
      <w:r>
        <w:rPr>
          <w:rFonts w:hint="eastAsia" w:ascii="宋体" w:hAnsi="宋体" w:eastAsia="宋体" w:cs="宋体"/>
          <w:b/>
          <w:bCs/>
          <w:color w:val="auto"/>
          <w:sz w:val="28"/>
          <w:lang w:val="en-US"/>
        </w:rPr>
        <w:t>三、对接口及系统改造的要求</w:t>
      </w:r>
    </w:p>
    <w:p w14:paraId="1ADCA007">
      <w:pPr>
        <w:pageBreakBefore w:val="0"/>
        <w:widowControl w:val="0"/>
        <w:kinsoku/>
        <w:wordWrap/>
        <w:overflowPunct/>
        <w:topLinePunct w:val="0"/>
        <w:autoSpaceDE/>
        <w:autoSpaceDN/>
        <w:bidi w:val="0"/>
        <w:adjustRightInd/>
        <w:snapToGrid/>
        <w:spacing w:line="312" w:lineRule="auto"/>
        <w:textAlignment w:val="auto"/>
        <w:rPr>
          <w:rFonts w:ascii="宋体" w:hAnsi="宋体" w:eastAsia="宋体" w:cs="宋体"/>
          <w:b/>
          <w:bCs/>
          <w:color w:val="auto"/>
          <w:sz w:val="24"/>
          <w:szCs w:val="24"/>
        </w:rPr>
      </w:pPr>
      <w:r>
        <w:rPr>
          <w:rFonts w:hint="eastAsia" w:ascii="宋体" w:hAnsi="宋体" w:eastAsia="宋体" w:cs="宋体"/>
          <w:b/>
          <w:bCs/>
          <w:color w:val="auto"/>
          <w:sz w:val="24"/>
          <w:szCs w:val="24"/>
        </w:rPr>
        <w:tab/>
      </w:r>
      <w:r>
        <w:rPr>
          <w:rFonts w:hint="eastAsia" w:ascii="宋体" w:hAnsi="宋体" w:eastAsia="宋体" w:cs="宋体"/>
          <w:b/>
          <w:bCs/>
          <w:color w:val="auto"/>
          <w:sz w:val="24"/>
          <w:szCs w:val="24"/>
          <w:lang w:eastAsia="zh-CN"/>
        </w:rPr>
        <w:t>质</w:t>
      </w:r>
      <w:r>
        <w:rPr>
          <w:rFonts w:hint="eastAsia" w:ascii="宋体" w:hAnsi="宋体" w:eastAsia="宋体" w:cs="宋体"/>
          <w:b/>
          <w:bCs/>
          <w:color w:val="auto"/>
          <w:sz w:val="24"/>
          <w:szCs w:val="24"/>
        </w:rPr>
        <w:t>保期和</w:t>
      </w:r>
      <w:r>
        <w:rPr>
          <w:rFonts w:hint="eastAsia" w:ascii="宋体" w:hAnsi="宋体" w:eastAsia="宋体" w:cs="宋体"/>
          <w:b/>
          <w:bCs/>
          <w:color w:val="auto"/>
          <w:sz w:val="24"/>
          <w:szCs w:val="24"/>
          <w:lang w:eastAsia="zh-CN"/>
        </w:rPr>
        <w:t>维</w:t>
      </w:r>
      <w:r>
        <w:rPr>
          <w:rFonts w:hint="eastAsia" w:ascii="宋体" w:hAnsi="宋体" w:eastAsia="宋体" w:cs="宋体"/>
          <w:b/>
          <w:bCs/>
          <w:color w:val="auto"/>
          <w:sz w:val="24"/>
          <w:szCs w:val="24"/>
        </w:rPr>
        <w:t>保期内免费实现以下要求：</w:t>
      </w:r>
    </w:p>
    <w:p w14:paraId="310F4FB6">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3.1提供全面的接口技术，与第三方系统共享数据和功能，这些接口技术包括中间件技术接口、WEBSEVICE通用接口、数据库级接口、文件文本接口等。</w:t>
      </w:r>
    </w:p>
    <w:p w14:paraId="4F777826">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3.2提供与医院第三方系统统一接口的维护与管理，与HIS、电子病历、LIS、PACS、</w:t>
      </w:r>
      <w:r>
        <w:rPr>
          <w:rFonts w:hint="eastAsia" w:ascii="宋体" w:hAnsi="宋体" w:eastAsia="宋体" w:cs="宋体"/>
          <w:color w:val="auto"/>
          <w:sz w:val="24"/>
          <w:lang w:val="en-US" w:eastAsia="zh-CN"/>
        </w:rPr>
        <w:t>CA、单点登录平台、</w:t>
      </w:r>
      <w:r>
        <w:rPr>
          <w:rFonts w:hint="eastAsia" w:ascii="宋体" w:hAnsi="宋体" w:eastAsia="宋体" w:cs="宋体"/>
          <w:color w:val="auto"/>
          <w:sz w:val="24"/>
          <w:lang w:val="en-US"/>
        </w:rPr>
        <w:t>心电系统、体检系统、集成平台、</w:t>
      </w:r>
      <w:r>
        <w:rPr>
          <w:rFonts w:hint="eastAsia" w:ascii="宋体" w:hAnsi="宋体" w:eastAsia="宋体" w:cs="宋体"/>
          <w:color w:val="auto"/>
          <w:sz w:val="24"/>
          <w:lang w:val="en-US" w:eastAsia="zh-CN"/>
        </w:rPr>
        <w:t>智慧运营平台、</w:t>
      </w:r>
      <w:r>
        <w:rPr>
          <w:rFonts w:hint="eastAsia" w:ascii="宋体" w:hAnsi="宋体" w:eastAsia="宋体" w:cs="宋体"/>
          <w:color w:val="auto"/>
          <w:sz w:val="24"/>
          <w:lang w:val="en-US"/>
        </w:rPr>
        <w:t>成本管理系统、排班系统、</w:t>
      </w:r>
      <w:r>
        <w:rPr>
          <w:rFonts w:hint="eastAsia" w:ascii="宋体" w:hAnsi="宋体" w:eastAsia="宋体" w:cs="宋体"/>
          <w:color w:val="auto"/>
          <w:sz w:val="24"/>
          <w:lang w:val="en-US" w:eastAsia="zh-CN"/>
        </w:rPr>
        <w:t>人力资源</w:t>
      </w:r>
      <w:r>
        <w:rPr>
          <w:rFonts w:hint="eastAsia" w:ascii="宋体" w:hAnsi="宋体" w:eastAsia="宋体" w:cs="宋体"/>
          <w:color w:val="auto"/>
          <w:sz w:val="24"/>
          <w:lang w:val="en-US"/>
        </w:rPr>
        <w:t>管理系统、财务管理系统、互联网医院、OA</w:t>
      </w:r>
      <w:r>
        <w:rPr>
          <w:rFonts w:hint="eastAsia" w:ascii="宋体" w:hAnsi="宋体" w:eastAsia="宋体" w:cs="宋体"/>
          <w:color w:val="auto"/>
          <w:sz w:val="24"/>
          <w:lang w:val="en-US" w:eastAsia="zh-CN"/>
        </w:rPr>
        <w:t>平台</w:t>
      </w:r>
      <w:r>
        <w:rPr>
          <w:rFonts w:hint="eastAsia" w:ascii="宋体" w:hAnsi="宋体" w:eastAsia="宋体" w:cs="宋体"/>
          <w:color w:val="auto"/>
          <w:sz w:val="24"/>
          <w:lang w:val="en-US"/>
        </w:rPr>
        <w:t>、自助服务平台、DRG管理、绩效管理、电子发票、短信平台、财务电子档案等其他所有医院相关业务系统（包括以上医院系统但不仅限于以上系统）进行免费接口对接，实现数据交换。</w:t>
      </w:r>
    </w:p>
    <w:p w14:paraId="515F6AFB">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3.3满足医院电子病历系统功能应用水平分级评价达到6级以上评审、医院信息互联互通标准化成熟度测评达到</w:t>
      </w:r>
      <w:r>
        <w:rPr>
          <w:rFonts w:hint="eastAsia" w:ascii="宋体" w:hAnsi="宋体" w:eastAsia="宋体" w:cs="宋体"/>
          <w:color w:val="auto"/>
          <w:sz w:val="24"/>
          <w:lang w:val="en-US" w:eastAsia="zh-CN"/>
        </w:rPr>
        <w:t>五</w:t>
      </w:r>
      <w:r>
        <w:rPr>
          <w:rFonts w:hint="eastAsia" w:ascii="宋体" w:hAnsi="宋体" w:eastAsia="宋体" w:cs="宋体"/>
          <w:color w:val="auto"/>
          <w:sz w:val="24"/>
          <w:lang w:val="en-US"/>
        </w:rPr>
        <w:t>级</w:t>
      </w:r>
      <w:r>
        <w:rPr>
          <w:rFonts w:hint="eastAsia" w:ascii="宋体" w:hAnsi="宋体" w:eastAsia="宋体" w:cs="宋体"/>
          <w:color w:val="auto"/>
          <w:sz w:val="24"/>
          <w:lang w:val="en-US" w:eastAsia="zh-CN"/>
        </w:rPr>
        <w:t>乙</w:t>
      </w:r>
      <w:r>
        <w:rPr>
          <w:rFonts w:hint="eastAsia" w:ascii="宋体" w:hAnsi="宋体" w:eastAsia="宋体" w:cs="宋体"/>
          <w:color w:val="auto"/>
          <w:sz w:val="24"/>
          <w:lang w:val="en-US"/>
        </w:rPr>
        <w:t>等以上水平评审、信息系统安全等级保护三级测评、</w:t>
      </w:r>
      <w:r>
        <w:rPr>
          <w:rFonts w:hint="eastAsia" w:ascii="宋体" w:hAnsi="宋体" w:eastAsia="宋体" w:cs="宋体"/>
          <w:color w:val="auto"/>
          <w:sz w:val="24"/>
          <w:lang w:val="en-US" w:eastAsia="zh-CN"/>
        </w:rPr>
        <w:t>商用密码应用安全性评估（三级）、</w:t>
      </w:r>
      <w:r>
        <w:rPr>
          <w:rFonts w:hint="eastAsia" w:ascii="宋体" w:hAnsi="宋体" w:eastAsia="宋体" w:cs="宋体"/>
          <w:color w:val="auto"/>
          <w:sz w:val="24"/>
          <w:lang w:val="en-US"/>
        </w:rPr>
        <w:t>三甲医院评审、医院智慧服务分级评估标准体系达到4级以上相关的功能要求、医院智慧管理分级评估标准体系达到4级以上相关的功能要求、网络攻防演练中的安全防护要求以及医院其他需要评审的信息化技术改造服务要求；</w:t>
      </w:r>
    </w:p>
    <w:p w14:paraId="4EBAACFA">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3.4提供软件免费升级及个性化修改服务，免费实现院方的个性化需求；软件自身错误类问题提供永久性免费修改服务；</w:t>
      </w:r>
    </w:p>
    <w:p w14:paraId="641A8003">
      <w:pPr>
        <w:pStyle w:val="15"/>
        <w:spacing w:line="360" w:lineRule="auto"/>
        <w:ind w:left="0" w:leftChars="0" w:firstLine="420" w:firstLineChars="0"/>
        <w:rPr>
          <w:rFonts w:hint="eastAsia" w:ascii="宋体" w:hAnsi="宋体" w:eastAsia="宋体" w:cs="宋体"/>
          <w:color w:val="auto"/>
          <w:sz w:val="24"/>
          <w:lang w:val="en-US"/>
        </w:rPr>
      </w:pPr>
      <w:r>
        <w:rPr>
          <w:rFonts w:hint="eastAsia" w:ascii="宋体" w:hAnsi="宋体" w:eastAsia="宋体" w:cs="宋体"/>
          <w:color w:val="auto"/>
          <w:sz w:val="24"/>
          <w:lang w:val="en-US"/>
        </w:rPr>
        <w:t>3.5免费提供医院新增业务信息系统的对接、免费实现医院上级管理部门要求的系统接口对接要求。</w:t>
      </w:r>
    </w:p>
    <w:p w14:paraId="3F96BF77">
      <w:pPr>
        <w:pStyle w:val="15"/>
        <w:spacing w:line="360" w:lineRule="auto"/>
        <w:ind w:left="0" w:leftChars="0" w:firstLine="420" w:firstLineChars="0"/>
        <w:rPr>
          <w:rFonts w:hint="eastAsia" w:ascii="宋体" w:hAnsi="宋体" w:eastAsia="宋体" w:cs="宋体"/>
          <w:color w:val="auto"/>
          <w:sz w:val="24"/>
          <w:lang w:val="en-US"/>
        </w:rPr>
      </w:pPr>
      <w:r>
        <w:rPr>
          <w:rFonts w:hint="eastAsia" w:ascii="宋体" w:hAnsi="宋体" w:eastAsia="宋体"/>
          <w:sz w:val="24"/>
          <w:szCs w:val="24"/>
          <w:lang w:val="en-US" w:eastAsia="zh-CN"/>
        </w:rPr>
        <w:t>3</w:t>
      </w:r>
      <w:r>
        <w:rPr>
          <w:rFonts w:hint="eastAsia" w:ascii="宋体" w:hAnsi="宋体" w:eastAsia="宋体"/>
          <w:sz w:val="24"/>
          <w:szCs w:val="24"/>
        </w:rPr>
        <w:t>.</w:t>
      </w:r>
      <w:r>
        <w:rPr>
          <w:rFonts w:hint="eastAsia" w:ascii="宋体" w:hAnsi="宋体" w:eastAsia="宋体"/>
          <w:sz w:val="24"/>
          <w:szCs w:val="24"/>
          <w:lang w:val="en-US" w:eastAsia="zh-CN"/>
        </w:rPr>
        <w:t>6</w:t>
      </w:r>
      <w:r>
        <w:rPr>
          <w:rFonts w:hint="eastAsia" w:ascii="宋体" w:hAnsi="宋体" w:eastAsia="宋体"/>
          <w:sz w:val="24"/>
          <w:szCs w:val="24"/>
        </w:rPr>
        <w:t>若医院更换已对接的业务系统、乙方须免费提供与新业务系统的对接及联调服务。</w:t>
      </w:r>
    </w:p>
    <w:p w14:paraId="5A7FA971">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3.7项目软硬件系统不限定用户数、并发数、不限定医疗集团内部及院区使用。</w:t>
      </w:r>
    </w:p>
    <w:p w14:paraId="41856870">
      <w:pPr>
        <w:pStyle w:val="2"/>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ascii="宋体" w:hAnsi="宋体"/>
          <w:bCs w:val="0"/>
          <w:sz w:val="32"/>
          <w:szCs w:val="32"/>
        </w:rPr>
      </w:pPr>
      <w:r>
        <w:rPr>
          <w:rFonts w:hint="eastAsia" w:ascii="宋体" w:hAnsi="宋体"/>
          <w:bCs w:val="0"/>
          <w:sz w:val="32"/>
          <w:szCs w:val="32"/>
        </w:rPr>
        <w:t>四、项目实施要求</w:t>
      </w:r>
    </w:p>
    <w:p w14:paraId="0E553A41">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rPr>
      </w:pPr>
      <w:r>
        <w:rPr>
          <w:rFonts w:hint="eastAsia" w:ascii="宋体" w:hAnsi="宋体" w:eastAsia="宋体" w:cs="宋体"/>
          <w:color w:val="auto"/>
          <w:sz w:val="24"/>
          <w:lang w:val="en-US"/>
        </w:rPr>
        <w:t>4.1驻场、实施工期要求：合同签订后，7个工作日内项目实施人员必须进场</w:t>
      </w:r>
      <w:r>
        <w:rPr>
          <w:rFonts w:hint="eastAsia" w:ascii="宋体" w:hAnsi="宋体" w:eastAsia="宋体" w:cs="宋体"/>
          <w:color w:val="auto"/>
          <w:sz w:val="24"/>
          <w:lang w:val="en-US" w:eastAsia="zh-CN"/>
        </w:rPr>
        <w:t>，系统需</w:t>
      </w:r>
      <w:r>
        <w:rPr>
          <w:rFonts w:hint="eastAsia" w:ascii="宋体" w:hAnsi="宋体" w:eastAsia="宋体" w:cs="宋体"/>
          <w:color w:val="auto"/>
          <w:sz w:val="24"/>
          <w:highlight w:val="none"/>
          <w:lang w:val="en-US" w:eastAsia="zh-CN"/>
        </w:rPr>
        <w:t>在2</w:t>
      </w:r>
      <w:r>
        <w:rPr>
          <w:rFonts w:hint="eastAsia" w:ascii="宋体" w:hAnsi="宋体" w:eastAsia="宋体" w:cs="宋体"/>
          <w:color w:val="auto"/>
          <w:sz w:val="24"/>
          <w:highlight w:val="none"/>
          <w:lang w:val="en-US"/>
        </w:rPr>
        <w:t>个</w:t>
      </w:r>
      <w:r>
        <w:rPr>
          <w:rFonts w:hint="eastAsia" w:ascii="宋体" w:hAnsi="宋体" w:eastAsia="宋体" w:cs="宋体"/>
          <w:color w:val="auto"/>
          <w:sz w:val="24"/>
          <w:lang w:val="en-US"/>
        </w:rPr>
        <w:t>月内完成项目实施上线</w:t>
      </w:r>
      <w:r>
        <w:rPr>
          <w:rFonts w:hint="eastAsia" w:ascii="宋体" w:hAnsi="宋体" w:eastAsia="宋体" w:cs="宋体"/>
          <w:color w:val="auto"/>
          <w:sz w:val="24"/>
          <w:lang w:val="en-US" w:eastAsia="zh-CN"/>
        </w:rPr>
        <w:t>，请分别列出每个系统实施的工作计划及周期</w:t>
      </w:r>
      <w:r>
        <w:rPr>
          <w:rFonts w:hint="eastAsia" w:ascii="宋体" w:hAnsi="宋体" w:eastAsia="宋体" w:cs="宋体"/>
          <w:color w:val="auto"/>
          <w:sz w:val="24"/>
          <w:lang w:val="en-US"/>
        </w:rPr>
        <w:t>。</w:t>
      </w:r>
    </w:p>
    <w:p w14:paraId="7DF3890E">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rPr>
      </w:pPr>
      <w:r>
        <w:rPr>
          <w:rFonts w:hint="eastAsia" w:ascii="宋体" w:hAnsi="宋体" w:eastAsia="宋体" w:cs="宋体"/>
          <w:color w:val="auto"/>
          <w:sz w:val="24"/>
          <w:lang w:val="en-US"/>
        </w:rPr>
        <w:t>4.2</w:t>
      </w:r>
      <w:r>
        <w:rPr>
          <w:rFonts w:hint="eastAsia" w:ascii="宋体" w:hAnsi="宋体" w:eastAsia="宋体" w:cs="宋体"/>
          <w:color w:val="auto"/>
          <w:sz w:val="24"/>
          <w:lang w:val="en-US" w:eastAsia="zh-CN"/>
        </w:rPr>
        <w:t>驻场</w:t>
      </w:r>
      <w:r>
        <w:rPr>
          <w:rFonts w:hint="eastAsia" w:ascii="宋体" w:hAnsi="宋体" w:eastAsia="宋体" w:cs="宋体"/>
          <w:color w:val="auto"/>
          <w:sz w:val="24"/>
          <w:lang w:val="en-US"/>
        </w:rPr>
        <w:t>人员要求：</w:t>
      </w:r>
    </w:p>
    <w:p w14:paraId="406CBEBA">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实施工程师：</w:t>
      </w:r>
      <w:r>
        <w:rPr>
          <w:rFonts w:hint="eastAsia" w:ascii="宋体" w:hAnsi="宋体" w:eastAsia="宋体" w:cs="宋体"/>
          <w:color w:val="auto"/>
          <w:sz w:val="24"/>
          <w:lang w:val="en-US"/>
        </w:rPr>
        <w:t>项目驻场实施</w:t>
      </w:r>
      <w:r>
        <w:rPr>
          <w:rFonts w:hint="eastAsia" w:ascii="宋体" w:hAnsi="宋体" w:eastAsia="宋体" w:cs="宋体"/>
          <w:color w:val="auto"/>
          <w:sz w:val="24"/>
          <w:lang w:val="en-US" w:eastAsia="zh-CN"/>
        </w:rPr>
        <w:t>工程师</w:t>
      </w:r>
      <w:r>
        <w:rPr>
          <w:rFonts w:hint="eastAsia" w:ascii="宋体" w:hAnsi="宋体" w:eastAsia="宋体" w:cs="宋体"/>
          <w:color w:val="auto"/>
          <w:sz w:val="24"/>
          <w:lang w:val="en-US"/>
        </w:rPr>
        <w:t>需有2年以上</w:t>
      </w:r>
      <w:r>
        <w:rPr>
          <w:rFonts w:hint="eastAsia" w:ascii="宋体" w:hAnsi="宋体" w:eastAsia="宋体" w:cs="宋体"/>
          <w:color w:val="auto"/>
          <w:sz w:val="24"/>
          <w:lang w:val="en-US" w:eastAsia="zh-CN"/>
        </w:rPr>
        <w:t>本厂商</w:t>
      </w:r>
      <w:r>
        <w:rPr>
          <w:rFonts w:hint="eastAsia" w:ascii="宋体" w:hAnsi="宋体" w:eastAsia="宋体" w:cs="宋体"/>
          <w:color w:val="auto"/>
          <w:sz w:val="24"/>
          <w:lang w:val="en-US"/>
        </w:rPr>
        <w:t>同等项目实施经验</w:t>
      </w:r>
      <w:r>
        <w:rPr>
          <w:rFonts w:hint="eastAsia" w:ascii="宋体" w:hAnsi="宋体" w:eastAsia="宋体" w:cs="宋体"/>
          <w:color w:val="auto"/>
          <w:sz w:val="24"/>
          <w:lang w:val="en-US" w:eastAsia="zh-CN"/>
        </w:rPr>
        <w:t>，硬件设备由实施工程师现场上架、连线和配置调试。</w:t>
      </w:r>
      <w:r>
        <w:rPr>
          <w:rFonts w:hint="eastAsia" w:ascii="宋体" w:hAnsi="宋体" w:eastAsia="宋体" w:cs="宋体"/>
          <w:color w:val="auto"/>
          <w:sz w:val="24"/>
          <w:lang w:val="en-US"/>
        </w:rPr>
        <w:t>项目实施</w:t>
      </w:r>
      <w:r>
        <w:rPr>
          <w:rFonts w:hint="eastAsia" w:ascii="宋体" w:hAnsi="宋体" w:eastAsia="宋体" w:cs="宋体"/>
          <w:color w:val="auto"/>
          <w:sz w:val="24"/>
          <w:lang w:val="en-US" w:eastAsia="zh-CN"/>
        </w:rPr>
        <w:t>阶段</w:t>
      </w:r>
      <w:r>
        <w:rPr>
          <w:rFonts w:hint="eastAsia" w:ascii="宋体" w:hAnsi="宋体" w:eastAsia="宋体" w:cs="宋体"/>
          <w:color w:val="auto"/>
          <w:sz w:val="24"/>
          <w:lang w:val="en-US"/>
        </w:rPr>
        <w:t>，</w:t>
      </w:r>
      <w:r>
        <w:rPr>
          <w:rFonts w:hint="eastAsia" w:ascii="宋体" w:hAnsi="宋体" w:eastAsia="宋体" w:cs="宋体"/>
          <w:color w:val="auto"/>
          <w:sz w:val="24"/>
          <w:lang w:val="en-US" w:eastAsia="zh-CN"/>
        </w:rPr>
        <w:t>驻场</w:t>
      </w:r>
      <w:r>
        <w:rPr>
          <w:rFonts w:hint="eastAsia" w:ascii="宋体" w:hAnsi="宋体" w:eastAsia="宋体" w:cs="宋体"/>
          <w:color w:val="auto"/>
          <w:sz w:val="24"/>
          <w:lang w:val="en-US"/>
        </w:rPr>
        <w:t>实施</w:t>
      </w:r>
      <w:r>
        <w:rPr>
          <w:rFonts w:hint="eastAsia" w:ascii="宋体" w:hAnsi="宋体" w:eastAsia="宋体" w:cs="宋体"/>
          <w:color w:val="auto"/>
          <w:sz w:val="24"/>
          <w:lang w:val="en-US" w:eastAsia="zh-CN"/>
        </w:rPr>
        <w:t>工程师</w:t>
      </w:r>
      <w:r>
        <w:rPr>
          <w:rFonts w:hint="eastAsia" w:ascii="宋体" w:hAnsi="宋体" w:eastAsia="宋体" w:cs="宋体"/>
          <w:color w:val="auto"/>
          <w:sz w:val="24"/>
          <w:lang w:val="en-US"/>
        </w:rPr>
        <w:t>不得少</w:t>
      </w:r>
      <w:r>
        <w:rPr>
          <w:rFonts w:hint="eastAsia" w:ascii="宋体" w:hAnsi="宋体" w:eastAsia="宋体" w:cs="宋体"/>
          <w:color w:val="auto"/>
          <w:sz w:val="24"/>
          <w:highlight w:val="none"/>
          <w:lang w:val="en-US"/>
        </w:rPr>
        <w:t>于</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val="en-US"/>
        </w:rPr>
        <w:t>名</w:t>
      </w:r>
      <w:r>
        <w:rPr>
          <w:rFonts w:hint="eastAsia" w:ascii="宋体" w:hAnsi="宋体" w:eastAsia="宋体" w:cs="宋体"/>
          <w:color w:val="auto"/>
          <w:sz w:val="24"/>
          <w:lang w:val="en-US" w:eastAsia="zh-CN"/>
        </w:rPr>
        <w:t>。</w:t>
      </w:r>
    </w:p>
    <w:p w14:paraId="41C0199C">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rPr>
        <w:t>如需更换</w:t>
      </w:r>
      <w:r>
        <w:rPr>
          <w:rFonts w:hint="eastAsia" w:ascii="宋体" w:hAnsi="宋体" w:eastAsia="宋体" w:cs="宋体"/>
          <w:color w:val="auto"/>
          <w:sz w:val="24"/>
          <w:lang w:val="en-US" w:eastAsia="zh-CN"/>
        </w:rPr>
        <w:t>实施工程师</w:t>
      </w:r>
      <w:r>
        <w:rPr>
          <w:rFonts w:hint="eastAsia" w:ascii="宋体" w:hAnsi="宋体" w:eastAsia="宋体" w:cs="宋体"/>
          <w:color w:val="auto"/>
          <w:sz w:val="24"/>
          <w:lang w:val="en-US"/>
        </w:rPr>
        <w:t>，</w:t>
      </w:r>
      <w:r>
        <w:rPr>
          <w:rFonts w:hint="eastAsia" w:ascii="宋体" w:hAnsi="宋体" w:eastAsia="宋体" w:cs="宋体"/>
          <w:color w:val="auto"/>
          <w:sz w:val="24"/>
          <w:lang w:val="en-US" w:eastAsia="zh-CN"/>
        </w:rPr>
        <w:t>厂商</w:t>
      </w:r>
      <w:r>
        <w:rPr>
          <w:rFonts w:hint="eastAsia" w:ascii="宋体" w:hAnsi="宋体" w:eastAsia="宋体" w:cs="宋体"/>
          <w:color w:val="auto"/>
          <w:sz w:val="24"/>
          <w:lang w:val="en-US"/>
        </w:rPr>
        <w:t>需提交书面申请，经院方同意才可更换。</w:t>
      </w:r>
    </w:p>
    <w:p w14:paraId="32E35B31">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竞标文件中需提供软件提供商项目驻场人员清单（含项目开发和项目实施人员），清单中标明驻场人员详细信息，如姓名、联系方式、技术职称、社保证明（不少于半年）等。</w:t>
      </w:r>
    </w:p>
    <w:p w14:paraId="30CBCF8F">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4.3</w:t>
      </w:r>
      <w:r>
        <w:rPr>
          <w:rFonts w:hint="eastAsia" w:ascii="宋体" w:hAnsi="宋体" w:eastAsia="宋体" w:cs="宋体"/>
          <w:color w:val="auto"/>
          <w:sz w:val="24"/>
          <w:szCs w:val="24"/>
        </w:rPr>
        <w:t>因厂商与院方存在对需求理解有差异的可能性，要求所有软件功能需求的响应以院方意见为准</w:t>
      </w:r>
      <w:r>
        <w:rPr>
          <w:rFonts w:hint="eastAsia" w:ascii="宋体" w:hAnsi="宋体" w:eastAsia="宋体" w:cs="宋体"/>
          <w:color w:val="auto"/>
          <w:sz w:val="24"/>
          <w:szCs w:val="24"/>
          <w:lang w:eastAsia="zh-CN"/>
        </w:rPr>
        <w:t>。</w:t>
      </w:r>
    </w:p>
    <w:p w14:paraId="3CFB0002">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4.4培训要求：</w:t>
      </w:r>
    </w:p>
    <w:p w14:paraId="5A32CE0E">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lang w:val="en-US"/>
        </w:rPr>
      </w:pPr>
      <w:r>
        <w:rPr>
          <w:rFonts w:hint="eastAsia" w:ascii="宋体" w:hAnsi="宋体" w:eastAsia="宋体" w:cs="宋体"/>
          <w:color w:val="auto"/>
          <w:sz w:val="24"/>
          <w:szCs w:val="24"/>
          <w:lang w:val="en-US" w:eastAsia="zh-CN"/>
        </w:rPr>
        <w:t>培训应至少包括但不限于：软硬件系统的安装、部署、维护方法、系统的功能使用培训。</w:t>
      </w:r>
    </w:p>
    <w:p w14:paraId="5F2586F7">
      <w:pPr>
        <w:pStyle w:val="2"/>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ascii="宋体" w:hAnsi="宋体"/>
          <w:bCs w:val="0"/>
          <w:sz w:val="32"/>
          <w:szCs w:val="32"/>
        </w:rPr>
      </w:pPr>
      <w:r>
        <w:rPr>
          <w:rFonts w:hint="eastAsia" w:ascii="宋体" w:hAnsi="宋体"/>
          <w:bCs w:val="0"/>
          <w:sz w:val="32"/>
          <w:szCs w:val="32"/>
        </w:rPr>
        <w:t>五、</w:t>
      </w:r>
      <w:r>
        <w:rPr>
          <w:rFonts w:hint="eastAsia" w:ascii="宋体" w:hAnsi="宋体"/>
          <w:bCs w:val="0"/>
          <w:sz w:val="32"/>
          <w:szCs w:val="32"/>
          <w:lang w:eastAsia="zh-CN"/>
        </w:rPr>
        <w:t>售后</w:t>
      </w:r>
      <w:r>
        <w:rPr>
          <w:rFonts w:hint="eastAsia" w:ascii="宋体" w:hAnsi="宋体"/>
          <w:bCs w:val="0"/>
          <w:sz w:val="32"/>
          <w:szCs w:val="32"/>
        </w:rPr>
        <w:t>服务及其他要求</w:t>
      </w:r>
    </w:p>
    <w:p w14:paraId="332C5BEF">
      <w:pPr>
        <w:pageBreakBefore w:val="0"/>
        <w:widowControl w:val="0"/>
        <w:kinsoku/>
        <w:wordWrap/>
        <w:overflowPunct/>
        <w:topLinePunct w:val="0"/>
        <w:autoSpaceDE/>
        <w:autoSpaceDN/>
        <w:bidi w:val="0"/>
        <w:adjustRightInd/>
        <w:snapToGrid/>
        <w:spacing w:line="312" w:lineRule="auto"/>
        <w:ind w:firstLine="420"/>
        <w:jc w:val="left"/>
        <w:textAlignment w:val="auto"/>
        <w:rPr>
          <w:rFonts w:hint="eastAsia" w:ascii="宋体" w:hAnsi="宋体" w:cs="宋体"/>
          <w:sz w:val="24"/>
          <w:szCs w:val="24"/>
        </w:rPr>
      </w:pPr>
      <w:r>
        <w:rPr>
          <w:rFonts w:hint="eastAsia" w:ascii="宋体" w:hAnsi="宋体" w:cs="宋体"/>
          <w:sz w:val="24"/>
          <w:szCs w:val="24"/>
        </w:rPr>
        <w:t>5.1自本项目整体最终验收之日起，所有产品要求</w:t>
      </w:r>
      <w:r>
        <w:rPr>
          <w:rFonts w:hint="eastAsia" w:ascii="宋体" w:hAnsi="宋体" w:cs="宋体"/>
          <w:color w:val="auto"/>
          <w:sz w:val="24"/>
          <w:szCs w:val="24"/>
        </w:rPr>
        <w:t>提供</w:t>
      </w:r>
      <w:r>
        <w:rPr>
          <w:rFonts w:hint="eastAsia" w:ascii="宋体" w:hAnsi="宋体" w:cs="宋体"/>
          <w:color w:val="auto"/>
          <w:sz w:val="24"/>
          <w:szCs w:val="24"/>
          <w:lang w:val="en-US" w:eastAsia="zh-CN"/>
        </w:rPr>
        <w:t>五</w:t>
      </w:r>
      <w:r>
        <w:rPr>
          <w:rFonts w:hint="eastAsia" w:ascii="宋体" w:hAnsi="宋体" w:cs="宋体"/>
          <w:color w:val="auto"/>
          <w:sz w:val="24"/>
          <w:szCs w:val="24"/>
        </w:rPr>
        <w:t>年</w:t>
      </w:r>
      <w:r>
        <w:rPr>
          <w:rFonts w:hint="eastAsia" w:ascii="宋体" w:hAnsi="宋体" w:cs="宋体"/>
          <w:sz w:val="24"/>
          <w:szCs w:val="24"/>
        </w:rPr>
        <w:t>的免费</w:t>
      </w:r>
      <w:r>
        <w:rPr>
          <w:rFonts w:hint="eastAsia" w:ascii="宋体" w:hAnsi="宋体" w:cs="宋体"/>
          <w:sz w:val="24"/>
          <w:szCs w:val="24"/>
          <w:lang w:eastAsia="zh-CN"/>
        </w:rPr>
        <w:t>质</w:t>
      </w:r>
      <w:r>
        <w:rPr>
          <w:rFonts w:hint="eastAsia" w:ascii="宋体" w:hAnsi="宋体" w:cs="宋体"/>
          <w:sz w:val="24"/>
          <w:szCs w:val="24"/>
        </w:rPr>
        <w:t>保服务。含软硬件维护和系统软件升级</w:t>
      </w:r>
      <w:r>
        <w:rPr>
          <w:rFonts w:hint="eastAsia" w:ascii="宋体" w:hAnsi="宋体" w:cs="宋体"/>
          <w:sz w:val="24"/>
          <w:szCs w:val="24"/>
          <w:lang w:eastAsia="zh-CN"/>
        </w:rPr>
        <w:t>、系统</w:t>
      </w:r>
      <w:r>
        <w:rPr>
          <w:rFonts w:hint="eastAsia" w:ascii="宋体" w:hAnsi="宋体" w:cs="宋体"/>
          <w:sz w:val="24"/>
          <w:szCs w:val="24"/>
          <w:lang w:val="en-US" w:eastAsia="zh-CN"/>
        </w:rPr>
        <w:t>BUG及漏洞修复</w:t>
      </w:r>
      <w:r>
        <w:rPr>
          <w:rFonts w:hint="eastAsia" w:ascii="宋体" w:hAnsi="宋体" w:cs="宋体"/>
          <w:sz w:val="24"/>
          <w:szCs w:val="24"/>
        </w:rPr>
        <w:t>、技术支持服务、系统管理及操作培训</w:t>
      </w:r>
      <w:r>
        <w:rPr>
          <w:rFonts w:hint="eastAsia" w:ascii="宋体" w:hAnsi="宋体" w:cs="宋体"/>
          <w:sz w:val="24"/>
          <w:szCs w:val="24"/>
          <w:lang w:eastAsia="zh-CN"/>
        </w:rPr>
        <w:t>服务</w:t>
      </w:r>
      <w:r>
        <w:rPr>
          <w:rFonts w:hint="eastAsia" w:ascii="宋体" w:hAnsi="宋体" w:cs="宋体"/>
          <w:sz w:val="24"/>
          <w:szCs w:val="24"/>
        </w:rPr>
        <w:t>，免费提供系统个性化修改需求。请详细说明售后服务的内容。</w:t>
      </w:r>
    </w:p>
    <w:p w14:paraId="2EF9139D">
      <w:pPr>
        <w:pageBreakBefore w:val="0"/>
        <w:widowControl w:val="0"/>
        <w:kinsoku/>
        <w:wordWrap/>
        <w:overflowPunct/>
        <w:topLinePunct w:val="0"/>
        <w:autoSpaceDE/>
        <w:autoSpaceDN/>
        <w:bidi w:val="0"/>
        <w:adjustRightInd/>
        <w:snapToGrid/>
        <w:spacing w:line="312" w:lineRule="auto"/>
        <w:ind w:firstLine="420"/>
        <w:jc w:val="left"/>
        <w:textAlignment w:val="auto"/>
        <w:rPr>
          <w:rFonts w:hint="eastAsia" w:ascii="宋体" w:hAnsi="宋体" w:cs="宋体" w:eastAsiaTheme="minorEastAsia"/>
          <w:color w:val="auto"/>
          <w:sz w:val="24"/>
          <w:szCs w:val="24"/>
          <w:lang w:eastAsia="zh-CN"/>
        </w:rPr>
      </w:pPr>
      <w:r>
        <w:rPr>
          <w:rFonts w:hint="eastAsia" w:ascii="宋体" w:hAnsi="宋体" w:cs="宋体"/>
          <w:sz w:val="24"/>
          <w:szCs w:val="24"/>
        </w:rPr>
        <w:t>5.2安装调试要求：免费送货上门、安装调试、提供完善的设备及软件系统使用中文操作手册、图纸、网络详细拓扑图、系统配置、功能配置、设备配置及</w:t>
      </w:r>
      <w:r>
        <w:rPr>
          <w:rFonts w:hint="eastAsia" w:ascii="宋体" w:hAnsi="宋体" w:cs="宋体"/>
          <w:color w:val="auto"/>
          <w:sz w:val="24"/>
          <w:szCs w:val="24"/>
        </w:rPr>
        <w:t>互联记录</w:t>
      </w:r>
      <w:r>
        <w:rPr>
          <w:rFonts w:hint="eastAsia" w:ascii="宋体" w:hAnsi="宋体" w:cs="宋体"/>
          <w:color w:val="auto"/>
          <w:sz w:val="24"/>
          <w:szCs w:val="24"/>
          <w:lang w:eastAsia="zh-CN"/>
        </w:rPr>
        <w:t>。</w:t>
      </w:r>
    </w:p>
    <w:p w14:paraId="2F7E53AD">
      <w:pPr>
        <w:pageBreakBefore w:val="0"/>
        <w:widowControl w:val="0"/>
        <w:kinsoku/>
        <w:wordWrap/>
        <w:overflowPunct/>
        <w:topLinePunct w:val="0"/>
        <w:autoSpaceDE/>
        <w:autoSpaceDN/>
        <w:bidi w:val="0"/>
        <w:adjustRightInd/>
        <w:snapToGrid/>
        <w:spacing w:line="312" w:lineRule="auto"/>
        <w:ind w:firstLine="420"/>
        <w:jc w:val="left"/>
        <w:textAlignment w:val="auto"/>
        <w:rPr>
          <w:rFonts w:hint="eastAsia" w:ascii="宋体" w:hAnsi="宋体" w:cs="宋体"/>
          <w:color w:val="auto"/>
          <w:sz w:val="24"/>
          <w:szCs w:val="24"/>
        </w:rPr>
      </w:pPr>
      <w:r>
        <w:rPr>
          <w:rFonts w:hint="eastAsia" w:ascii="宋体" w:hAnsi="宋体" w:cs="宋体"/>
          <w:color w:val="auto"/>
          <w:sz w:val="24"/>
          <w:szCs w:val="24"/>
        </w:rPr>
        <w:t>5.3原厂技术人员免费提供</w:t>
      </w:r>
      <w:r>
        <w:rPr>
          <w:rFonts w:hint="eastAsia" w:ascii="宋体" w:hAnsi="宋体" w:cs="宋体"/>
          <w:color w:val="auto"/>
          <w:sz w:val="24"/>
          <w:szCs w:val="24"/>
          <w:lang w:eastAsia="zh-CN"/>
        </w:rPr>
        <w:t>售后</w:t>
      </w:r>
      <w:r>
        <w:rPr>
          <w:rFonts w:hint="eastAsia" w:ascii="宋体" w:hAnsi="宋体" w:cs="宋体"/>
          <w:color w:val="auto"/>
          <w:sz w:val="24"/>
          <w:szCs w:val="24"/>
        </w:rPr>
        <w:t>服务，含电话支持、现场响应、远程操作、网上客服中心等多种方式服务，应做到7×24小时全天候电话或微信等常用联系方式响应。</w:t>
      </w:r>
      <w:bookmarkStart w:id="1" w:name="_Toc507405798"/>
      <w:r>
        <w:rPr>
          <w:rFonts w:hint="eastAsia" w:ascii="宋体" w:hAnsi="宋体" w:cs="宋体"/>
          <w:color w:val="auto"/>
          <w:sz w:val="24"/>
          <w:szCs w:val="24"/>
        </w:rPr>
        <w:t>当出现故障时，接到故障通知后，原厂技术人员应在30分钟内响应，远程技术支持无法解决的，6小时内需到达现场处理修复，并调查分析事故原因，如现场仍不能解决问题，需24小时内免费提供同档次或更高档次的备用设备解决问题。</w:t>
      </w:r>
    </w:p>
    <w:p w14:paraId="2664CB92">
      <w:pPr>
        <w:pageBreakBefore w:val="0"/>
        <w:widowControl w:val="0"/>
        <w:kinsoku/>
        <w:wordWrap/>
        <w:overflowPunct/>
        <w:topLinePunct w:val="0"/>
        <w:autoSpaceDE/>
        <w:autoSpaceDN/>
        <w:bidi w:val="0"/>
        <w:adjustRightInd/>
        <w:snapToGrid/>
        <w:spacing w:line="312" w:lineRule="auto"/>
        <w:ind w:firstLine="420"/>
        <w:jc w:val="left"/>
        <w:textAlignment w:val="auto"/>
        <w:rPr>
          <w:rFonts w:hint="eastAsia" w:ascii="宋体" w:hAnsi="宋体" w:cs="宋体"/>
          <w:sz w:val="24"/>
          <w:szCs w:val="24"/>
        </w:rPr>
      </w:pPr>
      <w:r>
        <w:rPr>
          <w:rFonts w:hint="eastAsia" w:ascii="宋体" w:hAnsi="宋体" w:eastAsia="宋体" w:cs="微软雅黑"/>
          <w:sz w:val="24"/>
          <w:szCs w:val="24"/>
        </w:rPr>
        <w:t>5.4</w:t>
      </w:r>
      <w:r>
        <w:rPr>
          <w:rFonts w:hint="eastAsia" w:ascii="宋体" w:hAnsi="宋体" w:cs="宋体"/>
          <w:sz w:val="24"/>
          <w:szCs w:val="24"/>
        </w:rPr>
        <w:t>供应商提供原厂技术人员定期回访服务，定期通过电话或其他方式访问用户，了解产品使用情况及网络安全情况</w:t>
      </w:r>
      <w:r>
        <w:rPr>
          <w:rFonts w:hint="eastAsia" w:ascii="宋体" w:hAnsi="宋体" w:cs="宋体"/>
          <w:sz w:val="24"/>
          <w:szCs w:val="24"/>
          <w:lang w:eastAsia="zh-CN"/>
        </w:rPr>
        <w:t>。按院方要求巡检（国家法定节假日前巡检或按院方需求时间巡检），每季度巡检不得少于一次</w:t>
      </w:r>
      <w:r>
        <w:rPr>
          <w:rFonts w:hint="eastAsia" w:ascii="宋体" w:hAnsi="宋体" w:cs="宋体"/>
          <w:sz w:val="24"/>
          <w:szCs w:val="24"/>
        </w:rPr>
        <w:t>，并形成书面巡检服务报告，加盖有效公章并反馈给我院（要求提供巡检报告模板，内容涉及此项目相关设备的运行情况及现场巡检照片）。</w:t>
      </w:r>
    </w:p>
    <w:p w14:paraId="53B74414">
      <w:pPr>
        <w:pStyle w:val="15"/>
        <w:spacing w:line="360" w:lineRule="auto"/>
        <w:ind w:left="0" w:leftChars="0" w:firstLine="420" w:firstLineChars="0"/>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5.5免费系统改造，支持信创电脑和服务器。</w:t>
      </w:r>
    </w:p>
    <w:p w14:paraId="728E0585">
      <w:pPr>
        <w:pStyle w:val="4"/>
        <w:pageBreakBefore w:val="0"/>
        <w:widowControl w:val="0"/>
        <w:kinsoku/>
        <w:wordWrap/>
        <w:overflowPunct/>
        <w:topLinePunct w:val="0"/>
        <w:autoSpaceDE/>
        <w:autoSpaceDN/>
        <w:bidi w:val="0"/>
        <w:adjustRightInd/>
        <w:snapToGrid/>
        <w:spacing w:after="0" w:line="312" w:lineRule="auto"/>
        <w:textAlignment w:val="auto"/>
        <w:rPr>
          <w:rFonts w:ascii="宋体" w:hAnsi="宋体" w:eastAsia="宋体" w:cs="宋体"/>
          <w:b/>
          <w:bCs/>
          <w:color w:val="auto"/>
          <w:sz w:val="28"/>
          <w:lang w:val="en-US"/>
        </w:rPr>
      </w:pPr>
      <w:r>
        <w:rPr>
          <w:rFonts w:hint="eastAsia" w:ascii="宋体" w:hAnsi="宋体" w:eastAsia="宋体" w:cs="宋体"/>
          <w:b/>
          <w:bCs/>
          <w:color w:val="auto"/>
          <w:sz w:val="28"/>
          <w:lang w:val="en-US"/>
        </w:rPr>
        <w:t>六、违约责任</w:t>
      </w:r>
    </w:p>
    <w:p w14:paraId="050DFE48">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6.1投标方所提供的</w:t>
      </w:r>
      <w:r>
        <w:rPr>
          <w:rFonts w:hint="eastAsia" w:ascii="宋体" w:hAnsi="宋体" w:eastAsia="宋体" w:cs="宋体"/>
          <w:color w:val="auto"/>
          <w:sz w:val="24"/>
          <w:szCs w:val="24"/>
          <w:lang w:val="en-US" w:eastAsia="zh-CN"/>
        </w:rPr>
        <w:t>产品/软件</w:t>
      </w:r>
      <w:r>
        <w:rPr>
          <w:rFonts w:hint="eastAsia" w:ascii="宋体" w:hAnsi="宋体" w:eastAsia="宋体" w:cs="宋体"/>
          <w:color w:val="auto"/>
          <w:sz w:val="24"/>
          <w:szCs w:val="24"/>
        </w:rPr>
        <w:t>规格、技术标准、材料等质量不合格的，应及时更换，更换不及时的按逾期交货</w:t>
      </w:r>
      <w:r>
        <w:rPr>
          <w:rFonts w:hint="eastAsia" w:ascii="宋体" w:hAnsi="宋体" w:eastAsia="宋体" w:cs="宋体"/>
          <w:color w:val="auto"/>
          <w:sz w:val="24"/>
          <w:szCs w:val="24"/>
          <w:lang w:val="en-US" w:eastAsia="zh-CN"/>
        </w:rPr>
        <w:t>/交付</w:t>
      </w:r>
      <w:r>
        <w:rPr>
          <w:rFonts w:hint="eastAsia" w:ascii="宋体" w:hAnsi="宋体" w:eastAsia="宋体" w:cs="宋体"/>
          <w:color w:val="auto"/>
          <w:sz w:val="24"/>
          <w:szCs w:val="24"/>
        </w:rPr>
        <w:t>处罚；因质量问题我院不同意接收，投标方应向我院支付违约货款额5%违约金并赔偿我院经济损失。</w:t>
      </w:r>
    </w:p>
    <w:p w14:paraId="12773AFA">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6.2</w:t>
      </w:r>
      <w:r>
        <w:rPr>
          <w:rFonts w:hint="eastAsia" w:ascii="宋体" w:hAnsi="宋体" w:eastAsia="宋体" w:cs="宋体"/>
          <w:color w:val="auto"/>
          <w:sz w:val="24"/>
          <w:szCs w:val="24"/>
          <w:lang w:eastAsia="zh-CN"/>
        </w:rPr>
        <w:t>若</w:t>
      </w:r>
      <w:r>
        <w:rPr>
          <w:rFonts w:hint="eastAsia" w:ascii="宋体" w:hAnsi="宋体" w:eastAsia="宋体" w:cs="宋体"/>
          <w:color w:val="auto"/>
          <w:sz w:val="24"/>
          <w:szCs w:val="24"/>
        </w:rPr>
        <w:t>投标方提供的</w:t>
      </w:r>
      <w:r>
        <w:rPr>
          <w:rFonts w:hint="eastAsia" w:ascii="宋体" w:hAnsi="宋体" w:eastAsia="宋体" w:cs="宋体"/>
          <w:color w:val="auto"/>
          <w:sz w:val="24"/>
          <w:szCs w:val="24"/>
          <w:lang w:eastAsia="zh-CN"/>
        </w:rPr>
        <w:t>产品或软件</w:t>
      </w:r>
      <w:r>
        <w:rPr>
          <w:rFonts w:hint="eastAsia" w:ascii="宋体" w:hAnsi="宋体" w:eastAsia="宋体" w:cs="宋体"/>
          <w:color w:val="auto"/>
          <w:sz w:val="24"/>
          <w:szCs w:val="24"/>
        </w:rPr>
        <w:t>侵犯了第三方合法权益而引发的任何纠纷或诉讼，均由投标方负责交涉并承担全部责任。</w:t>
      </w:r>
    </w:p>
    <w:p w14:paraId="389A3F3C">
      <w:pPr>
        <w:pageBreakBefore w:val="0"/>
        <w:widowControl w:val="0"/>
        <w:kinsoku/>
        <w:wordWrap/>
        <w:overflowPunct/>
        <w:topLinePunct w:val="0"/>
        <w:autoSpaceDE/>
        <w:autoSpaceDN/>
        <w:bidi w:val="0"/>
        <w:adjustRightInd/>
        <w:snapToGrid/>
        <w:spacing w:line="312" w:lineRule="auto"/>
        <w:ind w:firstLine="42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6.3因包装、运输引起的货物损坏，按质量不合格处理。设备安装、调试完成之日起三个月内为设备质保期，在质保期期间若出现设备硬件故障或损坏的情况，我院有权要求投标方更换同等型号和配置的新设备，设备换新、安装、调试产生的所有费用由投标方承担。</w:t>
      </w:r>
    </w:p>
    <w:p w14:paraId="60BDBA78">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6.4</w:t>
      </w:r>
      <w:r>
        <w:rPr>
          <w:rFonts w:hint="eastAsia" w:ascii="宋体" w:hAnsi="宋体" w:eastAsia="宋体" w:cs="宋体"/>
          <w:color w:val="auto"/>
          <w:sz w:val="24"/>
        </w:rPr>
        <w:t> 投标方逾期交货</w:t>
      </w:r>
      <w:r>
        <w:rPr>
          <w:rFonts w:hint="eastAsia" w:ascii="宋体" w:hAnsi="宋体" w:eastAsia="宋体" w:cs="宋体"/>
          <w:color w:val="auto"/>
          <w:sz w:val="24"/>
          <w:lang w:val="en-US" w:eastAsia="zh-CN"/>
        </w:rPr>
        <w:t>/交付</w:t>
      </w:r>
      <w:r>
        <w:rPr>
          <w:rFonts w:hint="eastAsia" w:ascii="宋体" w:hAnsi="宋体" w:eastAsia="宋体" w:cs="宋体"/>
          <w:color w:val="auto"/>
          <w:sz w:val="24"/>
        </w:rPr>
        <w:t>的，每天向</w:t>
      </w:r>
      <w:r>
        <w:rPr>
          <w:rFonts w:hint="eastAsia" w:ascii="宋体" w:hAnsi="宋体" w:eastAsia="宋体" w:cs="宋体"/>
          <w:color w:val="auto"/>
          <w:sz w:val="24"/>
          <w:lang w:eastAsia="zh-CN"/>
        </w:rPr>
        <w:t>甲方</w:t>
      </w:r>
      <w:r>
        <w:rPr>
          <w:rFonts w:hint="eastAsia" w:ascii="宋体" w:hAnsi="宋体" w:eastAsia="宋体" w:cs="宋体"/>
          <w:color w:val="auto"/>
          <w:sz w:val="24"/>
        </w:rPr>
        <w:t>偿付违约货款额3‰违约金，但违约金累计不得超过违约货款额 5%</w:t>
      </w:r>
      <w:r>
        <w:rPr>
          <w:rFonts w:hint="eastAsia" w:ascii="宋体" w:hAnsi="宋体" w:eastAsia="宋体" w:cs="宋体"/>
          <w:color w:val="auto"/>
          <w:sz w:val="24"/>
          <w:lang w:eastAsia="zh-CN"/>
        </w:rPr>
        <w:t>，</w:t>
      </w:r>
      <w:r>
        <w:rPr>
          <w:rFonts w:hint="eastAsia" w:ascii="宋体" w:hAnsi="宋体" w:eastAsia="宋体" w:cs="宋体"/>
          <w:color w:val="auto"/>
          <w:sz w:val="24"/>
        </w:rPr>
        <w:t>超过30天对方有权解除合同，违约方承担因此给对方造成的经济损失；</w:t>
      </w:r>
    </w:p>
    <w:p w14:paraId="4102E404">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rPr>
        <w:t>6.5售后服务违约</w:t>
      </w:r>
      <w:r>
        <w:rPr>
          <w:rFonts w:hint="eastAsia" w:ascii="宋体" w:hAnsi="宋体" w:eastAsia="宋体" w:cs="宋体"/>
          <w:color w:val="auto"/>
          <w:sz w:val="24"/>
          <w:lang w:val="en-US" w:eastAsia="zh-CN"/>
        </w:rPr>
        <w:t>：</w:t>
      </w:r>
    </w:p>
    <w:p w14:paraId="19D7A57E">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6.5.1每缺少1次现场巡检记录，投标方应向</w:t>
      </w:r>
      <w:r>
        <w:rPr>
          <w:rFonts w:hint="eastAsia" w:ascii="宋体" w:hAnsi="宋体" w:eastAsia="宋体" w:cs="宋体"/>
          <w:color w:val="auto"/>
          <w:sz w:val="24"/>
          <w:lang w:val="en-US" w:eastAsia="zh-CN"/>
        </w:rPr>
        <w:t>甲方</w:t>
      </w:r>
      <w:r>
        <w:rPr>
          <w:rFonts w:hint="eastAsia" w:ascii="宋体" w:hAnsi="宋体" w:eastAsia="宋体" w:cs="宋体"/>
          <w:color w:val="auto"/>
          <w:sz w:val="24"/>
          <w:lang w:val="en-US"/>
        </w:rPr>
        <w:t>支付违约金5000元；</w:t>
      </w:r>
    </w:p>
    <w:p w14:paraId="2BF3CEC1">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6.5.2不能按本</w:t>
      </w:r>
      <w:r>
        <w:rPr>
          <w:rFonts w:hint="eastAsia" w:ascii="宋体" w:hAnsi="宋体" w:eastAsia="宋体" w:cs="宋体"/>
          <w:color w:val="auto"/>
          <w:sz w:val="24"/>
          <w:lang w:val="en-US" w:eastAsia="zh-CN"/>
        </w:rPr>
        <w:t>技术参数文档</w:t>
      </w:r>
      <w:r>
        <w:rPr>
          <w:rFonts w:hint="eastAsia" w:ascii="宋体" w:hAnsi="宋体" w:eastAsia="宋体" w:cs="宋体"/>
          <w:color w:val="auto"/>
          <w:sz w:val="24"/>
          <w:lang w:val="en-US"/>
        </w:rPr>
        <w:t>第5.3要求中按时提供设备备件的，故障上报24小时不能免费提供同档次或更高档次的备用设备解决问题，每超期一天，按500元/天</w:t>
      </w:r>
      <w:r>
        <w:rPr>
          <w:rFonts w:hint="eastAsia" w:ascii="宋体" w:hAnsi="宋体" w:eastAsia="宋体" w:cs="宋体"/>
          <w:color w:val="auto"/>
          <w:sz w:val="24"/>
          <w:lang w:val="en-US" w:eastAsia="zh-CN"/>
        </w:rPr>
        <w:t>向甲方</w:t>
      </w:r>
      <w:r>
        <w:rPr>
          <w:rFonts w:hint="eastAsia" w:ascii="宋体" w:hAnsi="宋体" w:eastAsia="宋体" w:cs="宋体"/>
          <w:color w:val="auto"/>
          <w:sz w:val="24"/>
          <w:lang w:val="en-US"/>
        </w:rPr>
        <w:t>支付违约金；</w:t>
      </w:r>
    </w:p>
    <w:p w14:paraId="19A6F0D3">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6.5.3 投标方未按本技术要求和响应文件中规定的其他服务承诺提供售后服务的，每次投标方应按合同合计金额的5% 向</w:t>
      </w:r>
      <w:r>
        <w:rPr>
          <w:rFonts w:hint="eastAsia" w:ascii="宋体" w:hAnsi="宋体" w:eastAsia="宋体" w:cs="宋体"/>
          <w:color w:val="auto"/>
          <w:sz w:val="24"/>
          <w:lang w:val="en-US" w:eastAsia="zh-CN"/>
        </w:rPr>
        <w:t>甲方</w:t>
      </w:r>
      <w:r>
        <w:rPr>
          <w:rFonts w:hint="eastAsia" w:ascii="宋体" w:hAnsi="宋体" w:eastAsia="宋体" w:cs="宋体"/>
          <w:color w:val="auto"/>
          <w:sz w:val="24"/>
          <w:lang w:val="en-US"/>
        </w:rPr>
        <w:t>支付违约金。</w:t>
      </w:r>
    </w:p>
    <w:p w14:paraId="55523D33">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rPr>
      </w:pPr>
      <w:r>
        <w:rPr>
          <w:rFonts w:hint="eastAsia" w:ascii="宋体" w:hAnsi="宋体" w:eastAsia="宋体" w:cs="宋体"/>
          <w:color w:val="auto"/>
          <w:sz w:val="24"/>
        </w:rPr>
        <w:t>6.6合同签订后7个工作日内进场实施，每个模块计划实施周期需在合同内写明。因</w:t>
      </w:r>
      <w:r>
        <w:rPr>
          <w:rFonts w:hint="eastAsia" w:ascii="宋体" w:hAnsi="宋体" w:eastAsia="宋体" w:cs="宋体"/>
          <w:color w:val="auto"/>
          <w:sz w:val="24"/>
          <w:lang w:eastAsia="zh-CN"/>
        </w:rPr>
        <w:t>提供商</w:t>
      </w:r>
      <w:r>
        <w:rPr>
          <w:rFonts w:hint="eastAsia" w:ascii="宋体" w:hAnsi="宋体" w:eastAsia="宋体" w:cs="宋体"/>
          <w:color w:val="auto"/>
          <w:sz w:val="24"/>
        </w:rPr>
        <w:t>原因逾期不进场实施的，需按每天向院方支付合同款金额3‰作为违约金</w:t>
      </w:r>
      <w:r>
        <w:rPr>
          <w:rFonts w:hint="eastAsia" w:ascii="宋体" w:hAnsi="宋体" w:eastAsia="宋体" w:cs="宋体"/>
          <w:color w:val="auto"/>
          <w:sz w:val="24"/>
          <w:lang w:eastAsia="zh-CN"/>
        </w:rPr>
        <w:t>，</w:t>
      </w:r>
      <w:r>
        <w:rPr>
          <w:rFonts w:hint="eastAsia" w:ascii="宋体" w:hAnsi="宋体" w:eastAsia="宋体" w:cs="宋体"/>
          <w:color w:val="auto"/>
          <w:sz w:val="24"/>
        </w:rPr>
        <w:t>超过30天，</w:t>
      </w:r>
      <w:r>
        <w:rPr>
          <w:rFonts w:hint="eastAsia" w:ascii="宋体" w:hAnsi="宋体" w:eastAsia="宋体" w:cs="宋体"/>
          <w:color w:val="auto"/>
          <w:sz w:val="24"/>
          <w:lang w:eastAsia="zh-CN"/>
        </w:rPr>
        <w:t>甲</w:t>
      </w:r>
      <w:r>
        <w:rPr>
          <w:rFonts w:hint="eastAsia" w:ascii="宋体" w:hAnsi="宋体" w:eastAsia="宋体" w:cs="宋体"/>
          <w:color w:val="auto"/>
          <w:sz w:val="24"/>
        </w:rPr>
        <w:t>有权解除合同，</w:t>
      </w:r>
      <w:r>
        <w:rPr>
          <w:rFonts w:hint="eastAsia" w:ascii="宋体" w:hAnsi="宋体" w:eastAsia="宋体" w:cs="宋体"/>
          <w:color w:val="auto"/>
          <w:sz w:val="24"/>
          <w:lang w:eastAsia="zh-CN"/>
        </w:rPr>
        <w:t>乙方</w:t>
      </w:r>
      <w:r>
        <w:rPr>
          <w:rFonts w:hint="eastAsia" w:ascii="宋体" w:hAnsi="宋体" w:eastAsia="宋体" w:cs="宋体"/>
          <w:color w:val="auto"/>
          <w:sz w:val="24"/>
        </w:rPr>
        <w:t>需承担因此给院方造成的经济损失；</w:t>
      </w:r>
      <w:r>
        <w:rPr>
          <w:rFonts w:hint="eastAsia" w:ascii="宋体" w:hAnsi="宋体" w:eastAsia="宋体" w:cs="宋体"/>
          <w:color w:val="auto"/>
          <w:sz w:val="24"/>
          <w:lang w:val="en-US"/>
        </w:rPr>
        <w:t>不能按照合同约定上线期限完成，需要书面申请说明原因，得到医院书面同意后最多延期一个月，否则（或者延期一个月后）按每超期7天（一周）从总合同金额扣除5%的违约金。扣除比例达到总合同金额的50%及以上的，视为</w:t>
      </w:r>
      <w:r>
        <w:rPr>
          <w:rFonts w:hint="eastAsia" w:ascii="宋体" w:hAnsi="宋体" w:eastAsia="宋体" w:cs="宋体"/>
          <w:color w:val="auto"/>
          <w:sz w:val="24"/>
          <w:lang w:val="en-US" w:eastAsia="zh-CN"/>
        </w:rPr>
        <w:t>乙方</w:t>
      </w:r>
      <w:r>
        <w:rPr>
          <w:rFonts w:hint="eastAsia" w:ascii="宋体" w:hAnsi="宋体" w:eastAsia="宋体" w:cs="宋体"/>
          <w:color w:val="auto"/>
          <w:sz w:val="24"/>
          <w:lang w:val="en-US"/>
        </w:rPr>
        <w:t>违约，</w:t>
      </w:r>
      <w:r>
        <w:rPr>
          <w:rFonts w:hint="eastAsia" w:ascii="宋体" w:hAnsi="宋体" w:eastAsia="宋体" w:cs="宋体"/>
          <w:color w:val="auto"/>
          <w:sz w:val="24"/>
          <w:lang w:val="en-US" w:eastAsia="zh-CN"/>
        </w:rPr>
        <w:t>甲方</w:t>
      </w:r>
      <w:r>
        <w:rPr>
          <w:rFonts w:hint="eastAsia" w:ascii="宋体" w:hAnsi="宋体" w:eastAsia="宋体" w:cs="宋体"/>
          <w:color w:val="auto"/>
          <w:sz w:val="24"/>
          <w:lang w:val="en-US"/>
        </w:rPr>
        <w:t>有权单方面解除合同，并要求</w:t>
      </w:r>
      <w:r>
        <w:rPr>
          <w:rFonts w:hint="eastAsia" w:ascii="宋体" w:hAnsi="宋体" w:eastAsia="宋体" w:cs="宋体"/>
          <w:color w:val="auto"/>
          <w:sz w:val="24"/>
          <w:lang w:val="en-US" w:eastAsia="zh-CN"/>
        </w:rPr>
        <w:t>乙方</w:t>
      </w:r>
      <w:r>
        <w:rPr>
          <w:rFonts w:hint="eastAsia" w:ascii="宋体" w:hAnsi="宋体" w:eastAsia="宋体" w:cs="宋体"/>
          <w:color w:val="auto"/>
          <w:sz w:val="24"/>
          <w:lang w:val="en-US"/>
        </w:rPr>
        <w:t>退回所有医院已支付款项，同时</w:t>
      </w:r>
      <w:r>
        <w:rPr>
          <w:rFonts w:hint="eastAsia" w:ascii="宋体" w:hAnsi="宋体" w:eastAsia="宋体" w:cs="宋体"/>
          <w:color w:val="auto"/>
          <w:sz w:val="24"/>
          <w:lang w:val="en-US" w:eastAsia="zh-CN"/>
        </w:rPr>
        <w:t>按</w:t>
      </w:r>
      <w:r>
        <w:rPr>
          <w:rFonts w:hint="eastAsia" w:ascii="宋体" w:hAnsi="宋体" w:eastAsia="宋体" w:cs="宋体"/>
          <w:color w:val="auto"/>
          <w:sz w:val="24"/>
          <w:lang w:val="en-US"/>
        </w:rPr>
        <w:t>合同总金额的20%做为违约金</w:t>
      </w:r>
      <w:r>
        <w:rPr>
          <w:rFonts w:hint="eastAsia" w:ascii="宋体" w:hAnsi="宋体" w:eastAsia="宋体" w:cs="宋体"/>
          <w:color w:val="auto"/>
          <w:sz w:val="24"/>
          <w:lang w:val="en-US" w:eastAsia="zh-CN"/>
        </w:rPr>
        <w:t>支付给甲方</w:t>
      </w:r>
      <w:r>
        <w:rPr>
          <w:rFonts w:hint="eastAsia" w:ascii="宋体" w:hAnsi="宋体" w:eastAsia="宋体" w:cs="宋体"/>
          <w:color w:val="auto"/>
          <w:sz w:val="24"/>
          <w:lang w:val="en-US"/>
        </w:rPr>
        <w:t>。</w:t>
      </w:r>
    </w:p>
    <w:p w14:paraId="2C2A8D46">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6.7任何一方违反本技术要求中“保密、廉洁条款”要求的，应承担相应的违约责任并赔偿由此造成的损失，损失累计金额超过合同款项的5%的，损失方同时有权终止合同并收回已付款项。</w:t>
      </w:r>
    </w:p>
    <w:p w14:paraId="0F6A6061">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rPr>
      </w:pPr>
      <w:r>
        <w:rPr>
          <w:rFonts w:hint="eastAsia" w:ascii="宋体" w:hAnsi="宋体" w:eastAsia="宋体" w:cs="宋体"/>
          <w:color w:val="auto"/>
          <w:sz w:val="24"/>
          <w:lang w:val="en-US"/>
        </w:rPr>
        <w:t>6.</w:t>
      </w:r>
      <w:r>
        <w:rPr>
          <w:rFonts w:hint="eastAsia" w:ascii="宋体" w:hAnsi="宋体" w:eastAsia="宋体" w:cs="宋体"/>
          <w:color w:val="auto"/>
          <w:sz w:val="24"/>
          <w:lang w:val="en-US" w:eastAsia="zh-CN"/>
        </w:rPr>
        <w:t>8厂商</w:t>
      </w:r>
      <w:r>
        <w:rPr>
          <w:rFonts w:hint="eastAsia" w:ascii="宋体" w:hAnsi="宋体" w:eastAsia="宋体" w:cs="宋体"/>
          <w:color w:val="auto"/>
          <w:sz w:val="24"/>
          <w:lang w:val="en-US"/>
        </w:rPr>
        <w:t>方未按本技术要求和响应文件中规定的其他服务承诺提供售后服务的，按损失情况，每次应按合同合计金额的0.1‰-0.1%</w:t>
      </w:r>
      <w:r>
        <w:rPr>
          <w:rFonts w:hint="eastAsia" w:ascii="宋体" w:hAnsi="宋体" w:eastAsia="宋体" w:cs="宋体"/>
          <w:color w:val="auto"/>
          <w:sz w:val="24"/>
          <w:lang w:val="en-US" w:eastAsia="zh-CN"/>
        </w:rPr>
        <w:t>由乙方</w:t>
      </w:r>
      <w:r>
        <w:rPr>
          <w:rFonts w:hint="eastAsia" w:ascii="宋体" w:hAnsi="宋体" w:eastAsia="宋体" w:cs="宋体"/>
          <w:color w:val="auto"/>
          <w:sz w:val="24"/>
          <w:lang w:val="en-US"/>
        </w:rPr>
        <w:t>向甲方支付违约金，损失累计金额超过合同款项的5%的，损失方同时有权终止合同并收回已付款项。</w:t>
      </w:r>
    </w:p>
    <w:p w14:paraId="4BC02376">
      <w:pPr>
        <w:pStyle w:val="4"/>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6.9厂商不得在提供的硬件及软件系统中设置包括且不限于如：软硬件加密狗、加密软件、时间锁、授权码等限制硬件及软件系统正常运行的措施，</w:t>
      </w:r>
      <w:r>
        <w:rPr>
          <w:rFonts w:ascii="宋体" w:hAnsi="宋体" w:cs="宋体"/>
          <w:kern w:val="2"/>
          <w:sz w:val="24"/>
          <w:lang w:val="en-US"/>
        </w:rPr>
        <w:t>如有</w:t>
      </w:r>
      <w:r>
        <w:rPr>
          <w:rFonts w:hint="eastAsia" w:ascii="宋体" w:hAnsi="宋体" w:cs="宋体"/>
          <w:kern w:val="2"/>
          <w:sz w:val="24"/>
          <w:lang w:val="en-US"/>
        </w:rPr>
        <w:t>特殊</w:t>
      </w:r>
      <w:r>
        <w:rPr>
          <w:rFonts w:ascii="宋体" w:hAnsi="宋体" w:cs="宋体"/>
          <w:kern w:val="2"/>
          <w:sz w:val="24"/>
          <w:lang w:val="en-US"/>
        </w:rPr>
        <w:t>需要</w:t>
      </w:r>
      <w:r>
        <w:rPr>
          <w:rFonts w:hint="eastAsia" w:ascii="宋体" w:hAnsi="宋体" w:cs="宋体"/>
          <w:kern w:val="2"/>
          <w:sz w:val="24"/>
          <w:lang w:val="en-US"/>
        </w:rPr>
        <w:t>必须提交</w:t>
      </w:r>
      <w:r>
        <w:rPr>
          <w:rFonts w:ascii="宋体" w:hAnsi="宋体" w:cs="宋体"/>
          <w:kern w:val="2"/>
          <w:sz w:val="24"/>
          <w:lang w:val="en-US"/>
        </w:rPr>
        <w:t>纸质</w:t>
      </w:r>
      <w:r>
        <w:rPr>
          <w:rFonts w:hint="eastAsia" w:ascii="宋体" w:hAnsi="宋体" w:cs="宋体"/>
          <w:kern w:val="2"/>
          <w:sz w:val="24"/>
          <w:lang w:val="en-US"/>
        </w:rPr>
        <w:t>文件说明</w:t>
      </w:r>
      <w:r>
        <w:rPr>
          <w:rFonts w:ascii="宋体" w:hAnsi="宋体" w:cs="宋体"/>
          <w:kern w:val="2"/>
          <w:sz w:val="24"/>
          <w:lang w:val="en-US"/>
        </w:rPr>
        <w:t>，经过我院</w:t>
      </w:r>
      <w:r>
        <w:rPr>
          <w:rFonts w:hint="eastAsia" w:ascii="宋体" w:hAnsi="宋体" w:cs="宋体"/>
          <w:kern w:val="2"/>
          <w:sz w:val="24"/>
          <w:lang w:val="en-US"/>
        </w:rPr>
        <w:t>签字同意</w:t>
      </w:r>
      <w:r>
        <w:rPr>
          <w:rFonts w:ascii="宋体" w:hAnsi="宋体" w:cs="宋体"/>
          <w:kern w:val="2"/>
          <w:sz w:val="24"/>
          <w:lang w:val="en-US"/>
        </w:rPr>
        <w:t>才可设置</w:t>
      </w:r>
      <w:r>
        <w:rPr>
          <w:rFonts w:hint="eastAsia" w:ascii="宋体" w:hAnsi="宋体" w:cs="宋体"/>
          <w:kern w:val="2"/>
          <w:sz w:val="24"/>
          <w:lang w:val="en-US" w:eastAsia="zh-CN"/>
        </w:rPr>
        <w:t>，</w:t>
      </w:r>
      <w:r>
        <w:rPr>
          <w:rFonts w:hint="eastAsia" w:ascii="宋体" w:hAnsi="宋体" w:eastAsia="宋体" w:cs="宋体"/>
          <w:color w:val="auto"/>
          <w:kern w:val="2"/>
          <w:sz w:val="24"/>
          <w:szCs w:val="24"/>
          <w:lang w:val="en-US" w:eastAsia="zh-CN" w:bidi="ar-SA"/>
        </w:rPr>
        <w:t>否则视为乙方违约，乙方需要支付医院违约金500000元（伍拾万元），在此基础上医院有权要求乙方退回甲方已支付的所有款项。如对医院造成损失的，甲方有权要求乙方赔偿。</w:t>
      </w:r>
    </w:p>
    <w:p w14:paraId="4D43BDB7">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6.10</w:t>
      </w:r>
      <w:r>
        <w:rPr>
          <w:rFonts w:hint="default" w:ascii="宋体" w:hAnsi="宋体" w:eastAsia="宋体" w:cs="宋体"/>
          <w:color w:val="auto"/>
          <w:kern w:val="2"/>
          <w:sz w:val="24"/>
          <w:szCs w:val="24"/>
          <w:lang w:val="en-US" w:eastAsia="zh-CN" w:bidi="ar-SA"/>
        </w:rPr>
        <w:t>厂商驻场工程师人员变更必须得到医院书面同意，否则视为</w:t>
      </w:r>
      <w:r>
        <w:rPr>
          <w:rFonts w:hint="eastAsia" w:ascii="宋体" w:hAnsi="宋体" w:eastAsia="宋体" w:cs="宋体"/>
          <w:color w:val="auto"/>
          <w:kern w:val="2"/>
          <w:sz w:val="24"/>
          <w:szCs w:val="24"/>
          <w:lang w:val="en-US" w:eastAsia="zh-CN" w:bidi="ar-SA"/>
        </w:rPr>
        <w:t>乙方</w:t>
      </w:r>
      <w:r>
        <w:rPr>
          <w:rFonts w:hint="default" w:ascii="宋体" w:hAnsi="宋体" w:eastAsia="宋体" w:cs="宋体"/>
          <w:color w:val="auto"/>
          <w:kern w:val="2"/>
          <w:sz w:val="24"/>
          <w:szCs w:val="24"/>
          <w:lang w:val="en-US" w:eastAsia="zh-CN" w:bidi="ar-SA"/>
        </w:rPr>
        <w:t>违约，</w:t>
      </w:r>
      <w:r>
        <w:rPr>
          <w:rFonts w:hint="eastAsia" w:ascii="宋体" w:hAnsi="宋体" w:eastAsia="宋体" w:cs="宋体"/>
          <w:color w:val="auto"/>
          <w:kern w:val="2"/>
          <w:sz w:val="24"/>
          <w:szCs w:val="24"/>
          <w:lang w:val="en-US" w:eastAsia="zh-CN" w:bidi="ar-SA"/>
        </w:rPr>
        <w:t>甲</w:t>
      </w:r>
      <w:r>
        <w:rPr>
          <w:rFonts w:hint="default" w:ascii="宋体" w:hAnsi="宋体" w:eastAsia="宋体" w:cs="宋体"/>
          <w:color w:val="auto"/>
          <w:kern w:val="2"/>
          <w:sz w:val="24"/>
          <w:szCs w:val="24"/>
          <w:lang w:val="en-US" w:eastAsia="zh-CN" w:bidi="ar-SA"/>
        </w:rPr>
        <w:t>方有权按500元/人/次从合同总款中扣除</w:t>
      </w:r>
      <w:r>
        <w:rPr>
          <w:rFonts w:hint="eastAsia" w:ascii="宋体" w:hAnsi="宋体" w:eastAsia="宋体" w:cs="宋体"/>
          <w:color w:val="auto"/>
          <w:kern w:val="2"/>
          <w:sz w:val="24"/>
          <w:szCs w:val="24"/>
          <w:lang w:val="en-US" w:eastAsia="zh-CN" w:bidi="ar-SA"/>
        </w:rPr>
        <w:t>。</w:t>
      </w:r>
    </w:p>
    <w:p w14:paraId="2A8F0A2F">
      <w:pPr>
        <w:pStyle w:val="4"/>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6.11如合同乙方非软件提供商，软件提供商需承担连带责任，即本技术参数中对乙方的所有约束要求、违约条件均等同于对软件提供商的要求，甲方在追究乙方违约责任的同时可以同步追究软件提供商同等责任，乙方在投标时必须提供软件提供商的售后服务承诺书原件（须加盖软件提供商公章）。</w:t>
      </w:r>
    </w:p>
    <w:bookmarkEnd w:id="1"/>
    <w:p w14:paraId="1F32D090">
      <w:pPr>
        <w:pStyle w:val="4"/>
        <w:pageBreakBefore w:val="0"/>
        <w:widowControl w:val="0"/>
        <w:kinsoku/>
        <w:wordWrap/>
        <w:overflowPunct/>
        <w:topLinePunct w:val="0"/>
        <w:autoSpaceDE/>
        <w:autoSpaceDN/>
        <w:bidi w:val="0"/>
        <w:adjustRightInd/>
        <w:snapToGrid/>
        <w:spacing w:after="0" w:line="312" w:lineRule="auto"/>
        <w:textAlignment w:val="auto"/>
        <w:rPr>
          <w:rFonts w:ascii="宋体" w:hAnsi="宋体" w:eastAsia="宋体" w:cs="宋体"/>
          <w:b/>
          <w:bCs/>
          <w:color w:val="auto"/>
          <w:sz w:val="28"/>
          <w:lang w:val="en-US"/>
        </w:rPr>
      </w:pPr>
      <w:bookmarkStart w:id="2" w:name="_Toc507405799"/>
      <w:bookmarkStart w:id="3" w:name="_Toc507405800"/>
      <w:r>
        <w:rPr>
          <w:rFonts w:hint="eastAsia" w:ascii="宋体" w:hAnsi="宋体" w:eastAsia="宋体" w:cs="宋体"/>
          <w:b/>
          <w:bCs/>
          <w:color w:val="auto"/>
          <w:sz w:val="28"/>
          <w:lang w:val="en-US"/>
        </w:rPr>
        <w:t>七、保密、廉洁协议</w:t>
      </w:r>
    </w:p>
    <w:p w14:paraId="6B7E3724">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7.1 双方保证对从另一方取得且无法自公开渠道获得的商业秘密(技术信息、经营信息及其他商业秘密)予以保密。未经该商业秘密的提供方同意，一方不得向任何第三方泄露该商业秘密的全部或部分内容，但法律、法规另有规定或双方另有约定的除外。任何一方违反保密义务的，应承担相应的违约责任并赔偿由此造成的损失。</w:t>
      </w:r>
    </w:p>
    <w:p w14:paraId="31B259BB">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7.2 双方不得以任何方式向第三方泄露本项目的软件技术、设计方案以及功能配置等内容。</w:t>
      </w:r>
    </w:p>
    <w:p w14:paraId="31D7B17B">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7.3不以任何方式向第三方泄露在本协议开发实施过程中获取的经济、技术、数据以及双方其他非公开的信息。</w:t>
      </w:r>
    </w:p>
    <w:p w14:paraId="77DC60F2">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7.4 不从事商业贿赂行为，遵守廉洁协议或相关规定。甲方发现乙方有违反廉洁协议或相关规定采用不正当手段进行不正当竞争行为的，或被有关部门生效文书认定有行贿或者受贿行为的，甲方有权解除该业务合同，由此给甲方造成的损失以及发生的一切费用均由乙方承担，甲方有权对乙方实施商业贿赂不良记录，列入“黑名单”，并三年内取消其业务往来资格。</w:t>
      </w:r>
    </w:p>
    <w:p w14:paraId="29F9DDBE">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color w:val="auto"/>
          <w:lang w:val="en-US"/>
        </w:rPr>
      </w:pPr>
      <w:r>
        <w:rPr>
          <w:rFonts w:hint="eastAsia" w:ascii="宋体" w:hAnsi="宋体" w:eastAsia="宋体" w:cs="宋体"/>
          <w:color w:val="auto"/>
          <w:sz w:val="24"/>
          <w:szCs w:val="24"/>
        </w:rPr>
        <w:t>7.5保密期限自本合同生效之日起永久有效，如乙方需解除保密协议需向甲方提出书面申请，双方协商同意签字确认后方可解除。</w:t>
      </w:r>
    </w:p>
    <w:p w14:paraId="28E55CB2">
      <w:pPr>
        <w:pStyle w:val="4"/>
        <w:pageBreakBefore w:val="0"/>
        <w:widowControl w:val="0"/>
        <w:kinsoku/>
        <w:wordWrap/>
        <w:overflowPunct/>
        <w:topLinePunct w:val="0"/>
        <w:autoSpaceDE/>
        <w:autoSpaceDN/>
        <w:bidi w:val="0"/>
        <w:adjustRightInd/>
        <w:snapToGrid/>
        <w:spacing w:after="0" w:line="312" w:lineRule="auto"/>
        <w:textAlignment w:val="auto"/>
        <w:rPr>
          <w:rFonts w:ascii="宋体" w:hAnsi="宋体" w:eastAsia="宋体" w:cs="宋体"/>
          <w:b/>
          <w:bCs/>
          <w:color w:val="auto"/>
          <w:sz w:val="28"/>
          <w:lang w:val="en-US"/>
        </w:rPr>
      </w:pPr>
      <w:r>
        <w:rPr>
          <w:rFonts w:hint="eastAsia" w:ascii="宋体" w:hAnsi="宋体" w:eastAsia="宋体" w:cs="宋体"/>
          <w:b/>
          <w:bCs/>
          <w:color w:val="auto"/>
          <w:sz w:val="28"/>
          <w:lang w:val="en-US"/>
        </w:rPr>
        <w:t>八、报价</w:t>
      </w:r>
    </w:p>
    <w:p w14:paraId="1AE3614E">
      <w:pPr>
        <w:pStyle w:val="4"/>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8.1</w:t>
      </w:r>
      <w:r>
        <w:rPr>
          <w:rFonts w:hint="eastAsia" w:ascii="宋体" w:hAnsi="宋体" w:eastAsia="宋体" w:cs="宋体"/>
          <w:color w:val="auto"/>
          <w:sz w:val="24"/>
          <w:szCs w:val="24"/>
        </w:rPr>
        <w:t>竞标文件</w:t>
      </w:r>
      <w:r>
        <w:rPr>
          <w:rFonts w:hint="eastAsia" w:ascii="宋体" w:hAnsi="宋体" w:eastAsia="宋体" w:cs="宋体"/>
          <w:color w:val="auto"/>
          <w:sz w:val="24"/>
          <w:szCs w:val="24"/>
          <w:lang w:eastAsia="zh-CN"/>
        </w:rPr>
        <w:t>提供技术偏离表、服务偏离表</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并标明详细的技术和服务内容。</w:t>
      </w:r>
      <w:r>
        <w:rPr>
          <w:rFonts w:hint="eastAsia" w:ascii="宋体" w:hAnsi="宋体" w:eastAsia="宋体" w:cs="宋体"/>
          <w:color w:val="auto"/>
          <w:sz w:val="24"/>
          <w:szCs w:val="24"/>
        </w:rPr>
        <w:t>竞标文件按系统模块报价，报价表价格包含系统软硬件费用、产品安装、调试实施、培训费用、产品升级费用</w:t>
      </w:r>
      <w:r>
        <w:rPr>
          <w:rFonts w:hint="eastAsia" w:ascii="宋体" w:hAnsi="宋体" w:eastAsia="宋体" w:cs="宋体"/>
          <w:color w:val="auto"/>
          <w:sz w:val="24"/>
          <w:szCs w:val="24"/>
          <w:lang w:eastAsia="zh-CN"/>
        </w:rPr>
        <w:t>、</w:t>
      </w:r>
      <w:r>
        <w:rPr>
          <w:rFonts w:hint="eastAsia" w:ascii="宋体" w:hAnsi="宋体" w:eastAsia="宋体"/>
          <w:color w:val="auto"/>
          <w:sz w:val="24"/>
          <w:szCs w:val="24"/>
        </w:rPr>
        <w:t>接口费（包括第三方厂家的接口费）等费用</w:t>
      </w:r>
      <w:r>
        <w:rPr>
          <w:rFonts w:hint="eastAsia" w:ascii="宋体" w:hAnsi="宋体" w:eastAsia="宋体" w:cs="宋体"/>
          <w:color w:val="auto"/>
          <w:sz w:val="24"/>
          <w:szCs w:val="24"/>
        </w:rPr>
        <w:t>，以及明示所有责任、义务和一切风险。</w:t>
      </w:r>
    </w:p>
    <w:p w14:paraId="751EF906">
      <w:pPr>
        <w:pStyle w:val="4"/>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8.2</w:t>
      </w:r>
      <w:r>
        <w:rPr>
          <w:rFonts w:hint="eastAsia" w:ascii="宋体" w:hAnsi="宋体" w:eastAsia="宋体" w:cs="宋体"/>
          <w:color w:val="auto"/>
          <w:sz w:val="24"/>
          <w:szCs w:val="24"/>
          <w:lang w:eastAsia="zh-CN"/>
        </w:rPr>
        <w:t>竞标文件需提供</w:t>
      </w:r>
      <w:r>
        <w:rPr>
          <w:rFonts w:hint="eastAsia" w:ascii="宋体" w:hAnsi="宋体" w:cs="宋体"/>
          <w:sz w:val="24"/>
          <w:szCs w:val="24"/>
          <w:lang w:eastAsia="zh-CN"/>
        </w:rPr>
        <w:t>维保期</w:t>
      </w:r>
      <w:r>
        <w:rPr>
          <w:rFonts w:hint="eastAsia" w:ascii="宋体" w:hAnsi="宋体" w:cs="宋体"/>
          <w:sz w:val="24"/>
          <w:szCs w:val="24"/>
        </w:rPr>
        <w:t>方案及</w:t>
      </w:r>
      <w:r>
        <w:rPr>
          <w:rFonts w:hint="eastAsia" w:ascii="宋体" w:hAnsi="宋体" w:cs="宋体"/>
          <w:sz w:val="24"/>
          <w:szCs w:val="24"/>
          <w:lang w:eastAsia="zh-CN"/>
        </w:rPr>
        <w:t>报价</w:t>
      </w:r>
      <w:r>
        <w:rPr>
          <w:rFonts w:hint="eastAsia" w:ascii="宋体" w:hAnsi="宋体" w:eastAsia="宋体" w:cs="宋体"/>
          <w:color w:val="auto"/>
          <w:sz w:val="24"/>
          <w:szCs w:val="24"/>
          <w:lang w:eastAsia="zh-CN"/>
        </w:rPr>
        <w:t>。</w:t>
      </w:r>
    </w:p>
    <w:p w14:paraId="3104B46C">
      <w:pPr>
        <w:pStyle w:val="4"/>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8.3</w:t>
      </w:r>
      <w:r>
        <w:rPr>
          <w:rFonts w:hint="eastAsia" w:ascii="宋体" w:hAnsi="宋体" w:eastAsia="宋体" w:cs="宋体"/>
          <w:color w:val="auto"/>
          <w:sz w:val="24"/>
          <w:szCs w:val="24"/>
          <w:lang w:eastAsia="zh-CN"/>
        </w:rPr>
        <w:t>竞标文件需提供系统详细图文介绍。系统实施验收参照本技术文档及竞标文件提供的图文介绍为依据。</w:t>
      </w:r>
    </w:p>
    <w:p w14:paraId="51027006">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lang w:val="en-US" w:eastAsia="zh-CN"/>
        </w:rPr>
        <w:t>8.4</w:t>
      </w:r>
      <w:r>
        <w:rPr>
          <w:rFonts w:hint="eastAsia" w:ascii="宋体" w:hAnsi="宋体" w:eastAsia="宋体" w:cs="宋体"/>
          <w:color w:val="auto"/>
          <w:sz w:val="24"/>
          <w:szCs w:val="24"/>
        </w:rPr>
        <w:t>如项目功能二次开发内容涉及我院采购的第三方产品，请在标书内标明哪些功能的实现需要二次开发接口。</w:t>
      </w:r>
    </w:p>
    <w:p w14:paraId="6B143897">
      <w:pPr>
        <w:pStyle w:val="2"/>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ascii="宋体" w:hAnsi="宋体"/>
          <w:bCs w:val="0"/>
          <w:sz w:val="32"/>
          <w:szCs w:val="32"/>
        </w:rPr>
      </w:pPr>
      <w:r>
        <w:rPr>
          <w:rFonts w:hint="eastAsia" w:ascii="宋体" w:hAnsi="宋体"/>
          <w:bCs w:val="0"/>
          <w:sz w:val="32"/>
          <w:szCs w:val="32"/>
        </w:rPr>
        <w:t>九、付款方式</w:t>
      </w:r>
      <w:bookmarkEnd w:id="2"/>
    </w:p>
    <w:p w14:paraId="5107D11A">
      <w:pPr>
        <w:pStyle w:val="15"/>
        <w:spacing w:line="360" w:lineRule="auto"/>
        <w:ind w:left="0" w:leftChars="0" w:firstLine="614" w:firstLineChars="256"/>
        <w:jc w:val="both"/>
        <w:rPr>
          <w:color w:val="auto"/>
          <w:sz w:val="24"/>
          <w:lang w:val="en-US"/>
        </w:rPr>
      </w:pPr>
      <w:r>
        <w:rPr>
          <w:rFonts w:hint="eastAsia" w:ascii="宋体" w:hAnsi="宋体" w:eastAsia="宋体" w:cs="微软雅黑"/>
          <w:sz w:val="24"/>
          <w:szCs w:val="24"/>
        </w:rPr>
        <w:t>项目双方签订</w:t>
      </w:r>
      <w:r>
        <w:rPr>
          <w:rFonts w:hint="eastAsia" w:ascii="宋体" w:hAnsi="宋体" w:eastAsia="宋体" w:cs="微软雅黑"/>
          <w:color w:val="auto"/>
          <w:sz w:val="24"/>
          <w:szCs w:val="24"/>
        </w:rPr>
        <w:t>合同，</w:t>
      </w:r>
      <w:r>
        <w:rPr>
          <w:rFonts w:hint="eastAsia" w:ascii="宋体" w:hAnsi="宋体" w:eastAsia="宋体"/>
          <w:color w:val="auto"/>
          <w:sz w:val="24"/>
          <w:szCs w:val="24"/>
          <w:lang w:val="en-US" w:eastAsia="zh-CN"/>
        </w:rPr>
        <w:t>项目上线稳定运行1个月后，</w:t>
      </w:r>
      <w:r>
        <w:rPr>
          <w:rFonts w:hint="eastAsia" w:ascii="宋体" w:hAnsi="宋体" w:eastAsia="宋体" w:cs="微软雅黑"/>
          <w:color w:val="auto"/>
          <w:sz w:val="24"/>
          <w:szCs w:val="24"/>
        </w:rPr>
        <w:t>用户支付合同款项的30%；合同</w:t>
      </w:r>
      <w:r>
        <w:rPr>
          <w:rFonts w:hint="eastAsia" w:ascii="宋体" w:hAnsi="宋体" w:eastAsia="宋体" w:cs="微软雅黑"/>
          <w:color w:val="auto"/>
          <w:sz w:val="24"/>
          <w:szCs w:val="24"/>
          <w:lang w:eastAsia="zh-CN"/>
        </w:rPr>
        <w:t>中所有功能及模块</w:t>
      </w:r>
      <w:r>
        <w:rPr>
          <w:rFonts w:hint="eastAsia" w:ascii="宋体" w:hAnsi="宋体" w:eastAsia="宋体" w:cs="微软雅黑"/>
          <w:color w:val="auto"/>
          <w:sz w:val="24"/>
          <w:szCs w:val="24"/>
        </w:rPr>
        <w:t>实施完毕，</w:t>
      </w:r>
      <w:r>
        <w:rPr>
          <w:rFonts w:hint="eastAsia" w:ascii="宋体" w:hAnsi="宋体" w:eastAsia="宋体" w:cs="微软雅黑"/>
          <w:color w:val="auto"/>
          <w:sz w:val="24"/>
          <w:szCs w:val="24"/>
          <w:lang w:eastAsia="zh-CN"/>
        </w:rPr>
        <w:t>系统</w:t>
      </w:r>
      <w:r>
        <w:rPr>
          <w:rFonts w:hint="eastAsia" w:ascii="宋体" w:hAnsi="宋体" w:eastAsia="宋体" w:cs="微软雅黑"/>
          <w:color w:val="auto"/>
          <w:sz w:val="24"/>
          <w:szCs w:val="24"/>
        </w:rPr>
        <w:t>上线稳定运行3个月后，启动</w:t>
      </w:r>
      <w:r>
        <w:rPr>
          <w:rFonts w:hint="eastAsia" w:ascii="宋体" w:hAnsi="宋体" w:eastAsia="宋体" w:cs="微软雅黑"/>
          <w:color w:val="auto"/>
          <w:sz w:val="24"/>
          <w:szCs w:val="24"/>
          <w:lang w:eastAsia="zh-CN"/>
        </w:rPr>
        <w:t>项目</w:t>
      </w:r>
      <w:r>
        <w:rPr>
          <w:rFonts w:hint="eastAsia" w:ascii="宋体" w:hAnsi="宋体" w:eastAsia="宋体" w:cs="微软雅黑"/>
          <w:color w:val="auto"/>
          <w:sz w:val="24"/>
          <w:szCs w:val="24"/>
        </w:rPr>
        <w:t>验收，验收合格后</w:t>
      </w:r>
      <w:r>
        <w:rPr>
          <w:rFonts w:hint="eastAsia" w:ascii="宋体" w:hAnsi="宋体" w:eastAsia="宋体" w:cs="微软雅黑"/>
          <w:color w:val="auto"/>
          <w:sz w:val="24"/>
          <w:szCs w:val="24"/>
          <w:lang w:eastAsia="zh-CN"/>
        </w:rPr>
        <w:t>甲方支付</w:t>
      </w:r>
      <w:r>
        <w:rPr>
          <w:rFonts w:hint="eastAsia" w:ascii="宋体" w:hAnsi="宋体" w:eastAsia="宋体" w:cs="微软雅黑"/>
          <w:color w:val="auto"/>
          <w:sz w:val="24"/>
          <w:szCs w:val="24"/>
        </w:rPr>
        <w:t>合同款项的60%，自验收合格之日起，</w:t>
      </w:r>
      <w:bookmarkEnd w:id="3"/>
      <w:r>
        <w:rPr>
          <w:rFonts w:hint="eastAsia" w:ascii="宋体" w:hAnsi="宋体" w:eastAsia="宋体"/>
          <w:color w:val="auto"/>
          <w:sz w:val="24"/>
          <w:szCs w:val="24"/>
          <w:lang w:val="en-US" w:eastAsia="zh-CN"/>
        </w:rPr>
        <w:t>稳定运行1年后，甲方支付合同款项的10%（不计利息）。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A78DC"/>
    <w:multiLevelType w:val="singleLevel"/>
    <w:tmpl w:val="851A78DC"/>
    <w:lvl w:ilvl="0" w:tentative="0">
      <w:start w:val="1"/>
      <w:numFmt w:val="decimal"/>
      <w:lvlText w:val="%1."/>
      <w:lvlJc w:val="left"/>
      <w:pPr>
        <w:ind w:left="425" w:hanging="425"/>
      </w:pPr>
      <w:rPr>
        <w:rFonts w:hint="default"/>
      </w:rPr>
    </w:lvl>
  </w:abstractNum>
  <w:abstractNum w:abstractNumId="1">
    <w:nsid w:val="A519EA14"/>
    <w:multiLevelType w:val="singleLevel"/>
    <w:tmpl w:val="A519EA14"/>
    <w:lvl w:ilvl="0" w:tentative="0">
      <w:start w:val="1"/>
      <w:numFmt w:val="decimal"/>
      <w:lvlText w:val="%1."/>
      <w:lvlJc w:val="left"/>
      <w:pPr>
        <w:ind w:left="425" w:hanging="425"/>
      </w:pPr>
      <w:rPr>
        <w:rFonts w:hint="default"/>
      </w:rPr>
    </w:lvl>
  </w:abstractNum>
  <w:abstractNum w:abstractNumId="2">
    <w:nsid w:val="E1E189D3"/>
    <w:multiLevelType w:val="singleLevel"/>
    <w:tmpl w:val="E1E189D3"/>
    <w:lvl w:ilvl="0" w:tentative="0">
      <w:start w:val="1"/>
      <w:numFmt w:val="decimal"/>
      <w:lvlText w:val="%1."/>
      <w:lvlJc w:val="left"/>
      <w:pPr>
        <w:ind w:left="425" w:hanging="425"/>
      </w:pPr>
      <w:rPr>
        <w:rFonts w:hint="default"/>
      </w:rPr>
    </w:lvl>
  </w:abstractNum>
  <w:abstractNum w:abstractNumId="3">
    <w:nsid w:val="14D84B87"/>
    <w:multiLevelType w:val="multilevel"/>
    <w:tmpl w:val="14D84B87"/>
    <w:lvl w:ilvl="0" w:tentative="0">
      <w:start w:val="1"/>
      <w:numFmt w:val="chineseCountingThousand"/>
      <w:pStyle w:val="2"/>
      <w:lvlText w:val="%1"/>
      <w:lvlJc w:val="left"/>
      <w:pPr>
        <w:ind w:left="425" w:hanging="425"/>
      </w:pPr>
      <w:rPr>
        <w:rFonts w:hint="eastAsia"/>
      </w:rPr>
    </w:lvl>
    <w:lvl w:ilvl="1" w:tentative="0">
      <w:start w:val="1"/>
      <w:numFmt w:val="chineseCountingThousand"/>
      <w:lvlText w:val="(%2)"/>
      <w:lvlJc w:val="left"/>
      <w:pPr>
        <w:ind w:left="850" w:hanging="567"/>
      </w:pPr>
      <w:rPr>
        <w:rFonts w:hint="eastAsia"/>
      </w:rPr>
    </w:lvl>
    <w:lvl w:ilvl="2" w:tentative="0">
      <w:start w:val="1"/>
      <w:numFmt w:val="decimal"/>
      <w:lvlText w:val="%3."/>
      <w:lvlJc w:val="left"/>
      <w:pPr>
        <w:ind w:left="1356" w:hanging="567"/>
      </w:pPr>
      <w:rPr>
        <w:rFonts w:hint="eastAsia"/>
      </w:rPr>
    </w:lvl>
    <w:lvl w:ilvl="3" w:tentative="0">
      <w:start w:val="1"/>
      <w:numFmt w:val="decimal"/>
      <w:isLgl/>
      <w:lvlText w:val="%1.%2.%3.%4"/>
      <w:lvlJc w:val="left"/>
      <w:pPr>
        <w:ind w:left="1984" w:hanging="708"/>
      </w:pPr>
      <w:rPr>
        <w:rFonts w:hint="eastAsia"/>
      </w:rPr>
    </w:lvl>
    <w:lvl w:ilvl="4" w:tentative="0">
      <w:start w:val="1"/>
      <w:numFmt w:val="decimal"/>
      <w:isLgl/>
      <w:lvlText w:val="%1.%2.%3.%4.%5"/>
      <w:lvlJc w:val="left"/>
      <w:pPr>
        <w:ind w:left="2551" w:hanging="850"/>
      </w:pPr>
      <w:rPr>
        <w:rFonts w:hint="eastAsia"/>
      </w:rPr>
    </w:lvl>
    <w:lvl w:ilvl="5" w:tentative="0">
      <w:start w:val="1"/>
      <w:numFmt w:val="decimal"/>
      <w:isLgl/>
      <w:lvlText w:val="%1.%2.%3.%4.%5.%6"/>
      <w:lvlJc w:val="left"/>
      <w:pPr>
        <w:ind w:left="3260" w:hanging="1134"/>
      </w:pPr>
      <w:rPr>
        <w:rFonts w:hint="eastAsia"/>
      </w:rPr>
    </w:lvl>
    <w:lvl w:ilvl="6" w:tentative="0">
      <w:start w:val="1"/>
      <w:numFmt w:val="decimal"/>
      <w:isLgl/>
      <w:lvlText w:val="%1.%2.%3.%4.%5.%6.%7"/>
      <w:lvlJc w:val="left"/>
      <w:pPr>
        <w:ind w:left="3827" w:hanging="1276"/>
      </w:pPr>
      <w:rPr>
        <w:rFonts w:hint="eastAsia"/>
      </w:rPr>
    </w:lvl>
    <w:lvl w:ilvl="7" w:tentative="0">
      <w:start w:val="1"/>
      <w:numFmt w:val="decimal"/>
      <w:isLgl/>
      <w:lvlText w:val="%1.%2.%3.%4.%5.%6.%7.%8"/>
      <w:lvlJc w:val="left"/>
      <w:pPr>
        <w:ind w:left="4394" w:hanging="1418"/>
      </w:pPr>
      <w:rPr>
        <w:rFonts w:hint="eastAsia"/>
      </w:rPr>
    </w:lvl>
    <w:lvl w:ilvl="8" w:tentative="0">
      <w:start w:val="1"/>
      <w:numFmt w:val="decimal"/>
      <w:isLgl/>
      <w:lvlText w:val="%1.%2.%3.%4.%5.%6.%7.%8.%9"/>
      <w:lvlJc w:val="left"/>
      <w:pPr>
        <w:ind w:left="5102" w:hanging="1700"/>
      </w:pPr>
      <w:rPr>
        <w:rFonts w:hint="eastAsia"/>
      </w:rPr>
    </w:lvl>
  </w:abstractNum>
  <w:abstractNum w:abstractNumId="4">
    <w:nsid w:val="1866D8A3"/>
    <w:multiLevelType w:val="singleLevel"/>
    <w:tmpl w:val="1866D8A3"/>
    <w:lvl w:ilvl="0" w:tentative="0">
      <w:start w:val="1"/>
      <w:numFmt w:val="decimal"/>
      <w:lvlText w:val="%1."/>
      <w:lvlJc w:val="left"/>
      <w:pPr>
        <w:ind w:left="425" w:hanging="425"/>
      </w:pPr>
      <w:rPr>
        <w:rFonts w:hint="default"/>
      </w:rPr>
    </w:lvl>
  </w:abstractNum>
  <w:abstractNum w:abstractNumId="5">
    <w:nsid w:val="23EC5C6F"/>
    <w:multiLevelType w:val="multilevel"/>
    <w:tmpl w:val="23EC5C6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1040256"/>
    <w:multiLevelType w:val="singleLevel"/>
    <w:tmpl w:val="31040256"/>
    <w:lvl w:ilvl="0" w:tentative="0">
      <w:start w:val="1"/>
      <w:numFmt w:val="decimal"/>
      <w:lvlText w:val="%1."/>
      <w:lvlJc w:val="left"/>
      <w:pPr>
        <w:ind w:left="425" w:hanging="425"/>
      </w:pPr>
      <w:rPr>
        <w:rFonts w:hint="default"/>
      </w:rPr>
    </w:lvl>
  </w:abstractNum>
  <w:abstractNum w:abstractNumId="7">
    <w:nsid w:val="5CB42127"/>
    <w:multiLevelType w:val="singleLevel"/>
    <w:tmpl w:val="5CB42127"/>
    <w:lvl w:ilvl="0" w:tentative="0">
      <w:start w:val="1"/>
      <w:numFmt w:val="decimal"/>
      <w:lvlText w:val="%1."/>
      <w:lvlJc w:val="left"/>
      <w:pPr>
        <w:ind w:left="425" w:hanging="425"/>
      </w:pPr>
      <w:rPr>
        <w:rFonts w:hint="default"/>
      </w:rPr>
    </w:lvl>
  </w:abstractNum>
  <w:num w:numId="1">
    <w:abstractNumId w:val="3"/>
  </w:num>
  <w:num w:numId="2">
    <w:abstractNumId w:val="5"/>
  </w:num>
  <w:num w:numId="3">
    <w:abstractNumId w:val="2"/>
  </w:num>
  <w:num w:numId="4">
    <w:abstractNumId w:val="0"/>
  </w:num>
  <w:num w:numId="5">
    <w:abstractNumId w:val="1"/>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2DF"/>
    <w:rsid w:val="000E2410"/>
    <w:rsid w:val="001A11FC"/>
    <w:rsid w:val="001A1C12"/>
    <w:rsid w:val="002A29C0"/>
    <w:rsid w:val="00306E6E"/>
    <w:rsid w:val="003E62DF"/>
    <w:rsid w:val="00435C7C"/>
    <w:rsid w:val="00481560"/>
    <w:rsid w:val="00491534"/>
    <w:rsid w:val="004D3BA6"/>
    <w:rsid w:val="005D449A"/>
    <w:rsid w:val="006A3CAE"/>
    <w:rsid w:val="006C202C"/>
    <w:rsid w:val="008C322F"/>
    <w:rsid w:val="00A140D3"/>
    <w:rsid w:val="00B759E0"/>
    <w:rsid w:val="00D5380E"/>
    <w:rsid w:val="00DC1FBB"/>
    <w:rsid w:val="00E61AD4"/>
    <w:rsid w:val="00F13AA1"/>
    <w:rsid w:val="02897931"/>
    <w:rsid w:val="02F348A7"/>
    <w:rsid w:val="037A38B6"/>
    <w:rsid w:val="038608DA"/>
    <w:rsid w:val="05E60E91"/>
    <w:rsid w:val="06DF14B2"/>
    <w:rsid w:val="072D1BC9"/>
    <w:rsid w:val="072E01FC"/>
    <w:rsid w:val="08741252"/>
    <w:rsid w:val="0926412B"/>
    <w:rsid w:val="09462CCE"/>
    <w:rsid w:val="096C0B39"/>
    <w:rsid w:val="0A791D80"/>
    <w:rsid w:val="0C945850"/>
    <w:rsid w:val="0CA320AE"/>
    <w:rsid w:val="0D6347AD"/>
    <w:rsid w:val="0EA96D07"/>
    <w:rsid w:val="0F2A1F3D"/>
    <w:rsid w:val="0FF74205"/>
    <w:rsid w:val="109B068D"/>
    <w:rsid w:val="11C82C45"/>
    <w:rsid w:val="14782DB8"/>
    <w:rsid w:val="147A2AA8"/>
    <w:rsid w:val="14AF00BD"/>
    <w:rsid w:val="153D4F2B"/>
    <w:rsid w:val="165C1DAE"/>
    <w:rsid w:val="16ED2D59"/>
    <w:rsid w:val="174D1CA9"/>
    <w:rsid w:val="17536FF6"/>
    <w:rsid w:val="17541870"/>
    <w:rsid w:val="18BB781D"/>
    <w:rsid w:val="19151124"/>
    <w:rsid w:val="196C491C"/>
    <w:rsid w:val="1A251034"/>
    <w:rsid w:val="1AA944D3"/>
    <w:rsid w:val="1B5C436C"/>
    <w:rsid w:val="1B91509A"/>
    <w:rsid w:val="1BB45504"/>
    <w:rsid w:val="1D3D4861"/>
    <w:rsid w:val="1D9262D5"/>
    <w:rsid w:val="1EE72EA6"/>
    <w:rsid w:val="20890C67"/>
    <w:rsid w:val="20E00C0C"/>
    <w:rsid w:val="22293C01"/>
    <w:rsid w:val="224243ED"/>
    <w:rsid w:val="22EF30B5"/>
    <w:rsid w:val="24767856"/>
    <w:rsid w:val="248260F2"/>
    <w:rsid w:val="24DA1462"/>
    <w:rsid w:val="251F0377"/>
    <w:rsid w:val="25D43FBF"/>
    <w:rsid w:val="26AA16D4"/>
    <w:rsid w:val="26D144D4"/>
    <w:rsid w:val="274461FB"/>
    <w:rsid w:val="284C2F0D"/>
    <w:rsid w:val="28697D88"/>
    <w:rsid w:val="290632D5"/>
    <w:rsid w:val="292E4C2A"/>
    <w:rsid w:val="2C6E439E"/>
    <w:rsid w:val="2CA67011"/>
    <w:rsid w:val="2E55261B"/>
    <w:rsid w:val="32B46B9D"/>
    <w:rsid w:val="32BC21BB"/>
    <w:rsid w:val="34906983"/>
    <w:rsid w:val="34A02F04"/>
    <w:rsid w:val="359F6A89"/>
    <w:rsid w:val="35B8118E"/>
    <w:rsid w:val="36750573"/>
    <w:rsid w:val="367D4F11"/>
    <w:rsid w:val="37006A07"/>
    <w:rsid w:val="395E45E1"/>
    <w:rsid w:val="3A6B617C"/>
    <w:rsid w:val="3A9440D1"/>
    <w:rsid w:val="3A965B44"/>
    <w:rsid w:val="3B4F3BCB"/>
    <w:rsid w:val="3B4F7C76"/>
    <w:rsid w:val="3B786334"/>
    <w:rsid w:val="3BBC6593"/>
    <w:rsid w:val="3C9A5C48"/>
    <w:rsid w:val="3D25708F"/>
    <w:rsid w:val="3D655CAD"/>
    <w:rsid w:val="3DCF123E"/>
    <w:rsid w:val="3E6A003B"/>
    <w:rsid w:val="3EFF1210"/>
    <w:rsid w:val="3FAB6ABD"/>
    <w:rsid w:val="3FFE146B"/>
    <w:rsid w:val="4062693B"/>
    <w:rsid w:val="41971DBD"/>
    <w:rsid w:val="4325469D"/>
    <w:rsid w:val="436E3C65"/>
    <w:rsid w:val="44511123"/>
    <w:rsid w:val="455A3219"/>
    <w:rsid w:val="457173F8"/>
    <w:rsid w:val="459844AF"/>
    <w:rsid w:val="46400634"/>
    <w:rsid w:val="477A5376"/>
    <w:rsid w:val="47FA24B7"/>
    <w:rsid w:val="480C0CC5"/>
    <w:rsid w:val="49040095"/>
    <w:rsid w:val="49C017DB"/>
    <w:rsid w:val="4A860F54"/>
    <w:rsid w:val="4AB03FBC"/>
    <w:rsid w:val="4B7F2C4C"/>
    <w:rsid w:val="4BC014F3"/>
    <w:rsid w:val="4BF413EA"/>
    <w:rsid w:val="4D620AB1"/>
    <w:rsid w:val="4F640350"/>
    <w:rsid w:val="507D710A"/>
    <w:rsid w:val="50844495"/>
    <w:rsid w:val="508670F0"/>
    <w:rsid w:val="50A873B9"/>
    <w:rsid w:val="529B480F"/>
    <w:rsid w:val="52A20945"/>
    <w:rsid w:val="52C84CF5"/>
    <w:rsid w:val="54361EC0"/>
    <w:rsid w:val="543D0979"/>
    <w:rsid w:val="54E82BB7"/>
    <w:rsid w:val="5538368B"/>
    <w:rsid w:val="55B43D13"/>
    <w:rsid w:val="561E309A"/>
    <w:rsid w:val="562C3FA0"/>
    <w:rsid w:val="56864135"/>
    <w:rsid w:val="585573E7"/>
    <w:rsid w:val="5969625D"/>
    <w:rsid w:val="5978391F"/>
    <w:rsid w:val="5A334C18"/>
    <w:rsid w:val="5A510904"/>
    <w:rsid w:val="5C2974BB"/>
    <w:rsid w:val="5C4B79F0"/>
    <w:rsid w:val="5C6164F3"/>
    <w:rsid w:val="5DA44563"/>
    <w:rsid w:val="5EEF047E"/>
    <w:rsid w:val="606A2F3D"/>
    <w:rsid w:val="607B2E53"/>
    <w:rsid w:val="63D629BA"/>
    <w:rsid w:val="63EF6D4C"/>
    <w:rsid w:val="658F4F93"/>
    <w:rsid w:val="65EF576E"/>
    <w:rsid w:val="66670C8A"/>
    <w:rsid w:val="67234BE8"/>
    <w:rsid w:val="67C37F93"/>
    <w:rsid w:val="68B72934"/>
    <w:rsid w:val="69393AB2"/>
    <w:rsid w:val="69A9737D"/>
    <w:rsid w:val="6A5B6461"/>
    <w:rsid w:val="6AF04AD9"/>
    <w:rsid w:val="6B9E401E"/>
    <w:rsid w:val="6C1A6998"/>
    <w:rsid w:val="6E997F8E"/>
    <w:rsid w:val="6FA27825"/>
    <w:rsid w:val="703F2264"/>
    <w:rsid w:val="711C77D0"/>
    <w:rsid w:val="71C603E8"/>
    <w:rsid w:val="72A526E9"/>
    <w:rsid w:val="73051406"/>
    <w:rsid w:val="73F71B2F"/>
    <w:rsid w:val="7524075C"/>
    <w:rsid w:val="76C64F98"/>
    <w:rsid w:val="79792DFF"/>
    <w:rsid w:val="7A5D4EAE"/>
    <w:rsid w:val="7AB427B8"/>
    <w:rsid w:val="7B5E4E46"/>
    <w:rsid w:val="7BAE3D6D"/>
    <w:rsid w:val="7C783E6A"/>
    <w:rsid w:val="7EAD7A49"/>
    <w:rsid w:val="7ED45A9B"/>
    <w:rsid w:val="7F3366EB"/>
    <w:rsid w:val="7F5F4ECC"/>
    <w:rsid w:val="7F895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spacing w:after="120"/>
    </w:pPr>
    <w:rPr>
      <w:rFonts w:ascii="Times New Roman" w:hAnsi="Times New Roman"/>
      <w:kern w:val="0"/>
      <w:sz w:val="20"/>
      <w:szCs w:val="24"/>
      <w:lang w:val="zh-CN"/>
    </w:rPr>
  </w:style>
  <w:style w:type="paragraph" w:styleId="5">
    <w:name w:val="Body Text Indent"/>
    <w:basedOn w:val="1"/>
    <w:next w:val="6"/>
    <w:qFormat/>
    <w:uiPriority w:val="0"/>
    <w:pPr>
      <w:spacing w:line="360" w:lineRule="auto"/>
    </w:pPr>
    <w:rPr>
      <w:rFonts w:ascii="宋体"/>
      <w:szCs w:val="20"/>
    </w:rPr>
  </w:style>
  <w:style w:type="paragraph" w:styleId="6">
    <w:name w:val="envelope return"/>
    <w:basedOn w:val="1"/>
    <w:semiHidden/>
    <w:qFormat/>
    <w:uiPriority w:val="0"/>
    <w:pPr>
      <w:snapToGrid w:val="0"/>
    </w:pPr>
    <w:rPr>
      <w:rFonts w:ascii="Arial" w:hAnsi="Arial" w:cs="Arial"/>
      <w:sz w:val="24"/>
    </w:rPr>
  </w:style>
  <w:style w:type="paragraph" w:styleId="7">
    <w:name w:val="Body Text Indent 2"/>
    <w:basedOn w:val="1"/>
    <w:qFormat/>
    <w:uiPriority w:val="0"/>
    <w:pPr>
      <w:ind w:firstLine="630"/>
    </w:pPr>
    <w:rPr>
      <w:sz w:val="32"/>
      <w:szCs w:val="20"/>
    </w:rPr>
  </w:style>
  <w:style w:type="paragraph" w:styleId="8">
    <w:name w:val="footer"/>
    <w:basedOn w:val="1"/>
    <w:link w:val="18"/>
    <w:qFormat/>
    <w:uiPriority w:val="0"/>
    <w:pPr>
      <w:tabs>
        <w:tab w:val="center" w:pos="4153"/>
        <w:tab w:val="right" w:pos="8306"/>
      </w:tabs>
      <w:snapToGrid w:val="0"/>
      <w:jc w:val="left"/>
    </w:pPr>
    <w:rPr>
      <w:sz w:val="18"/>
      <w:szCs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rPr>
      <w:sz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styleId="15">
    <w:name w:val="List Paragraph"/>
    <w:basedOn w:val="1"/>
    <w:qFormat/>
    <w:uiPriority w:val="34"/>
    <w:pPr>
      <w:ind w:firstLine="420" w:firstLineChars="200"/>
    </w:pPr>
  </w:style>
  <w:style w:type="paragraph" w:customStyle="1" w:styleId="16">
    <w:name w:val="p15"/>
    <w:basedOn w:val="1"/>
    <w:qFormat/>
    <w:uiPriority w:val="0"/>
    <w:pPr>
      <w:widowControl/>
      <w:ind w:firstLine="420"/>
    </w:pPr>
    <w:rPr>
      <w:kern w:val="0"/>
      <w:szCs w:val="21"/>
    </w:rPr>
  </w:style>
  <w:style w:type="character" w:customStyle="1" w:styleId="17">
    <w:name w:val="页眉 字符"/>
    <w:basedOn w:val="13"/>
    <w:link w:val="9"/>
    <w:qFormat/>
    <w:uiPriority w:val="0"/>
    <w:rPr>
      <w:rFonts w:asciiTheme="minorHAnsi" w:hAnsiTheme="minorHAnsi" w:eastAsiaTheme="minorEastAsia" w:cstheme="minorBidi"/>
      <w:kern w:val="2"/>
      <w:sz w:val="18"/>
      <w:szCs w:val="18"/>
    </w:rPr>
  </w:style>
  <w:style w:type="character" w:customStyle="1" w:styleId="18">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9527</Words>
  <Characters>10335</Characters>
  <Lines>26</Lines>
  <Paragraphs>7</Paragraphs>
  <TotalTime>1</TotalTime>
  <ScaleCrop>false</ScaleCrop>
  <LinksUpToDate>false</LinksUpToDate>
  <CharactersWithSpaces>10392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2021-09-14T03:36:00Z</dcterms:created>
  <dc:creator>LGYY-USER</dc:creator>
  <cp:lastModifiedBy>天空</cp:lastModifiedBy>
  <dcterms:modified xsi:type="dcterms:W3CDTF">2026-08-19T09:17:46Z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eyJoZGlkIjoiYTRiMjI1NTRjYTU0YzUyY2Y5NGVkYmZjOTNkMWE4NWIiLCJ1c2VySWQiOiIxMTU2NzgxMTU1In0=</vt:lpwstr>
  </property>
  <property fmtid="{D5CDD505-2E9C-101B-9397-08002B2CF9AE}" pid="4" name="ICV">
    <vt:lpwstr>350778770C67497489FABA7128C7041E_12</vt:lpwstr>
  </property>
</Properties>
</file>