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EE67C">
      <w:pPr>
        <w:jc w:val="center"/>
        <w:rPr>
          <w:rFonts w:hint="eastAsia" w:ascii="仿宋" w:hAnsi="仿宋" w:eastAsia="仿宋" w:cs="仿宋"/>
          <w:b/>
          <w:bCs/>
          <w:sz w:val="21"/>
          <w:szCs w:val="21"/>
        </w:rPr>
      </w:pPr>
      <w:r>
        <w:rPr>
          <w:rFonts w:hint="eastAsia" w:ascii="方正小标宋简体" w:hAnsi="方正小标宋简体" w:eastAsia="方正小标宋简体" w:cs="方正小标宋简体"/>
          <w:b/>
          <w:bCs/>
          <w:sz w:val="36"/>
          <w:szCs w:val="36"/>
        </w:rPr>
        <w:t>柳州市工人医院</w:t>
      </w:r>
      <w:r>
        <w:rPr>
          <w:rFonts w:hint="eastAsia" w:ascii="方正公文小标宋" w:hAnsi="方正公文小标宋" w:eastAsia="方正公文小标宋" w:cs="方正公文小标宋"/>
          <w:sz w:val="36"/>
          <w:szCs w:val="36"/>
        </w:rPr>
        <w:t>体检餐厅</w:t>
      </w:r>
      <w:r>
        <w:rPr>
          <w:rFonts w:hint="eastAsia" w:ascii="方正公文小标宋" w:hAnsi="方正公文小标宋" w:eastAsia="方正公文小标宋" w:cs="方正公文小标宋"/>
          <w:sz w:val="36"/>
          <w:szCs w:val="36"/>
          <w:lang w:val="en-US" w:eastAsia="zh-CN"/>
        </w:rPr>
        <w:t>餐台</w:t>
      </w:r>
      <w:r>
        <w:rPr>
          <w:rFonts w:hint="eastAsia" w:ascii="方正小标宋简体" w:hAnsi="方正小标宋简体" w:eastAsia="方正小标宋简体" w:cs="方正小标宋简体"/>
          <w:b/>
          <w:bCs/>
          <w:sz w:val="36"/>
          <w:szCs w:val="36"/>
        </w:rPr>
        <w:t>采购</w:t>
      </w:r>
      <w:r>
        <w:rPr>
          <w:rFonts w:hint="eastAsia" w:ascii="方正小标宋简体" w:hAnsi="方正小标宋简体" w:eastAsia="方正小标宋简体" w:cs="方正小标宋简体"/>
          <w:b/>
          <w:bCs/>
          <w:sz w:val="36"/>
          <w:szCs w:val="36"/>
          <w:lang w:val="en-US" w:eastAsia="zh-CN"/>
        </w:rPr>
        <w:t>需求</w:t>
      </w:r>
    </w:p>
    <w:p w14:paraId="5B47D538">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项目名称</w:t>
      </w:r>
    </w:p>
    <w:p w14:paraId="4871403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柳州市工人医院体检餐厅</w:t>
      </w:r>
      <w:r>
        <w:rPr>
          <w:rFonts w:hint="eastAsia" w:ascii="仿宋" w:hAnsi="仿宋" w:eastAsia="仿宋" w:cs="仿宋"/>
          <w:b w:val="0"/>
          <w:bCs w:val="0"/>
          <w:sz w:val="28"/>
          <w:szCs w:val="28"/>
          <w:lang w:val="en-US" w:eastAsia="zh-CN"/>
        </w:rPr>
        <w:t>餐台</w:t>
      </w:r>
      <w:r>
        <w:rPr>
          <w:rFonts w:hint="eastAsia" w:ascii="仿宋" w:hAnsi="仿宋" w:eastAsia="仿宋" w:cs="仿宋"/>
          <w:b w:val="0"/>
          <w:bCs w:val="0"/>
          <w:sz w:val="28"/>
          <w:szCs w:val="28"/>
        </w:rPr>
        <w:t>采购</w:t>
      </w:r>
    </w:p>
    <w:p w14:paraId="17A6774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0" w:firstLineChars="0"/>
        <w:textAlignment w:val="auto"/>
        <w:rPr>
          <w:rFonts w:hint="eastAsia" w:ascii="仿宋" w:hAnsi="仿宋" w:eastAsia="仿宋" w:cs="仿宋"/>
          <w:b/>
          <w:bCs/>
          <w:sz w:val="28"/>
          <w:szCs w:val="28"/>
        </w:rPr>
      </w:pPr>
      <w:r>
        <w:rPr>
          <w:rFonts w:hint="eastAsia" w:ascii="仿宋" w:hAnsi="仿宋" w:eastAsia="仿宋" w:cs="仿宋"/>
          <w:b/>
          <w:bCs/>
          <w:sz w:val="28"/>
          <w:szCs w:val="28"/>
        </w:rPr>
        <w:t>项目概况</w:t>
      </w:r>
    </w:p>
    <w:p w14:paraId="0A60B7A8">
      <w:pPr>
        <w:spacing w:line="500" w:lineRule="exact"/>
        <w:ind w:firstLine="480"/>
        <w:rPr>
          <w:rFonts w:hint="eastAsia" w:ascii="仿宋" w:hAnsi="仿宋" w:eastAsia="仿宋" w:cs="仿宋"/>
          <w:sz w:val="28"/>
          <w:szCs w:val="28"/>
          <w:lang w:eastAsia="zh-CN"/>
        </w:rPr>
      </w:pPr>
      <w:r>
        <w:rPr>
          <w:rFonts w:hint="eastAsia" w:ascii="仿宋" w:hAnsi="仿宋" w:eastAsia="仿宋" w:cs="仿宋"/>
          <w:sz w:val="28"/>
          <w:szCs w:val="28"/>
          <w:lang w:val="en-US" w:eastAsia="zh-CN"/>
        </w:rPr>
        <w:t>为进一步改善体检餐厅就餐环境、提升服务保障能力，医院对体检餐厅进行整体升级改造</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配备自助餐台，现对体检餐厅餐台进行定制采购。</w:t>
      </w:r>
    </w:p>
    <w:p w14:paraId="073EB7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三、供应商资质条件</w:t>
      </w:r>
    </w:p>
    <w:p w14:paraId="673BBC3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投标人需为国内注册（指按国家有关规定要求注册的）生产或经营本次招标采购货物及服务，具备法人资格的供应商。</w:t>
      </w:r>
    </w:p>
    <w:p w14:paraId="38A8684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投标人三年内在经营活动中没有重大违法记录和不良信用记录。</w:t>
      </w:r>
    </w:p>
    <w:p w14:paraId="000ABA1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投标人有效的“营业执照”副本复印件。</w:t>
      </w:r>
    </w:p>
    <w:p w14:paraId="134E8DA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投标人有效的“税务登记证”副本复印件</w:t>
      </w:r>
      <w:r>
        <w:rPr>
          <w:rFonts w:hint="eastAsia" w:ascii="仿宋" w:hAnsi="仿宋" w:eastAsia="仿宋" w:cs="仿宋"/>
          <w:sz w:val="28"/>
          <w:szCs w:val="28"/>
          <w:lang w:eastAsia="zh-CN"/>
        </w:rPr>
        <w:t>（</w:t>
      </w:r>
      <w:r>
        <w:rPr>
          <w:rFonts w:hint="eastAsia" w:ascii="仿宋" w:hAnsi="仿宋" w:eastAsia="仿宋" w:cs="Times New Roman"/>
          <w:bCs/>
          <w:sz w:val="28"/>
          <w:szCs w:val="28"/>
        </w:rPr>
        <w:t>三证合一除外</w:t>
      </w:r>
      <w:r>
        <w:rPr>
          <w:rFonts w:hint="eastAsia" w:ascii="仿宋" w:hAnsi="仿宋" w:eastAsia="仿宋" w:cs="仿宋"/>
          <w:sz w:val="28"/>
          <w:szCs w:val="28"/>
          <w:lang w:eastAsia="zh-CN"/>
        </w:rPr>
        <w:t>）</w:t>
      </w:r>
      <w:r>
        <w:rPr>
          <w:rFonts w:hint="eastAsia" w:ascii="仿宋" w:hAnsi="仿宋" w:eastAsia="仿宋" w:cs="仿宋"/>
          <w:sz w:val="28"/>
          <w:szCs w:val="28"/>
        </w:rPr>
        <w:t>。</w:t>
      </w:r>
    </w:p>
    <w:p w14:paraId="639A5C68">
      <w:pPr>
        <w:numPr>
          <w:ilvl w:val="0"/>
          <w:numId w:val="2"/>
        </w:numPr>
        <w:spacing w:line="560" w:lineRule="exact"/>
        <w:rPr>
          <w:rFonts w:hint="eastAsia" w:ascii="仿宋" w:hAnsi="仿宋" w:eastAsia="仿宋" w:cs="仿宋"/>
          <w:b/>
          <w:bCs/>
          <w:sz w:val="28"/>
          <w:szCs w:val="28"/>
        </w:rPr>
      </w:pPr>
      <w:r>
        <w:rPr>
          <w:rFonts w:hint="eastAsia" w:ascii="仿宋" w:hAnsi="仿宋" w:eastAsia="仿宋" w:cs="仿宋"/>
          <w:b/>
          <w:bCs/>
          <w:sz w:val="28"/>
          <w:szCs w:val="28"/>
        </w:rPr>
        <w:t>物资具体参数</w:t>
      </w:r>
    </w:p>
    <w:p w14:paraId="26DCA2C1">
      <w:pPr>
        <w:spacing w:line="560" w:lineRule="exact"/>
        <w:ind w:firstLine="560" w:firstLineChars="20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采购内容：</w:t>
      </w:r>
    </w:p>
    <w:tbl>
      <w:tblPr>
        <w:tblStyle w:val="7"/>
        <w:tblW w:w="10258" w:type="dxa"/>
        <w:tblInd w:w="-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0"/>
        <w:gridCol w:w="1155"/>
        <w:gridCol w:w="2160"/>
        <w:gridCol w:w="5130"/>
        <w:gridCol w:w="495"/>
        <w:gridCol w:w="628"/>
      </w:tblGrid>
      <w:tr w14:paraId="11615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9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3A1289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155"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984BBE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名称</w:t>
            </w:r>
          </w:p>
        </w:tc>
        <w:tc>
          <w:tcPr>
            <w:tcW w:w="216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5310D8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规格颜色</w:t>
            </w:r>
          </w:p>
        </w:tc>
        <w:tc>
          <w:tcPr>
            <w:tcW w:w="513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5F47A7C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材质</w:t>
            </w:r>
          </w:p>
        </w:tc>
        <w:tc>
          <w:tcPr>
            <w:tcW w:w="495"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505C975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628"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E6E35C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r>
      <w:tr w14:paraId="0A3E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6FAE80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113E52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自助餐台</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5F1F531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7000长*(650+150)宽*800台面高/300档台高</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F9BB7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柜体采用高密度纤维板基材，防火板饰面；储物层为板式，其他阴影部分均包浅色岩板；储物层配灯带，档台配插座、走线管。</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2287B12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28" w:type="dxa"/>
            <w:tcBorders>
              <w:top w:val="single" w:color="000000" w:sz="4" w:space="0"/>
              <w:left w:val="single" w:color="000000" w:sz="4" w:space="0"/>
              <w:bottom w:val="single" w:color="000000" w:sz="4" w:space="0"/>
              <w:right w:val="single" w:color="000000" w:sz="4" w:space="0"/>
            </w:tcBorders>
            <w:noWrap w:val="0"/>
            <w:vAlign w:val="center"/>
          </w:tcPr>
          <w:p w14:paraId="5E3FC82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5FB52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584664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63A7D79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操作台</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52A25D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6400长*500宽*800台面高/300档条高</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5748AE7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柜体采用高密度纤维板基材，防火板饰面；台面、档条、踢脚线阴影部分为浅色岩板，柜门隐形拉手；与取粉台连接处墙面，根据现场情况贴挡水条。</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434A05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28" w:type="dxa"/>
            <w:tcBorders>
              <w:top w:val="single" w:color="000000" w:sz="4" w:space="0"/>
              <w:left w:val="single" w:color="000000" w:sz="4" w:space="0"/>
              <w:bottom w:val="single" w:color="000000" w:sz="4" w:space="0"/>
              <w:right w:val="single" w:color="000000" w:sz="4" w:space="0"/>
            </w:tcBorders>
            <w:noWrap w:val="0"/>
            <w:vAlign w:val="center"/>
          </w:tcPr>
          <w:p w14:paraId="5F4109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2525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D50C7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1CD80F3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取粉台</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4A2CB7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1200长*500宽*800高</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265CE2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柜体采用高密度纤维板基材，防火板饰面；台面及内外侧踢脚线均包浅色岩板。</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460F1F6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28" w:type="dxa"/>
            <w:tcBorders>
              <w:top w:val="single" w:color="000000" w:sz="4" w:space="0"/>
              <w:left w:val="single" w:color="000000" w:sz="4" w:space="0"/>
              <w:bottom w:val="single" w:color="000000" w:sz="4" w:space="0"/>
              <w:right w:val="single" w:color="000000" w:sz="4" w:space="0"/>
            </w:tcBorders>
            <w:noWrap w:val="0"/>
            <w:vAlign w:val="center"/>
          </w:tcPr>
          <w:p w14:paraId="40F6D8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25B4E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492A83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1A2CD4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收残台</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44FEA0B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1500长*700宽*800高</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34438B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全304不锈钢材质，收残柜托盘带橡胶万向轮，收残口带翻转盖，口径248mm；2个收餐盘带把手方便拿放。</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6F2384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28" w:type="dxa"/>
            <w:tcBorders>
              <w:top w:val="single" w:color="000000" w:sz="4" w:space="0"/>
              <w:left w:val="single" w:color="000000" w:sz="4" w:space="0"/>
              <w:bottom w:val="single" w:color="000000" w:sz="4" w:space="0"/>
              <w:right w:val="single" w:color="000000" w:sz="4" w:space="0"/>
            </w:tcBorders>
            <w:noWrap w:val="0"/>
            <w:vAlign w:val="center"/>
          </w:tcPr>
          <w:p w14:paraId="2E9B5B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r w14:paraId="31E8D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D9C40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3796E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花箱隔断</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14:paraId="5C4DBFD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3500*250*3000高</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344B7B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1、材质采用25*25mm镀锌管，镀锌管1.0mm壁厚，经高压静电喷漆，具有抗腐、防锈、耐磨、无油漆味等特点；工艺要求表面平整光滑。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2、安装方式：需与地面及侧面或者天面打钉固定。</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1DBBA0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28" w:type="dxa"/>
            <w:tcBorders>
              <w:top w:val="single" w:color="000000" w:sz="4" w:space="0"/>
              <w:left w:val="single" w:color="000000" w:sz="4" w:space="0"/>
              <w:bottom w:val="single" w:color="000000" w:sz="4" w:space="0"/>
              <w:right w:val="single" w:color="000000" w:sz="4" w:space="0"/>
            </w:tcBorders>
            <w:noWrap w:val="0"/>
            <w:vAlign w:val="center"/>
          </w:tcPr>
          <w:p w14:paraId="41C900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组</w:t>
            </w:r>
          </w:p>
        </w:tc>
      </w:tr>
    </w:tbl>
    <w:p w14:paraId="56A759B1">
      <w:pPr>
        <w:spacing w:line="560" w:lineRule="exact"/>
        <w:rPr>
          <w:rFonts w:hint="eastAsia" w:ascii="仿宋" w:hAnsi="仿宋" w:eastAsia="仿宋" w:cs="仿宋"/>
          <w:sz w:val="28"/>
          <w:szCs w:val="28"/>
        </w:rPr>
      </w:pPr>
      <w:r>
        <w:rPr>
          <w:rFonts w:hint="eastAsia" w:ascii="仿宋" w:hAnsi="仿宋" w:eastAsia="仿宋" w:cs="仿宋"/>
          <w:b/>
          <w:bCs/>
          <w:sz w:val="28"/>
          <w:szCs w:val="28"/>
        </w:rPr>
        <w:t>五、物资属性及相关要求</w:t>
      </w:r>
    </w:p>
    <w:p w14:paraId="1BF75EDA">
      <w:pPr>
        <w:pStyle w:val="9"/>
        <w:keepNext w:val="0"/>
        <w:keepLines w:val="0"/>
        <w:pageBreakBefore w:val="0"/>
        <w:widowControl w:val="0"/>
        <w:kinsoku/>
        <w:wordWrap/>
        <w:overflowPunct/>
        <w:topLinePunct w:val="0"/>
        <w:autoSpaceDE/>
        <w:autoSpaceDN/>
        <w:bidi w:val="0"/>
        <w:adjustRightInd/>
        <w:snapToGrid/>
        <w:spacing w:line="440" w:lineRule="exact"/>
        <w:ind w:firstLine="600"/>
        <w:textAlignment w:val="auto"/>
        <w:rPr>
          <w:rFonts w:hint="eastAsia" w:ascii="仿宋" w:hAnsi="仿宋" w:eastAsia="仿宋" w:cs="仿宋"/>
          <w:sz w:val="28"/>
          <w:szCs w:val="28"/>
          <w:lang w:eastAsia="zh-CN"/>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投标人</w:t>
      </w:r>
      <w:r>
        <w:rPr>
          <w:rFonts w:hint="eastAsia" w:ascii="仿宋" w:hAnsi="仿宋" w:eastAsia="仿宋" w:cs="仿宋"/>
          <w:sz w:val="28"/>
          <w:szCs w:val="28"/>
        </w:rPr>
        <w:t>确保所供应产品</w:t>
      </w:r>
      <w:r>
        <w:rPr>
          <w:rFonts w:hint="eastAsia" w:ascii="仿宋" w:hAnsi="仿宋" w:eastAsia="仿宋" w:cs="仿宋"/>
          <w:sz w:val="28"/>
          <w:szCs w:val="28"/>
          <w:lang w:val="en-US" w:eastAsia="zh-CN"/>
        </w:rPr>
        <w:t>必须</w:t>
      </w:r>
      <w:r>
        <w:rPr>
          <w:rFonts w:hint="eastAsia" w:ascii="仿宋" w:hAnsi="仿宋" w:eastAsia="仿宋" w:cs="仿宋"/>
          <w:sz w:val="28"/>
          <w:szCs w:val="28"/>
        </w:rPr>
        <w:t>符合</w:t>
      </w:r>
      <w:r>
        <w:rPr>
          <w:rFonts w:hint="eastAsia" w:ascii="仿宋" w:hAnsi="仿宋" w:eastAsia="仿宋" w:cs="仿宋"/>
          <w:sz w:val="28"/>
          <w:szCs w:val="28"/>
          <w:lang w:val="en-US" w:eastAsia="zh-CN"/>
        </w:rPr>
        <w:t>以上</w:t>
      </w:r>
      <w:r>
        <w:rPr>
          <w:rFonts w:hint="eastAsia" w:ascii="仿宋" w:hAnsi="仿宋" w:eastAsia="仿宋" w:cs="仿宋"/>
          <w:sz w:val="28"/>
          <w:szCs w:val="28"/>
        </w:rPr>
        <w:t>要求</w:t>
      </w:r>
      <w:r>
        <w:rPr>
          <w:rFonts w:hint="eastAsia" w:ascii="仿宋" w:hAnsi="仿宋" w:eastAsia="仿宋" w:cs="仿宋"/>
          <w:sz w:val="28"/>
          <w:szCs w:val="28"/>
          <w:lang w:eastAsia="zh-CN"/>
        </w:rPr>
        <w:t>，</w:t>
      </w:r>
      <w:r>
        <w:rPr>
          <w:rFonts w:hint="eastAsia" w:ascii="仿宋" w:hAnsi="仿宋" w:eastAsia="仿宋" w:cs="Times New Roman"/>
          <w:bCs/>
          <w:sz w:val="28"/>
          <w:szCs w:val="28"/>
        </w:rPr>
        <w:t>必须保证设计成果文件属于原创，若涉及侵权，由参与企业自行承担相关责任与后果</w:t>
      </w:r>
      <w:r>
        <w:rPr>
          <w:rFonts w:hint="eastAsia" w:ascii="仿宋" w:hAnsi="仿宋" w:eastAsia="仿宋" w:cs="Times New Roman"/>
          <w:bCs/>
          <w:sz w:val="28"/>
          <w:szCs w:val="28"/>
          <w:lang w:eastAsia="zh-CN"/>
        </w:rPr>
        <w:t>。</w:t>
      </w:r>
    </w:p>
    <w:p w14:paraId="287192B8">
      <w:pPr>
        <w:pStyle w:val="9"/>
        <w:keepNext w:val="0"/>
        <w:keepLines w:val="0"/>
        <w:pageBreakBefore w:val="0"/>
        <w:widowControl w:val="0"/>
        <w:kinsoku/>
        <w:wordWrap/>
        <w:overflowPunct/>
        <w:topLinePunct w:val="0"/>
        <w:autoSpaceDE/>
        <w:autoSpaceDN/>
        <w:bidi w:val="0"/>
        <w:adjustRightInd/>
        <w:snapToGrid/>
        <w:spacing w:line="440" w:lineRule="exact"/>
        <w:ind w:firstLine="6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交货后如出现个别</w:t>
      </w:r>
      <w:r>
        <w:rPr>
          <w:rFonts w:hint="eastAsia" w:ascii="仿宋" w:hAnsi="仿宋" w:eastAsia="仿宋" w:cs="仿宋"/>
          <w:sz w:val="28"/>
          <w:szCs w:val="28"/>
          <w:lang w:val="en-US" w:eastAsia="zh-CN"/>
        </w:rPr>
        <w:t>产品不符合质量要求</w:t>
      </w:r>
      <w:r>
        <w:rPr>
          <w:rFonts w:hint="eastAsia" w:ascii="仿宋" w:hAnsi="仿宋" w:eastAsia="仿宋" w:cs="仿宋"/>
          <w:sz w:val="28"/>
          <w:szCs w:val="28"/>
        </w:rPr>
        <w:t>的情况，供应商应无条件给予更换。</w:t>
      </w:r>
    </w:p>
    <w:p w14:paraId="4A9E0FDD">
      <w:pPr>
        <w:pStyle w:val="9"/>
        <w:spacing w:line="420" w:lineRule="exact"/>
        <w:ind w:firstLine="600"/>
        <w:rPr>
          <w:rFonts w:hint="eastAsia" w:ascii="仿宋" w:hAnsi="仿宋" w:eastAsia="仿宋" w:cs="仿宋"/>
          <w:sz w:val="28"/>
          <w:szCs w:val="28"/>
          <w:lang w:eastAsia="zh-CN"/>
        </w:rPr>
      </w:pPr>
      <w:r>
        <w:rPr>
          <w:rFonts w:hint="eastAsia" w:ascii="仿宋" w:hAnsi="仿宋" w:eastAsia="仿宋" w:cs="仿宋"/>
          <w:sz w:val="28"/>
          <w:szCs w:val="28"/>
          <w:lang w:val="en-US" w:eastAsia="zh-CN"/>
        </w:rPr>
        <w:t>3.投标人</w:t>
      </w:r>
      <w:r>
        <w:rPr>
          <w:rFonts w:hint="eastAsia" w:ascii="仿宋" w:hAnsi="仿宋" w:eastAsia="仿宋" w:cs="仿宋"/>
          <w:sz w:val="28"/>
          <w:szCs w:val="28"/>
        </w:rPr>
        <w:t>必须自行为其所投产品侵犯其他竞价人或专利人的专利成果承担相应法律责任；同时，具有产品专利的竞价人应在其响应文件中提供与其自有产品专利相关的有效证明材料，否则，不能就其产品的专利在本项目采购过程中被侵权问题提出异议</w:t>
      </w:r>
      <w:r>
        <w:rPr>
          <w:rFonts w:hint="eastAsia" w:ascii="仿宋" w:hAnsi="仿宋" w:eastAsia="仿宋" w:cs="仿宋"/>
          <w:sz w:val="28"/>
          <w:szCs w:val="28"/>
          <w:lang w:eastAsia="zh-CN"/>
        </w:rPr>
        <w:t>。</w:t>
      </w:r>
    </w:p>
    <w:p w14:paraId="5FD7BEB1">
      <w:pPr>
        <w:pStyle w:val="9"/>
        <w:spacing w:line="420" w:lineRule="exact"/>
        <w:ind w:firstLine="600"/>
        <w:rPr>
          <w:rFonts w:hint="eastAsia" w:ascii="仿宋" w:hAnsi="仿宋" w:eastAsia="仿宋" w:cs="仿宋"/>
          <w:sz w:val="28"/>
          <w:szCs w:val="28"/>
        </w:rPr>
      </w:pPr>
      <w:r>
        <w:rPr>
          <w:rFonts w:hint="eastAsia" w:ascii="仿宋" w:hAnsi="仿宋" w:eastAsia="仿宋" w:cs="仿宋"/>
          <w:sz w:val="28"/>
          <w:szCs w:val="28"/>
          <w:lang w:val="en-US" w:eastAsia="zh-CN"/>
        </w:rPr>
        <w:t>4.货物</w:t>
      </w:r>
      <w:r>
        <w:rPr>
          <w:rFonts w:hint="eastAsia" w:ascii="仿宋" w:hAnsi="仿宋" w:eastAsia="仿宋" w:cs="仿宋"/>
          <w:sz w:val="28"/>
          <w:szCs w:val="28"/>
        </w:rPr>
        <w:t>按医院要求送到指定地点</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并完成安装调试及验收（以出具验收报告为准）</w:t>
      </w:r>
      <w:r>
        <w:rPr>
          <w:rFonts w:hint="eastAsia" w:ascii="仿宋" w:hAnsi="仿宋" w:eastAsia="仿宋" w:cs="仿宋"/>
          <w:sz w:val="28"/>
          <w:szCs w:val="28"/>
        </w:rPr>
        <w:t>。</w:t>
      </w:r>
    </w:p>
    <w:p w14:paraId="2211FBFA">
      <w:pPr>
        <w:pStyle w:val="9"/>
        <w:spacing w:line="420" w:lineRule="exact"/>
        <w:ind w:firstLine="6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供应商确保所供应产品符合国家相关技术部门规定技术要求。</w:t>
      </w:r>
    </w:p>
    <w:p w14:paraId="36D3FA88">
      <w:pPr>
        <w:pStyle w:val="9"/>
        <w:spacing w:line="420" w:lineRule="exact"/>
        <w:ind w:firstLine="6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供应商积极响应，</w:t>
      </w:r>
      <w:r>
        <w:rPr>
          <w:rFonts w:hint="eastAsia" w:ascii="仿宋" w:hAnsi="仿宋" w:eastAsia="仿宋" w:cs="仿宋"/>
          <w:sz w:val="28"/>
          <w:szCs w:val="28"/>
          <w:lang w:val="en-US" w:eastAsia="zh-CN"/>
        </w:rPr>
        <w:t>合同签订后10个工作日完成供货安装调试</w:t>
      </w:r>
      <w:r>
        <w:rPr>
          <w:rFonts w:hint="eastAsia" w:ascii="仿宋" w:hAnsi="仿宋" w:eastAsia="仿宋" w:cs="仿宋"/>
          <w:sz w:val="28"/>
          <w:szCs w:val="28"/>
        </w:rPr>
        <w:t>。</w:t>
      </w:r>
    </w:p>
    <w:p w14:paraId="3C26E684">
      <w:pPr>
        <w:pStyle w:val="9"/>
        <w:keepNext w:val="0"/>
        <w:keepLines w:val="0"/>
        <w:pageBreakBefore w:val="0"/>
        <w:widowControl w:val="0"/>
        <w:kinsoku/>
        <w:wordWrap/>
        <w:overflowPunct/>
        <w:topLinePunct w:val="0"/>
        <w:autoSpaceDE/>
        <w:autoSpaceDN/>
        <w:bidi w:val="0"/>
        <w:adjustRightInd/>
        <w:snapToGrid/>
        <w:spacing w:line="440" w:lineRule="exact"/>
        <w:ind w:firstLine="6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7.报价包含：货物价格、人工费、材料费、安装费、运输费、装卸车费、管理费、保险、维护、利润、税金、质保期等为完成本项目所需的所有费用。</w:t>
      </w:r>
    </w:p>
    <w:p w14:paraId="50D619AE">
      <w:pPr>
        <w:spacing w:line="56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质保期：不少于5年，从验收合格之日起计算，在质保期内出现损坏的，接到采购人故障通知后一日内响应，并于三日内到达现场，五日内排除故障。质量保证期内发生的问题，由成交供应商负责免费解决，包括所有零配件及耗材的更换；质保期外，只收配件成本费，免服务费。</w:t>
      </w:r>
    </w:p>
    <w:p w14:paraId="29FF2EE3">
      <w:pPr>
        <w:spacing w:line="560" w:lineRule="exact"/>
        <w:rPr>
          <w:rFonts w:hint="eastAsia" w:ascii="仿宋" w:hAnsi="仿宋" w:eastAsia="仿宋" w:cs="仿宋"/>
          <w:sz w:val="28"/>
          <w:szCs w:val="28"/>
        </w:rPr>
      </w:pPr>
      <w:r>
        <w:rPr>
          <w:rFonts w:hint="eastAsia" w:ascii="仿宋" w:hAnsi="仿宋" w:eastAsia="仿宋" w:cs="仿宋"/>
          <w:b/>
          <w:bCs/>
          <w:sz w:val="28"/>
          <w:szCs w:val="28"/>
        </w:rPr>
        <w:t>六、</w:t>
      </w:r>
      <w:r>
        <w:rPr>
          <w:rFonts w:hint="eastAsia" w:ascii="仿宋" w:hAnsi="仿宋" w:eastAsia="仿宋" w:cs="仿宋"/>
          <w:b/>
          <w:bCs/>
          <w:sz w:val="28"/>
          <w:szCs w:val="28"/>
          <w:lang w:val="en-US" w:eastAsia="zh-CN"/>
        </w:rPr>
        <w:t>报价</w:t>
      </w:r>
      <w:r>
        <w:rPr>
          <w:rFonts w:hint="eastAsia" w:ascii="仿宋" w:hAnsi="仿宋" w:eastAsia="仿宋" w:cs="仿宋"/>
          <w:b/>
          <w:bCs/>
          <w:sz w:val="28"/>
          <w:szCs w:val="28"/>
        </w:rPr>
        <w:t>方式</w:t>
      </w:r>
    </w:p>
    <w:p w14:paraId="50230CD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.投标人按采购内容进行单价、总价报价。</w:t>
      </w:r>
    </w:p>
    <w:p w14:paraId="22A576E5">
      <w:pPr>
        <w:spacing w:line="560" w:lineRule="exact"/>
        <w:rPr>
          <w:rFonts w:hint="eastAsia" w:ascii="仿宋" w:hAnsi="仿宋" w:eastAsia="仿宋" w:cs="仿宋"/>
          <w:b/>
          <w:bCs/>
          <w:sz w:val="28"/>
          <w:szCs w:val="28"/>
        </w:rPr>
      </w:pPr>
      <w:r>
        <w:rPr>
          <w:rFonts w:hint="eastAsia" w:ascii="仿宋" w:hAnsi="仿宋" w:eastAsia="仿宋" w:cs="仿宋"/>
          <w:b/>
          <w:bCs/>
          <w:sz w:val="28"/>
          <w:szCs w:val="28"/>
        </w:rPr>
        <w:t>七、遴选方式</w:t>
      </w:r>
    </w:p>
    <w:p w14:paraId="59FF9FF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对</w:t>
      </w:r>
      <w:r>
        <w:rPr>
          <w:rFonts w:hint="eastAsia" w:ascii="仿宋" w:hAnsi="仿宋" w:eastAsia="仿宋" w:cs="仿宋"/>
          <w:sz w:val="28"/>
          <w:szCs w:val="28"/>
          <w:lang w:val="en-US" w:eastAsia="zh-CN"/>
        </w:rPr>
        <w:t>投标人提供的方案</w:t>
      </w:r>
      <w:r>
        <w:rPr>
          <w:rFonts w:hint="eastAsia" w:ascii="仿宋" w:hAnsi="仿宋" w:eastAsia="仿宋" w:cs="仿宋"/>
          <w:sz w:val="28"/>
          <w:szCs w:val="28"/>
        </w:rPr>
        <w:t>、</w:t>
      </w:r>
      <w:r>
        <w:rPr>
          <w:rFonts w:hint="eastAsia" w:ascii="仿宋" w:hAnsi="仿宋" w:eastAsia="仿宋" w:cs="仿宋"/>
          <w:sz w:val="28"/>
          <w:szCs w:val="28"/>
          <w:lang w:val="en-US" w:eastAsia="zh-CN"/>
        </w:rPr>
        <w:t>货物质量、</w:t>
      </w:r>
      <w:r>
        <w:rPr>
          <w:rFonts w:hint="eastAsia" w:ascii="仿宋" w:hAnsi="仿宋" w:eastAsia="仿宋" w:cs="仿宋"/>
          <w:sz w:val="28"/>
          <w:szCs w:val="28"/>
        </w:rPr>
        <w:t>服务及时性及价格进行综合评价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遴选1家供应商</w:t>
      </w:r>
      <w:r>
        <w:rPr>
          <w:rFonts w:hint="eastAsia" w:ascii="仿宋" w:hAnsi="仿宋" w:eastAsia="仿宋" w:cs="仿宋"/>
          <w:sz w:val="28"/>
          <w:szCs w:val="28"/>
        </w:rPr>
        <w:t>。</w:t>
      </w:r>
    </w:p>
    <w:p w14:paraId="392C23BD">
      <w:pPr>
        <w:spacing w:line="560" w:lineRule="exact"/>
        <w:ind w:right="560"/>
        <w:jc w:val="both"/>
        <w:rPr>
          <w:rFonts w:hint="eastAsia" w:ascii="仿宋" w:hAnsi="仿宋" w:eastAsia="仿宋" w:cs="仿宋"/>
          <w:sz w:val="28"/>
          <w:szCs w:val="28"/>
          <w:lang w:val="en-US" w:eastAsia="zh-CN"/>
        </w:rPr>
      </w:pPr>
    </w:p>
    <w:p w14:paraId="14189914">
      <w:pPr>
        <w:spacing w:line="560" w:lineRule="exact"/>
        <w:ind w:right="56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bookmarkStart w:id="0" w:name="_GoBack"/>
      <w:bookmarkEnd w:id="0"/>
    </w:p>
    <w:p w14:paraId="4933DA1D">
      <w:pPr>
        <w:rPr>
          <w:rFonts w:hint="default" w:ascii="仿宋" w:hAnsi="仿宋" w:eastAsia="仿宋" w:cs="仿宋"/>
          <w:sz w:val="28"/>
          <w:szCs w:val="28"/>
          <w:lang w:val="en-US" w:eastAsia="zh-CN"/>
        </w:rPr>
      </w:pPr>
    </w:p>
    <w:sectPr>
      <w:pgSz w:w="11906" w:h="16838"/>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34679418-6A36-4FCE-A16D-A4A5DCA6C2CA}"/>
  </w:font>
  <w:font w:name="方正小标宋简体">
    <w:panose1 w:val="03000509000000000000"/>
    <w:charset w:val="86"/>
    <w:family w:val="auto"/>
    <w:pitch w:val="default"/>
    <w:sig w:usb0="00000001" w:usb1="080E0000" w:usb2="00000000" w:usb3="00000000" w:csb0="00040000" w:csb1="00000000"/>
    <w:embedRegular r:id="rId2" w:fontKey="{766579A7-91C5-43A8-9BFD-D9467D187412}"/>
  </w:font>
  <w:font w:name="方正公文小标宋">
    <w:panose1 w:val="02000500000000000000"/>
    <w:charset w:val="86"/>
    <w:family w:val="auto"/>
    <w:pitch w:val="default"/>
    <w:sig w:usb0="A00002BF" w:usb1="38CF7CFA" w:usb2="00000016" w:usb3="00000000" w:csb0="00040001" w:csb1="00000000"/>
    <w:embedRegular r:id="rId3" w:fontKey="{A0A60D6F-7AED-4078-8C0A-4F9ACEDC645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B379"/>
    <w:multiLevelType w:val="singleLevel"/>
    <w:tmpl w:val="A474B379"/>
    <w:lvl w:ilvl="0" w:tentative="0">
      <w:start w:val="1"/>
      <w:numFmt w:val="chineseCounting"/>
      <w:suff w:val="nothing"/>
      <w:lvlText w:val="%1、"/>
      <w:lvlJc w:val="left"/>
      <w:rPr>
        <w:rFonts w:hint="eastAsia"/>
      </w:rPr>
    </w:lvl>
  </w:abstractNum>
  <w:abstractNum w:abstractNumId="1">
    <w:nsid w:val="039CF3E3"/>
    <w:multiLevelType w:val="singleLevel"/>
    <w:tmpl w:val="039CF3E3"/>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iMGY4NmNhMDhkMjYzNmFmNDBjOTk1MWFhYjgxM2UifQ=="/>
  </w:docVars>
  <w:rsids>
    <w:rsidRoot w:val="00000000"/>
    <w:rsid w:val="05A26272"/>
    <w:rsid w:val="061B4961"/>
    <w:rsid w:val="06427D8E"/>
    <w:rsid w:val="076B38C3"/>
    <w:rsid w:val="0CA820BF"/>
    <w:rsid w:val="0EC569AE"/>
    <w:rsid w:val="12A62D8D"/>
    <w:rsid w:val="194470F0"/>
    <w:rsid w:val="19CF5B3C"/>
    <w:rsid w:val="238D63C3"/>
    <w:rsid w:val="25C042C4"/>
    <w:rsid w:val="260C18A3"/>
    <w:rsid w:val="281A3A6C"/>
    <w:rsid w:val="2E15574D"/>
    <w:rsid w:val="2E7E3412"/>
    <w:rsid w:val="304E16EE"/>
    <w:rsid w:val="33AE0A2C"/>
    <w:rsid w:val="342971E1"/>
    <w:rsid w:val="4079383C"/>
    <w:rsid w:val="4324429B"/>
    <w:rsid w:val="449969CF"/>
    <w:rsid w:val="4C4623E1"/>
    <w:rsid w:val="4CB91BB2"/>
    <w:rsid w:val="4CDC27FF"/>
    <w:rsid w:val="53C40901"/>
    <w:rsid w:val="55121182"/>
    <w:rsid w:val="5F802EF2"/>
    <w:rsid w:val="5FA83AE7"/>
    <w:rsid w:val="695A6EC4"/>
    <w:rsid w:val="695F6D23"/>
    <w:rsid w:val="6DC7723D"/>
    <w:rsid w:val="707662D5"/>
    <w:rsid w:val="73B80472"/>
    <w:rsid w:val="75784347"/>
    <w:rsid w:val="75D55C11"/>
    <w:rsid w:val="7AC31586"/>
    <w:rsid w:val="7ACF6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sz w:val="24"/>
    </w:rPr>
  </w:style>
  <w:style w:type="paragraph" w:styleId="3">
    <w:name w:val="Body Text Indent"/>
    <w:basedOn w:val="1"/>
    <w:next w:val="4"/>
    <w:qFormat/>
    <w:uiPriority w:val="0"/>
    <w:pPr>
      <w:ind w:firstLine="444"/>
    </w:pPr>
    <w:rPr>
      <w:b/>
      <w:sz w:val="24"/>
    </w:rPr>
  </w:style>
  <w:style w:type="paragraph" w:styleId="4">
    <w:name w:val="envelope return"/>
    <w:basedOn w:val="1"/>
    <w:qFormat/>
    <w:uiPriority w:val="0"/>
    <w:pPr>
      <w:snapToGrid w:val="0"/>
    </w:pPr>
    <w:rPr>
      <w:rFonts w:ascii="Arial" w:hAnsi="Arial"/>
    </w:rPr>
  </w:style>
  <w:style w:type="paragraph" w:styleId="5">
    <w:name w:val="Body Text First Indent"/>
    <w:basedOn w:val="2"/>
    <w:next w:val="6"/>
    <w:qFormat/>
    <w:uiPriority w:val="0"/>
    <w:pPr>
      <w:ind w:firstLine="420" w:firstLineChars="100"/>
    </w:pPr>
  </w:style>
  <w:style w:type="paragraph" w:styleId="6">
    <w:name w:val="Body Text First Indent 2"/>
    <w:basedOn w:val="3"/>
    <w:next w:val="1"/>
    <w:qFormat/>
    <w:uiPriority w:val="0"/>
    <w:pPr>
      <w:widowControl w:val="0"/>
      <w:adjustRightInd/>
      <w:snapToGrid/>
      <w:spacing w:line="360" w:lineRule="auto"/>
      <w:ind w:firstLine="420" w:firstLineChars="200"/>
      <w:jc w:val="both"/>
    </w:pPr>
    <w:rPr>
      <w:rFonts w:ascii="Times New Roman" w:hAnsi="Times New Roman" w:eastAsia="仿宋_GB2312" w:cs="Times New Roman"/>
      <w:spacing w:val="15"/>
      <w:kern w:val="10"/>
      <w:sz w:val="24"/>
      <w:szCs w:val="24"/>
    </w:rPr>
  </w:style>
  <w:style w:type="paragraph" w:styleId="9">
    <w:name w:val="List Paragraph"/>
    <w:basedOn w:val="1"/>
    <w:unhideWhenUsed/>
    <w:qFormat/>
    <w:uiPriority w:val="0"/>
    <w:pPr>
      <w:ind w:firstLine="420" w:firstLineChars="200"/>
    </w:pPr>
  </w:style>
  <w:style w:type="paragraph" w:customStyle="1" w:styleId="10">
    <w:name w:val="首行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1201</Words>
  <Characters>1295</Characters>
  <Lines>0</Lines>
  <Paragraphs>0</Paragraphs>
  <TotalTime>4</TotalTime>
  <ScaleCrop>false</ScaleCrop>
  <LinksUpToDate>false</LinksUpToDate>
  <CharactersWithSpaces>1476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2022-11-17T01:15:00Z</dcterms:created>
  <dc:creator>Administrator</dc:creator>
  <cp:lastModifiedBy>加深</cp:lastModifiedBy>
  <dcterms:modified xsi:type="dcterms:W3CDTF">2026-08-18T00:44:37Z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55C9503DAF1348A4ADAC0C15B6A8D228_12</vt:lpwstr>
  </property>
  <property fmtid="{D5CDD505-2E9C-101B-9397-08002B2CF9AE}" pid="4" name="KSOTemplateDocerSaveRecord">
    <vt:lpwstr>eyJoZGlkIjoiNTJiMzVhM2RiMjkyNjRkYjQ0MzgyYTg2OTQ5M2Y4YWYiLCJ1c2VySWQiOiIzNTY0MzY5ODAifQ==</vt:lpwstr>
  </property>
</Properties>
</file>