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F41A5">
      <w:pPr>
        <w:keepNext/>
        <w:keepLines/>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微软雅黑"/>
          <w:b/>
          <w:bCs/>
          <w:kern w:val="44"/>
          <w:sz w:val="30"/>
          <w:szCs w:val="30"/>
          <w:lang w:eastAsia="zh-CN"/>
        </w:rPr>
      </w:pPr>
      <w:bookmarkStart w:id="0" w:name="_Toc344816509"/>
      <w:r>
        <w:rPr>
          <w:rFonts w:hint="eastAsia" w:ascii="宋体" w:hAnsi="宋体" w:eastAsia="宋体" w:cs="微软雅黑"/>
          <w:b/>
          <w:bCs/>
          <w:kern w:val="44"/>
          <w:sz w:val="30"/>
          <w:szCs w:val="30"/>
        </w:rPr>
        <w:t>柳州市</w:t>
      </w:r>
      <w:r>
        <w:rPr>
          <w:rFonts w:ascii="宋体" w:hAnsi="宋体" w:eastAsia="宋体" w:cs="微软雅黑"/>
          <w:b/>
          <w:bCs/>
          <w:kern w:val="44"/>
          <w:sz w:val="30"/>
          <w:szCs w:val="30"/>
        </w:rPr>
        <w:t>工人医院</w:t>
      </w:r>
      <w:r>
        <w:rPr>
          <w:rFonts w:hint="eastAsia" w:ascii="宋体" w:hAnsi="宋体" w:eastAsia="宋体" w:cs="微软雅黑"/>
          <w:b/>
          <w:bCs/>
          <w:kern w:val="44"/>
          <w:sz w:val="30"/>
          <w:szCs w:val="30"/>
          <w:lang w:val="en-US" w:eastAsia="zh-CN"/>
        </w:rPr>
        <w:t>档案管理</w:t>
      </w:r>
      <w:r>
        <w:rPr>
          <w:rFonts w:hint="eastAsia" w:ascii="宋体" w:hAnsi="宋体" w:eastAsia="宋体" w:cs="微软雅黑"/>
          <w:b/>
          <w:bCs/>
          <w:kern w:val="44"/>
          <w:sz w:val="30"/>
          <w:szCs w:val="30"/>
        </w:rPr>
        <w:t>系统技术参数</w:t>
      </w:r>
      <w:r>
        <w:rPr>
          <w:rFonts w:hint="eastAsia" w:ascii="宋体" w:hAnsi="宋体" w:eastAsia="宋体" w:cs="微软雅黑"/>
          <w:b/>
          <w:bCs/>
          <w:kern w:val="44"/>
          <w:sz w:val="30"/>
          <w:szCs w:val="30"/>
          <w:lang w:eastAsia="zh-CN"/>
        </w:rPr>
        <w:t>要求</w:t>
      </w:r>
    </w:p>
    <w:p w14:paraId="465124FC">
      <w:pPr>
        <w:keepNext/>
        <w:keepLines/>
        <w:pageBreakBefore w:val="0"/>
        <w:widowControl w:val="0"/>
        <w:kinsoku/>
        <w:wordWrap/>
        <w:overflowPunct/>
        <w:topLinePunct w:val="0"/>
        <w:autoSpaceDE/>
        <w:autoSpaceDN/>
        <w:bidi w:val="0"/>
        <w:adjustRightInd/>
        <w:snapToGrid/>
        <w:spacing w:line="312" w:lineRule="auto"/>
        <w:ind w:left="420" w:leftChars="200"/>
        <w:jc w:val="left"/>
        <w:textAlignment w:val="auto"/>
        <w:rPr>
          <w:rFonts w:ascii="宋体" w:hAnsi="宋体" w:eastAsia="宋体" w:cs="微软雅黑"/>
          <w:b/>
          <w:bCs/>
          <w:kern w:val="44"/>
          <w:sz w:val="24"/>
          <w:szCs w:val="24"/>
        </w:rPr>
      </w:pPr>
    </w:p>
    <w:bookmarkEnd w:id="0"/>
    <w:p w14:paraId="3DC1443C">
      <w:pPr>
        <w:pStyle w:val="14"/>
        <w:pageBreakBefore w:val="0"/>
        <w:widowControl w:val="0"/>
        <w:numPr>
          <w:ilvl w:val="0"/>
          <w:numId w:val="2"/>
        </w:numPr>
        <w:kinsoku/>
        <w:wordWrap/>
        <w:overflowPunct/>
        <w:topLinePunct w:val="0"/>
        <w:autoSpaceDE/>
        <w:autoSpaceDN/>
        <w:bidi w:val="0"/>
        <w:adjustRightInd/>
        <w:snapToGrid/>
        <w:spacing w:line="312" w:lineRule="auto"/>
        <w:ind w:firstLineChars="0"/>
        <w:textAlignment w:val="auto"/>
        <w:rPr>
          <w:rFonts w:ascii="宋体" w:hAnsi="宋体" w:eastAsia="宋体"/>
          <w:b/>
          <w:sz w:val="28"/>
          <w:szCs w:val="28"/>
        </w:rPr>
      </w:pPr>
      <w:r>
        <w:rPr>
          <w:rFonts w:hint="eastAsia" w:ascii="宋体" w:hAnsi="宋体" w:eastAsia="宋体"/>
          <w:b/>
          <w:sz w:val="28"/>
          <w:szCs w:val="28"/>
        </w:rPr>
        <w:t>项目背景</w:t>
      </w:r>
    </w:p>
    <w:p w14:paraId="3C2AA881">
      <w:pPr>
        <w:pStyle w:val="14"/>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宋体" w:hAnsi="宋体" w:eastAsia="宋体"/>
          <w:sz w:val="24"/>
          <w:szCs w:val="24"/>
        </w:rPr>
      </w:pPr>
      <w:r>
        <w:rPr>
          <w:rFonts w:hint="eastAsia" w:ascii="宋体" w:hAnsi="宋体" w:eastAsia="宋体"/>
          <w:sz w:val="24"/>
          <w:szCs w:val="24"/>
        </w:rPr>
        <w:t>目前，柳州市工人医院各类档案管理仍沿用传统纸质与分散系统并存的模式，</w:t>
      </w:r>
      <w:r>
        <w:rPr>
          <w:rFonts w:hint="eastAsia" w:ascii="宋体" w:hAnsi="宋体" w:eastAsia="宋体"/>
          <w:sz w:val="24"/>
          <w:szCs w:val="24"/>
          <w:lang w:val="en-US" w:eastAsia="zh-CN"/>
        </w:rPr>
        <w:t>各类文书档案</w:t>
      </w:r>
      <w:r>
        <w:rPr>
          <w:rFonts w:hint="eastAsia" w:ascii="宋体" w:hAnsi="宋体" w:eastAsia="宋体"/>
          <w:sz w:val="24"/>
          <w:szCs w:val="24"/>
        </w:rPr>
        <w:t>分散存储于各业务系统，未能实现统一归集与电子化合规管理。随着财政部、国税总局、国家档案局等九部委联合发布《关于推广应用电子凭证会计数据标准的通知》（财会〔2025〕9号）及财政部《关于进一步压实会计工作责任的通知》相继出台，电子凭证改革全面加速，医院面临电子凭证数量激增与现有管理制度滞后之间的突出矛盾，整理难、管理难、查询难等问题日益凸显，已无法满足新形势下会计档案合规管理及医院财务数字化转型的需要。</w:t>
      </w:r>
    </w:p>
    <w:p w14:paraId="654CF0BA">
      <w:pPr>
        <w:pStyle w:val="14"/>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宋体" w:hAnsi="宋体" w:eastAsia="宋体"/>
          <w:sz w:val="24"/>
          <w:szCs w:val="24"/>
        </w:rPr>
      </w:pPr>
      <w:r>
        <w:rPr>
          <w:rFonts w:hint="eastAsia" w:ascii="宋体" w:hAnsi="宋体" w:eastAsia="宋体"/>
          <w:sz w:val="24"/>
          <w:szCs w:val="24"/>
        </w:rPr>
        <w:t>因此，需要在医院整体顶层设计框架下，构建一套以财务会计档案管理为核心的综合档案管理系统，实现各类档案资料特别是会计资料从采集、整理、归档到借阅、鉴定、销毁的全生命周期电子化管理。通过该系统，有效节约数据存储空间，延长档案材料保存时间，显著提升档案查阅与利用效率，同时进一步压实会计工作责任，构建权责明晰、协同联动、运行高效的会计工作责任体系，有力支撑医院智慧管理分级评估达标，切实推动数字中国建设目标落地。</w:t>
      </w:r>
    </w:p>
    <w:p w14:paraId="1DDDCA2A">
      <w:pPr>
        <w:pStyle w:val="14"/>
        <w:pageBreakBefore w:val="0"/>
        <w:widowControl w:val="0"/>
        <w:kinsoku/>
        <w:wordWrap/>
        <w:overflowPunct/>
        <w:topLinePunct w:val="0"/>
        <w:autoSpaceDE/>
        <w:autoSpaceDN/>
        <w:bidi w:val="0"/>
        <w:adjustRightInd/>
        <w:snapToGrid/>
        <w:spacing w:line="312" w:lineRule="auto"/>
        <w:ind w:firstLine="0" w:firstLineChars="0"/>
        <w:textAlignment w:val="auto"/>
        <w:rPr>
          <w:rFonts w:ascii="宋体" w:hAnsi="宋体" w:eastAsia="宋体"/>
          <w:sz w:val="24"/>
          <w:szCs w:val="24"/>
        </w:rPr>
      </w:pPr>
      <w:r>
        <w:rPr>
          <w:rFonts w:hint="eastAsia" w:ascii="宋体" w:hAnsi="宋体" w:eastAsia="宋体"/>
          <w:b/>
          <w:sz w:val="28"/>
          <w:szCs w:val="28"/>
        </w:rPr>
        <w:t>二、项目建设内容及要求</w:t>
      </w:r>
    </w:p>
    <w:p w14:paraId="457EDC31">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2.1软件技术要求</w:t>
      </w:r>
    </w:p>
    <w:tbl>
      <w:tblPr>
        <w:tblStyle w:val="10"/>
        <w:tblW w:w="85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0"/>
        <w:gridCol w:w="516"/>
        <w:gridCol w:w="2080"/>
        <w:gridCol w:w="4789"/>
      </w:tblGrid>
      <w:tr w14:paraId="16641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BF3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模块</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25B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序号</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BE7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功能</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73B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内涵描述</w:t>
            </w:r>
          </w:p>
        </w:tc>
      </w:tr>
      <w:tr w14:paraId="36855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6F42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档案采集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4B4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F0F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线上/自动化采集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184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支持从业务系统（核算、报销等）自动/定时采集电子会计资料（凭证、原始凭证等）。</w:t>
            </w:r>
          </w:p>
        </w:tc>
      </w:tr>
      <w:tr w14:paraId="01B65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B80C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71D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1CF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线下/手工录入</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E39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支持单条/批量著录、Excel导入、手工上传原文。</w:t>
            </w:r>
          </w:p>
        </w:tc>
      </w:tr>
      <w:tr w14:paraId="456BB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7237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844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C85F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电子凭证关联</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DAD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支持记账凭证与原始凭证的自动或手动关联，建立关联关系。</w:t>
            </w:r>
          </w:p>
        </w:tc>
      </w:tr>
      <w:tr w14:paraId="169DA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FE7B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3FC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A0A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四性检测</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585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对归档接收的电子档案进行真实性、完整性、可用性、安全性检测。</w:t>
            </w:r>
          </w:p>
        </w:tc>
      </w:tr>
      <w:tr w14:paraId="506E4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14B7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B97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0A9B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查看检测报告</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307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支持查看四性检测的检测报告。</w:t>
            </w:r>
          </w:p>
        </w:tc>
      </w:tr>
      <w:tr w14:paraId="65D94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FC58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F97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9E0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查看凭证明细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B14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支持查看记账凭证的版式文件（生成PDF等）。</w:t>
            </w:r>
          </w:p>
        </w:tc>
      </w:tr>
      <w:tr w14:paraId="0EAFB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D855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B86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62AC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查看原始单据明细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C44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在查看凭证明细时，可查看相关联的原始凭证内容。</w:t>
            </w:r>
          </w:p>
        </w:tc>
      </w:tr>
      <w:tr w14:paraId="4FD97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0F7FA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档案整理归档</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8F6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670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智能组件</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3D3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通过预设规则自动匹配记账凭证与原始凭证。</w:t>
            </w:r>
          </w:p>
        </w:tc>
      </w:tr>
      <w:tr w14:paraId="5A54E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3942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30C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838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手工组件</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8E2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支持人工手动建立凭证与原始凭证的关联关系。</w:t>
            </w:r>
          </w:p>
        </w:tc>
      </w:tr>
      <w:tr w14:paraId="31C6D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77E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档案管理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E3C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074C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档案入库/归档</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B44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支持档案数据整理、装盒、生成档号，完成电子归档入库。</w:t>
            </w:r>
          </w:p>
        </w:tc>
      </w:tr>
      <w:tr w14:paraId="62DA5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8F95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档案利用</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1F6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F33A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多条件精准查询</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F0A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支持按凭证号、摘要、金额等组合条件检索。</w:t>
            </w:r>
          </w:p>
        </w:tc>
      </w:tr>
      <w:tr w14:paraId="01415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37F1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C1E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863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全文检索/关键词检索</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268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支持关键字模糊检索。</w:t>
            </w:r>
          </w:p>
        </w:tc>
      </w:tr>
      <w:tr w14:paraId="49357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48F5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22C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A31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元数据列表查询</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6A0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支持展示档案的元数据列表（如凭证号、摘要、档号等）。</w:t>
            </w:r>
          </w:p>
        </w:tc>
      </w:tr>
      <w:tr w14:paraId="43838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F4AE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EDE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030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电子借阅</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277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支持借阅申请、审批、授权文件查阅。</w:t>
            </w:r>
          </w:p>
        </w:tc>
      </w:tr>
      <w:tr w14:paraId="14378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17EA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03E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079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统计分析</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FFE4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支持归档数量、借阅情况等统计，并支持数据导出。</w:t>
            </w:r>
          </w:p>
        </w:tc>
      </w:tr>
      <w:tr w14:paraId="4ED10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1D96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档案保存</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1E2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3789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备份</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00D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支持数据备份（在线/离线）。</w:t>
            </w:r>
          </w:p>
        </w:tc>
      </w:tr>
      <w:tr w14:paraId="69557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64FD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99A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C8A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权限控制/操作日志</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21A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权限控制、操作日志记录，保障档案安全。</w:t>
            </w:r>
          </w:p>
        </w:tc>
      </w:tr>
      <w:tr w14:paraId="11536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53D6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8F2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461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生命周期/跟踪审计</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EDB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记录档案从采集到销毁的全过程数据流转日志。</w:t>
            </w:r>
          </w:p>
        </w:tc>
      </w:tr>
      <w:tr w14:paraId="7E691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0EB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档案销毁</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423E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BE1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销毁清册</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757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支持查看销毁清册。</w:t>
            </w:r>
          </w:p>
        </w:tc>
      </w:tr>
      <w:tr w14:paraId="0CAE6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787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系统首页</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566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20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294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待办消息提醒</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EA2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待办事项（如借阅审批、移交审核）集中展示。</w:t>
            </w:r>
          </w:p>
        </w:tc>
      </w:tr>
      <w:tr w14:paraId="0E452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E0F9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电子凭证管理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BEB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21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9F6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税务发票归集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506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提供电子税务局自动采集功能，自动批量采集数电票。</w:t>
            </w:r>
          </w:p>
        </w:tc>
      </w:tr>
      <w:tr w14:paraId="5629C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7CA7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584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22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9DC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电子凭证验证</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65A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支持对数电票进行归档合规性校验。</w:t>
            </w:r>
          </w:p>
        </w:tc>
      </w:tr>
      <w:tr w14:paraId="28AEC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5FF2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D50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23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BF9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电子凭证对比替换</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62D9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检查前端系统采集的凭证格式，将不合规的数电票替换成合规凭证。</w:t>
            </w:r>
          </w:p>
        </w:tc>
      </w:tr>
      <w:tr w14:paraId="20E13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35F1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50E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24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5B9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电子凭证归档</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5D6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支持选择电子凭证与档案系统已采集的记账凭证进行组件。</w:t>
            </w:r>
          </w:p>
        </w:tc>
      </w:tr>
      <w:tr w14:paraId="4B4F8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AA11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基础管理模块</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17BC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25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0B47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审批流程定义</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47A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支持会计档案借阅、移交、鉴定环节自定义审批流程配置。</w:t>
            </w:r>
          </w:p>
        </w:tc>
      </w:tr>
      <w:tr w14:paraId="30DC5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3874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08E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26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1FE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水印设置</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E64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支持借阅、查询场景水印配置，防止信息泄露。</w:t>
            </w:r>
          </w:p>
        </w:tc>
      </w:tr>
      <w:tr w14:paraId="5ED87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D3F5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6A8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27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44E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数据脱敏设置</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324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按角色、模块对摘要、科目、金额等敏感字段脱敏展示。</w:t>
            </w:r>
          </w:p>
        </w:tc>
      </w:tr>
      <w:tr w14:paraId="1E258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3E3E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406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28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A47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电子签名印章设置</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F90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支持电子签名、电子印章配置，保障档案真实性。</w:t>
            </w:r>
          </w:p>
        </w:tc>
      </w:tr>
      <w:tr w14:paraId="0EDAB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A16E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B82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29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9FA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借阅字段配置</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D11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支持在借阅申请、借阅办理页面的字段显示配置。</w:t>
            </w:r>
          </w:p>
        </w:tc>
      </w:tr>
      <w:tr w14:paraId="5020E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FDF7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81A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30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55B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档号自定义配置</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EB2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提供档号规则定制界面，自由组合档号构成元素。</w:t>
            </w:r>
          </w:p>
        </w:tc>
      </w:tr>
      <w:tr w14:paraId="725BF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13B7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2A5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31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B5F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文件格式转换</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C15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支持Word、图片格式定时自动转为标准PDF格式文件。</w:t>
            </w:r>
          </w:p>
        </w:tc>
      </w:tr>
      <w:tr w14:paraId="2C6AF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DE32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会计资料收集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E4C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32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8E1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国标数据导入</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CFC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支持支出审计国标2010数据格式导入。</w:t>
            </w:r>
          </w:p>
        </w:tc>
      </w:tr>
      <w:tr w14:paraId="56EE5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6ACE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E07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33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5BE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归档适配器</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B12E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提供财务软件归档适配工具，设置采集配置方案。</w:t>
            </w:r>
          </w:p>
        </w:tc>
      </w:tr>
      <w:tr w14:paraId="6A380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CD6B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7F4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34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006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纸质影像化归集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D9C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提供高拍仪/高速扫描仪接口，支持图片剪裁、合并PDF。</w:t>
            </w:r>
          </w:p>
        </w:tc>
      </w:tr>
      <w:tr w14:paraId="57325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E921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档案整理归档</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127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35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DD2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版式文件设计</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81B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支持记账凭证、账簿等会计档案版式模板自定义。</w:t>
            </w:r>
          </w:p>
        </w:tc>
      </w:tr>
      <w:tr w14:paraId="68964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30DE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A3F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36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F098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记账凭证附件检查</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B5E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自动核对凭证附件张数字段与实际上传附件数量一致性。</w:t>
            </w:r>
          </w:p>
        </w:tc>
      </w:tr>
      <w:tr w14:paraId="2BA0F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5FFC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C45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37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5081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归档前校验</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B02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支持总账明细账数据一致性、会计资料连续性等检查。</w:t>
            </w:r>
          </w:p>
        </w:tc>
      </w:tr>
      <w:tr w14:paraId="268E2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3A2F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35D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38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3A8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灵活组卷归档</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75A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支持按数量、导入组卷规则等多种组卷方式。</w:t>
            </w:r>
          </w:p>
        </w:tc>
      </w:tr>
      <w:tr w14:paraId="288EF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4FD5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AA5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39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B363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电子档案柜</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528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自动生成档案号、保管清册、卷内目录。</w:t>
            </w:r>
          </w:p>
        </w:tc>
      </w:tr>
      <w:tr w14:paraId="62326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F259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E37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40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D6D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电子凭证标准适配</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3F2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支持电子凭证、入账实例文件归档。</w:t>
            </w:r>
          </w:p>
        </w:tc>
      </w:tr>
      <w:tr w14:paraId="0EC84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571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档案查询统计模块</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729F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41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2DB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多层级钻取查询</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1F8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支持总账→明细账→记账凭证→原始凭证层层穿透查询。</w:t>
            </w:r>
          </w:p>
        </w:tc>
      </w:tr>
      <w:tr w14:paraId="479B8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6E3E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档案借阅利用模块</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C4A9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42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188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在线阅览水印控制</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FA1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在线查看借阅资料时显示借阅水印，可设置阅览时间。</w:t>
            </w:r>
          </w:p>
        </w:tc>
      </w:tr>
      <w:tr w14:paraId="248F3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E416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CF9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43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2C5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离线安全阅读</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8D7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提供离线阅读器，通过授权密码、期限、水印加密管理。</w:t>
            </w:r>
          </w:p>
        </w:tc>
      </w:tr>
      <w:tr w14:paraId="73EAE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1D47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99F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44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68FB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档案外带刻盘</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A39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支持档案刻盘输出，实现离线安全外带查阅。</w:t>
            </w:r>
          </w:p>
        </w:tc>
      </w:tr>
      <w:tr w14:paraId="532B1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B315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档案移交管理模块</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85D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45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CB2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移交流程管理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7F2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支持移交申请、挑选文件、审核、接收登记。</w:t>
            </w:r>
          </w:p>
        </w:tc>
      </w:tr>
      <w:tr w14:paraId="4902C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A7F9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B97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46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26D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离线移交包</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3E9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移交包可下载，支持离线安全阅读。</w:t>
            </w:r>
          </w:p>
        </w:tc>
      </w:tr>
      <w:tr w14:paraId="1B010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8C5A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档案鉴定模块</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F99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47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760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鉴定流程管理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F816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支持鉴定申请、审核、办理，编辑鉴定意见书。</w:t>
            </w:r>
          </w:p>
        </w:tc>
      </w:tr>
      <w:tr w14:paraId="259D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1E98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纸质档案管理模块</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14D3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48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552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档案室管理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6B8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支持虚拟库房管理、档案柜编辑及生成二维码。</w:t>
            </w:r>
          </w:p>
        </w:tc>
      </w:tr>
      <w:tr w14:paraId="6CFAA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3EA0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332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49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495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档案盒管理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8B1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支持档案盒新增、二维码打印、封面打印。</w:t>
            </w:r>
          </w:p>
        </w:tc>
      </w:tr>
      <w:tr w14:paraId="275D6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8BD9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0C1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50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04D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扫码装盒、上架</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7B8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利用二维码扫码装盒、上架，保障线上线下一致性。</w:t>
            </w:r>
          </w:p>
        </w:tc>
      </w:tr>
      <w:tr w14:paraId="06AEE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65F2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7EB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51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AFA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纸质借阅归还</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EE4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提供纸质档案借阅和归还功能，支持扫码归还。</w:t>
            </w:r>
          </w:p>
        </w:tc>
      </w:tr>
      <w:tr w14:paraId="7B516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3F5A3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系统首页模块</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C7E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52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A8E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未归档数据提醒</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2C8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主动提醒管理员处理已采集未归档数据。</w:t>
            </w:r>
          </w:p>
        </w:tc>
      </w:tr>
      <w:tr w14:paraId="1407C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BA70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871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53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B7AF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档案预警</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541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支持数据安全巡查防篡改，数据被篡改时系统预警。</w:t>
            </w:r>
          </w:p>
        </w:tc>
      </w:tr>
      <w:tr w14:paraId="6602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BD6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长期存储数据包</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13D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54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754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长期存储数据包</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599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生成包含PDF/OFD版式、XML结构化数据及哈希值的存储包。</w:t>
            </w:r>
          </w:p>
        </w:tc>
      </w:tr>
      <w:tr w14:paraId="43CF5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BD53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数据集成和共享交换</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09A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55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A50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报销系统对接</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A0B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中间库对接，采集报销单、原始凭证等信息。</w:t>
            </w:r>
          </w:p>
        </w:tc>
      </w:tr>
      <w:tr w14:paraId="5DAA8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D0DA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2EC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56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C09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核算系统对接</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A48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中间库对接，采集记账凭证、账簿、报表。</w:t>
            </w:r>
          </w:p>
        </w:tc>
      </w:tr>
      <w:tr w14:paraId="06BE6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783C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B9B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57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404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HIS系统对接</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516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中间库对接，采集收入日报表、汇总单。</w:t>
            </w:r>
          </w:p>
        </w:tc>
      </w:tr>
      <w:tr w14:paraId="4307E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398D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0BF4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58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148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银医系统对接</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087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文件服务器对接，采集银行电子回单、对账单。</w:t>
            </w:r>
          </w:p>
        </w:tc>
      </w:tr>
      <w:tr w14:paraId="01D94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F655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638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59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77B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国家税务总局直连</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4FA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总对总直连，采集数电票、增值税电子发票。</w:t>
            </w:r>
          </w:p>
        </w:tc>
      </w:tr>
      <w:tr w14:paraId="173C9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FA66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“单套制”咨询服务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9EB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60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330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全套咨询与评估</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A28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提供资料盘点、流程规划、规范制定及自评服务。</w:t>
            </w:r>
          </w:p>
        </w:tc>
      </w:tr>
      <w:tr w14:paraId="502D3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B4EA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档案采集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FFB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61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1E2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关联上传</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E3D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将一个电子文件挂接到多个档案条目中。</w:t>
            </w:r>
          </w:p>
        </w:tc>
      </w:tr>
      <w:tr w14:paraId="1FE7F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0EC6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486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62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1CA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下载附件</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C6F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手动调用业务系统接口获取凭证电子附件。</w:t>
            </w:r>
          </w:p>
        </w:tc>
      </w:tr>
      <w:tr w14:paraId="6448E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6578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66A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63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37E8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多选字段检索</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144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支持多字段检索，检索字段与表单展示字段一致。</w:t>
            </w:r>
          </w:p>
        </w:tc>
      </w:tr>
      <w:tr w14:paraId="06FB9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A7DB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8DB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64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C51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数据核验</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455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对档案数据进行标记，证明已经核验确认过。</w:t>
            </w:r>
          </w:p>
        </w:tc>
      </w:tr>
      <w:tr w14:paraId="53109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E3FEA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档案保管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4A8B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65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88F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生命周期展示</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6CB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查看档案的全生命周期信息。</w:t>
            </w:r>
          </w:p>
        </w:tc>
      </w:tr>
      <w:tr w14:paraId="432CC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29E1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362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66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0E5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导出档案盒/盒内文件</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E6D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导出勾选的档案盒清单或盒内条目清单。</w:t>
            </w:r>
          </w:p>
        </w:tc>
      </w:tr>
      <w:tr w14:paraId="24CBB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A5CA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BAA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67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5B5A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排序</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346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对档案盒内的数据进行拖拽排序，自动变更档号。</w:t>
            </w:r>
          </w:p>
        </w:tc>
      </w:tr>
      <w:tr w14:paraId="7D56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6E01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C99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68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084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批量下载</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D8E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将盒内所有条目的电子附件批量打包下载。</w:t>
            </w:r>
          </w:p>
        </w:tc>
      </w:tr>
      <w:tr w14:paraId="4B4B5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E061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C5C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69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7F8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批量操作</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DA5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批量修改或替换数据中的内容。</w:t>
            </w:r>
          </w:p>
        </w:tc>
      </w:tr>
      <w:tr w14:paraId="7BB4D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36A3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档案搜索</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ADC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70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D54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发票检索</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749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支持按发票抬头、发票号码、开票日期等条件检索。</w:t>
            </w:r>
          </w:p>
        </w:tc>
      </w:tr>
      <w:tr w14:paraId="7DD3F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4A08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8AC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71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D1B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凭证检索</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A07A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支持按账套、会计期间、凭证号等条件搜索已归档凭证。</w:t>
            </w:r>
          </w:p>
        </w:tc>
      </w:tr>
      <w:tr w14:paraId="4C2C7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6CA0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10B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72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FB0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摘要检索</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0CB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通过记账凭证的摘要字段或凭证明细中的摘要字段检索。</w:t>
            </w:r>
          </w:p>
        </w:tc>
      </w:tr>
      <w:tr w14:paraId="4C8FC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C485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档案借阅</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112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73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3DD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借阅申请（即搜即借）</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06A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检索到档案后直接发起借阅流程。</w:t>
            </w:r>
          </w:p>
        </w:tc>
      </w:tr>
      <w:tr w14:paraId="1617B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B80B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898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74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F3F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我的借阅</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1AD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显示用户的所有借阅记录。</w:t>
            </w:r>
          </w:p>
        </w:tc>
      </w:tr>
      <w:tr w14:paraId="634D3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80B0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745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75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096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档案领取</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D2F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借阅人凭验证码到管理员处领取纸质档案。</w:t>
            </w:r>
          </w:p>
        </w:tc>
      </w:tr>
      <w:tr w14:paraId="51F6E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8E2C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CB3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76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6A6D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档案归还</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877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归还纸质档案时，管理员进行归还确认。</w:t>
            </w:r>
          </w:p>
        </w:tc>
      </w:tr>
      <w:tr w14:paraId="28E79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EA65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E06F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77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501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借阅历史</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09A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显示权限范围的所有借阅记录，支持借阅补登。</w:t>
            </w:r>
          </w:p>
        </w:tc>
      </w:tr>
      <w:tr w14:paraId="12088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4DC0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BE7B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78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944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授权利用</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AA0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查看管理员直接授权的文件，按权限查阅/下载/打印。</w:t>
            </w:r>
          </w:p>
        </w:tc>
      </w:tr>
      <w:tr w14:paraId="70BB1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96E0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系统维护</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D6B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79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A11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机构管理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635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支持组织架构管理，支持从第三方系统同步。</w:t>
            </w:r>
          </w:p>
        </w:tc>
      </w:tr>
      <w:tr w14:paraId="1937D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2C3B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512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80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03D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角色管理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C9D4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提供角色管理能力，支持设置角色默认权限。</w:t>
            </w:r>
          </w:p>
        </w:tc>
      </w:tr>
      <w:tr w14:paraId="00F25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649D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8FB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81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CAC0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用户管理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BB3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提供系统用户管理能力，支持从第三方系统同步。</w:t>
            </w:r>
          </w:p>
        </w:tc>
      </w:tr>
      <w:tr w14:paraId="0B55F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081D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9C7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82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48C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用户组管理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005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提供用户组定义、管理功能。</w:t>
            </w:r>
          </w:p>
        </w:tc>
      </w:tr>
      <w:tr w14:paraId="0BF9A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A25B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E9A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83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8BF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账套管理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ECD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管理账套信息，包含新增、修改、删除。</w:t>
            </w:r>
          </w:p>
        </w:tc>
      </w:tr>
      <w:tr w14:paraId="69513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A11D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E81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84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C4A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数据字典</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5F4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用于维护系统中常用的数据项。</w:t>
            </w:r>
          </w:p>
        </w:tc>
      </w:tr>
      <w:tr w14:paraId="4D8B1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D42E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A2A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85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549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表单模板</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F33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包括档案分类、资料分类等表单模板字段管理。</w:t>
            </w:r>
          </w:p>
        </w:tc>
      </w:tr>
      <w:tr w14:paraId="171C8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E152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607C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86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34C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打印模板</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F45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对背脊、封面、案卷目录等打印模板进行管理。</w:t>
            </w:r>
          </w:p>
        </w:tc>
      </w:tr>
      <w:tr w14:paraId="713BD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19FB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BB6C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87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513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分类管理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097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用户可自定义档案的分类。</w:t>
            </w:r>
          </w:p>
        </w:tc>
      </w:tr>
      <w:tr w14:paraId="6D7F4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C4A2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F5F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88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2C5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表单管理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80E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用户可自定义档案分类的表单信息。</w:t>
            </w:r>
          </w:p>
        </w:tc>
      </w:tr>
      <w:tr w14:paraId="13052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B9B8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60B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89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C79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界面管理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A26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用户可自定义档案分类的界面元素（著录界面、列表界面）。</w:t>
            </w:r>
          </w:p>
        </w:tc>
      </w:tr>
      <w:tr w14:paraId="22065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DD6B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E15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90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3D42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归档清单</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C7B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按档案分类设置归档清单。</w:t>
            </w:r>
          </w:p>
        </w:tc>
      </w:tr>
      <w:tr w14:paraId="7629D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A2E3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183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91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167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档号组成</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136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按档案分类设置档号组成规则。</w:t>
            </w:r>
          </w:p>
        </w:tc>
      </w:tr>
      <w:tr w14:paraId="4A653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B13C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9D7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92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1359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归档配置</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408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支持对业务系统数据归档规则配置。</w:t>
            </w:r>
          </w:p>
        </w:tc>
      </w:tr>
      <w:tr w14:paraId="27E98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DD10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F82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93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7C7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检测配置</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B1E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支持对四性检测参数进行配置。</w:t>
            </w:r>
          </w:p>
        </w:tc>
      </w:tr>
      <w:tr w14:paraId="1229B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DFA4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2FB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94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023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定时任务</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20D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可配置系统定时执行的任务项。</w:t>
            </w:r>
          </w:p>
        </w:tc>
      </w:tr>
      <w:tr w14:paraId="3CA8B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2176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748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95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36D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系统参数</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21B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系统常规参数设置。</w:t>
            </w:r>
          </w:p>
        </w:tc>
      </w:tr>
      <w:tr w14:paraId="1411B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2A0E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1BB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96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80A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水印管理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B0C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支持自定义水印参数。</w:t>
            </w:r>
          </w:p>
        </w:tc>
      </w:tr>
      <w:tr w14:paraId="7CBFF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EA7F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EBC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97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72F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数据备份</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D7FB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对数据进行手动备份和自动备份。</w:t>
            </w:r>
          </w:p>
        </w:tc>
      </w:tr>
      <w:tr w14:paraId="18C4B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C1A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档案鉴定销毁</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817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98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962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鉴定销毁</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07A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支持对到保管期限的档案进行鉴定，无价值的销毁。</w:t>
            </w:r>
          </w:p>
        </w:tc>
      </w:tr>
      <w:tr w14:paraId="026D0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5E2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移动端应用</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36F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99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BE2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移动端应用</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9B0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实现档案搜索、借阅、查看。</w:t>
            </w:r>
          </w:p>
        </w:tc>
      </w:tr>
      <w:tr w14:paraId="49102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FED3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二次开发能力</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A37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100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01A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低代码开发平台</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AD40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融合表单、页面、流程、数据、集成等引擎的无代码应用配置平台。</w:t>
            </w:r>
          </w:p>
        </w:tc>
      </w:tr>
      <w:tr w14:paraId="6C0A4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8DBE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580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101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CF8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动作服务编排</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001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图形化拖拽方式实现模块间、系统间的自动化业务交互。</w:t>
            </w:r>
          </w:p>
        </w:tc>
      </w:tr>
      <w:tr w14:paraId="2DA9A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0260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003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102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589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数据服务</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D09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提供数据源管理，连接多种数据来源。</w:t>
            </w:r>
          </w:p>
        </w:tc>
      </w:tr>
      <w:tr w14:paraId="57198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1C91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C04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103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F2F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开放能力</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390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提供OpenAPI接口、开发指南、开发示例。</w:t>
            </w:r>
          </w:p>
        </w:tc>
      </w:tr>
      <w:tr w14:paraId="0C530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B141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57B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104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D66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多级缓存与限流保护</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D01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提升访问速度和高并发响应，支持限流保护。</w:t>
            </w:r>
          </w:p>
        </w:tc>
      </w:tr>
      <w:tr w14:paraId="50CD1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7928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A3A2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105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89B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AI连接器</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BCD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支持AI助理以消息卡片形式回复。</w:t>
            </w:r>
          </w:p>
        </w:tc>
      </w:tr>
      <w:tr w14:paraId="5F6E7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9A08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887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106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71B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流程派单/抢单</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6444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支持按比例、任务饱和度进行自动派单及抢单。</w:t>
            </w:r>
          </w:p>
        </w:tc>
      </w:tr>
      <w:tr w14:paraId="188AF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E030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档案门户</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5F2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107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018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档案管理员门户/个人门户</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DA2D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提供管理员及普通用户的工作门户，含统计、快捷入口等。</w:t>
            </w:r>
          </w:p>
        </w:tc>
      </w:tr>
      <w:tr w14:paraId="038FF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C95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预归档库</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125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108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548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回单上传、识别</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766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对接OCR服务，智能提取回单附件中的结构化信息。</w:t>
            </w:r>
          </w:p>
        </w:tc>
      </w:tr>
      <w:tr w14:paraId="67FA8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6465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档案接收</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061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109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C790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看图著录</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868A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上传文件后，通过框选图片调用OCR识别，自动填充字段。</w:t>
            </w:r>
          </w:p>
        </w:tc>
      </w:tr>
      <w:tr w14:paraId="761F9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EB0B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2810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110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9A1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AI大模型智能填充</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B81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对接AI大模型，从附件中精准提取关键信息，自动填充。</w:t>
            </w:r>
          </w:p>
        </w:tc>
      </w:tr>
      <w:tr w14:paraId="60D0C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EC18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D942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111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5AF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整编模式</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83C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支持兼职档案员→档案室管理员的整编工作模式。</w:t>
            </w:r>
          </w:p>
        </w:tc>
      </w:tr>
      <w:tr w14:paraId="40476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6610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D6D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112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A6F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远程挂接</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E3D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支持SFTP、FTP、服务端远程挂接。</w:t>
            </w:r>
          </w:p>
        </w:tc>
      </w:tr>
      <w:tr w14:paraId="57EDA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0FCC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81F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113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E28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回收站</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DFF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删除的档案数据进入回收站，支持恢复和彻底删除。</w:t>
            </w:r>
          </w:p>
        </w:tc>
      </w:tr>
      <w:tr w14:paraId="19484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BCF8A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档案管理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157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114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F50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开放鉴定</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765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支持开放鉴定流程审批，调整档案开放情况。</w:t>
            </w:r>
          </w:p>
        </w:tc>
      </w:tr>
      <w:tr w14:paraId="02681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5844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8A70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115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E42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价值鉴定</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F9E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档案保管到期自动生成提醒，形成鉴定目录。</w:t>
            </w:r>
          </w:p>
        </w:tc>
      </w:tr>
      <w:tr w14:paraId="6EC65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37D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档案统计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EC6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116</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421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可视化数据大屏</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AEE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支持归档排行、库房统计、借阅利用统计等多维数据动态分析。</w:t>
            </w:r>
          </w:p>
        </w:tc>
      </w:tr>
      <w:tr w14:paraId="27F02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EBE7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库房管理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E776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117</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976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库房台账</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7D4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登记温湿度、人员进出、档案修复日志。</w:t>
            </w:r>
          </w:p>
        </w:tc>
      </w:tr>
      <w:tr w14:paraId="1D46F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BE0C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5ED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118</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5DA3">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档案上/下架与移库</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095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支持可视化上架、下架、移库操作及出/入库单管理。</w:t>
            </w:r>
          </w:p>
        </w:tc>
      </w:tr>
      <w:tr w14:paraId="5F29C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936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人事档案管理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140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119</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244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花名册与完整性检查</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741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支持人事花名册管理、一键同步组织架构、缺档提醒。</w:t>
            </w:r>
          </w:p>
        </w:tc>
      </w:tr>
      <w:tr w14:paraId="4B608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7D6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移动档案管理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642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120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8BE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扫码管理</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05BC2">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支持通过移动设备实现扫码上架、扫码装盒。</w:t>
            </w:r>
          </w:p>
        </w:tc>
      </w:tr>
      <w:tr w14:paraId="6CC6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BD3E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应用设置</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2C6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121</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B37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页面设置</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7C1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支持设置档案门户、个人门户页面布局、主题样式。</w:t>
            </w:r>
          </w:p>
        </w:tc>
      </w:tr>
      <w:tr w14:paraId="32315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A1D4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档案设置</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7F9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122</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BA16">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自定义档案树</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C4E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支持根据业务需要自定义档案结构树。</w:t>
            </w:r>
          </w:p>
        </w:tc>
      </w:tr>
      <w:tr w14:paraId="549C3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E97A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41F6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123</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511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在线报表设计器</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1A9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集成在线报表服务，支持维护报表模板。</w:t>
            </w:r>
          </w:p>
        </w:tc>
      </w:tr>
      <w:tr w14:paraId="253C3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71A7">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会计档案专项</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0077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124</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D203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XBRL实例文档</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8D0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支持生成符合会计数据标准的XBRL实例文件。</w:t>
            </w:r>
          </w:p>
        </w:tc>
      </w:tr>
      <w:tr w14:paraId="2B992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D9A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归档执行组件</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BEB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125</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AEC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归档执行组件</w:t>
            </w:r>
          </w:p>
        </w:tc>
        <w:tc>
          <w:tcPr>
            <w:tcW w:w="4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48D7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预置动作流归档执行组件，支持可视化映射。</w:t>
            </w:r>
          </w:p>
        </w:tc>
      </w:tr>
    </w:tbl>
    <w:p w14:paraId="59E77156">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default"/>
          <w:lang w:val="en-US" w:eastAsia="zh-CN"/>
        </w:rPr>
      </w:pPr>
      <w:r>
        <w:rPr>
          <w:rFonts w:hint="default"/>
          <w:lang w:val="en-US" w:eastAsia="zh-CN"/>
        </w:rPr>
        <w:t>2.</w:t>
      </w:r>
      <w:r>
        <w:rPr>
          <w:rFonts w:hint="eastAsia"/>
          <w:lang w:val="en-US" w:eastAsia="zh-CN"/>
        </w:rPr>
        <w:t>2配套硬件技术要求</w:t>
      </w:r>
    </w:p>
    <w:tbl>
      <w:tblPr>
        <w:tblStyle w:val="10"/>
        <w:tblW w:w="8581" w:type="dxa"/>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61"/>
        <w:gridCol w:w="1035"/>
        <w:gridCol w:w="5445"/>
        <w:gridCol w:w="720"/>
        <w:gridCol w:w="720"/>
      </w:tblGrid>
      <w:tr w14:paraId="5630F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0" w:hRule="atLeast"/>
        </w:trPr>
        <w:tc>
          <w:tcPr>
            <w:tcW w:w="661" w:type="dxa"/>
            <w:tcBorders>
              <w:tl2br w:val="nil"/>
              <w:tr2bl w:val="nil"/>
            </w:tcBorders>
            <w:shd w:val="clear" w:color="auto" w:fill="auto"/>
            <w:vAlign w:val="center"/>
          </w:tcPr>
          <w:p w14:paraId="7B07E93D">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default" w:ascii="Times New Roman" w:hAnsi="Times New Roman"/>
                <w:lang w:val="en-US" w:eastAsia="zh-CN"/>
              </w:rPr>
              <w:t>序号</w:t>
            </w:r>
          </w:p>
        </w:tc>
        <w:tc>
          <w:tcPr>
            <w:tcW w:w="1035" w:type="dxa"/>
            <w:tcBorders>
              <w:tl2br w:val="nil"/>
              <w:tr2bl w:val="nil"/>
            </w:tcBorders>
            <w:shd w:val="clear" w:color="auto" w:fill="auto"/>
            <w:vAlign w:val="center"/>
          </w:tcPr>
          <w:p w14:paraId="6AD20C71">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default" w:ascii="Times New Roman" w:hAnsi="Times New Roman"/>
                <w:lang w:val="en-US" w:eastAsia="zh-CN"/>
              </w:rPr>
              <w:t>硬件名称</w:t>
            </w:r>
          </w:p>
        </w:tc>
        <w:tc>
          <w:tcPr>
            <w:tcW w:w="5445" w:type="dxa"/>
            <w:tcBorders>
              <w:tl2br w:val="nil"/>
              <w:tr2bl w:val="nil"/>
            </w:tcBorders>
            <w:shd w:val="clear" w:color="auto" w:fill="auto"/>
            <w:vAlign w:val="center"/>
          </w:tcPr>
          <w:p w14:paraId="4E2D2C1E">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default" w:ascii="Times New Roman" w:hAnsi="Times New Roman"/>
                <w:lang w:val="en-US" w:eastAsia="zh-CN"/>
              </w:rPr>
              <w:t>技术要求</w:t>
            </w:r>
          </w:p>
        </w:tc>
        <w:tc>
          <w:tcPr>
            <w:tcW w:w="720" w:type="dxa"/>
            <w:tcBorders>
              <w:tl2br w:val="nil"/>
              <w:tr2bl w:val="nil"/>
            </w:tcBorders>
            <w:shd w:val="clear" w:color="auto" w:fill="auto"/>
            <w:vAlign w:val="center"/>
          </w:tcPr>
          <w:p w14:paraId="7CD30F42">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default" w:ascii="Times New Roman" w:hAnsi="Times New Roman"/>
                <w:lang w:val="en-US" w:eastAsia="zh-CN"/>
              </w:rPr>
              <w:t>数量</w:t>
            </w:r>
          </w:p>
        </w:tc>
        <w:tc>
          <w:tcPr>
            <w:tcW w:w="720" w:type="dxa"/>
            <w:tcBorders>
              <w:tl2br w:val="nil"/>
              <w:tr2bl w:val="nil"/>
            </w:tcBorders>
            <w:shd w:val="clear" w:color="auto" w:fill="auto"/>
            <w:vAlign w:val="center"/>
          </w:tcPr>
          <w:p w14:paraId="42F9A722">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default" w:ascii="Times New Roman" w:hAnsi="Times New Roman"/>
                <w:lang w:val="en-US" w:eastAsia="zh-CN"/>
              </w:rPr>
              <w:t>单位</w:t>
            </w:r>
          </w:p>
        </w:tc>
      </w:tr>
      <w:tr w14:paraId="755CD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trPr>
        <w:tc>
          <w:tcPr>
            <w:tcW w:w="661" w:type="dxa"/>
            <w:tcBorders>
              <w:tl2br w:val="nil"/>
              <w:tr2bl w:val="nil"/>
            </w:tcBorders>
            <w:shd w:val="clear" w:color="auto" w:fill="auto"/>
            <w:vAlign w:val="center"/>
          </w:tcPr>
          <w:p w14:paraId="4526F6CC">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default" w:ascii="Times New Roman" w:hAnsi="Times New Roman"/>
                <w:lang w:val="en-US" w:eastAsia="zh-CN"/>
              </w:rPr>
              <w:t>1</w:t>
            </w:r>
          </w:p>
        </w:tc>
        <w:tc>
          <w:tcPr>
            <w:tcW w:w="1035" w:type="dxa"/>
            <w:tcBorders>
              <w:tl2br w:val="nil"/>
              <w:tr2bl w:val="nil"/>
            </w:tcBorders>
            <w:shd w:val="clear" w:color="auto" w:fill="auto"/>
            <w:vAlign w:val="center"/>
          </w:tcPr>
          <w:p w14:paraId="1C14BCF2">
            <w:pPr>
              <w:widowControl/>
              <w:snapToGrid w:val="0"/>
              <w:jc w:val="left"/>
              <w:textAlignment w:val="center"/>
              <w:rPr>
                <w:rFonts w:hint="default" w:ascii="Times New Roman" w:hAnsi="Times New Roman" w:eastAsiaTheme="minorEastAsia" w:cstheme="minorBidi"/>
                <w:kern w:val="0"/>
                <w:sz w:val="20"/>
                <w:szCs w:val="24"/>
                <w:lang w:val="en-US" w:eastAsia="zh-CN" w:bidi="ar-SA"/>
              </w:rPr>
            </w:pPr>
            <w:r>
              <w:rPr>
                <w:rFonts w:hint="eastAsia" w:ascii="Times New Roman" w:hAnsi="Times New Roman" w:eastAsiaTheme="minorEastAsia" w:cstheme="minorBidi"/>
                <w:kern w:val="0"/>
                <w:sz w:val="20"/>
                <w:szCs w:val="24"/>
                <w:lang w:val="en-US" w:eastAsia="zh-CN" w:bidi="ar-SA"/>
              </w:rPr>
              <w:t>扫描仪</w:t>
            </w:r>
          </w:p>
        </w:tc>
        <w:tc>
          <w:tcPr>
            <w:tcW w:w="5445" w:type="dxa"/>
            <w:tcBorders>
              <w:tl2br w:val="nil"/>
              <w:tr2bl w:val="nil"/>
            </w:tcBorders>
            <w:shd w:val="clear" w:color="auto" w:fill="auto"/>
            <w:vAlign w:val="center"/>
          </w:tcPr>
          <w:p w14:paraId="75AA4497">
            <w:pPr>
              <w:pStyle w:val="2"/>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支持自动双面扫描</w:t>
            </w:r>
            <w:r>
              <w:rPr>
                <w:rFonts w:hint="eastAsia" w:ascii="Times New Roman" w:hAnsi="Times New Roman" w:cstheme="minorBidi"/>
                <w:kern w:val="0"/>
                <w:sz w:val="20"/>
                <w:szCs w:val="24"/>
                <w:lang w:val="en-US" w:eastAsia="zh-CN" w:bidi="ar-SA"/>
              </w:rPr>
              <w:t>。支持输出格式：PDF（可检索/加密）、JPEG、TIFF、BMP、PNG。支持自动裁剪、自动纠偏、文字方向识别</w:t>
            </w:r>
          </w:p>
          <w:p w14:paraId="3006549D">
            <w:pPr>
              <w:pStyle w:val="2"/>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扫描速度：200dpi/300dpi分辨率下，黑白/灰度/彩色同速，双面扫描速度≥90ipm（45ppm）</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"https://baike.baidu.com/item/%E8%89%AF%E7%94%B0S1262/57066911"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58B8201F">
            <w:pPr>
              <w:pStyle w:val="2"/>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图像处理：内置双核图像增强微处理芯片，支持OCR识别优化，黑白扫描时可去除彩色条纹</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"https://baike.baidu.com/item/%E8%89%AF%E7%94%B0S1262/57066911"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0F40F8C6">
            <w:pPr>
              <w:pStyle w:val="2"/>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接口与扩展：标配USB 3.0接口</w:t>
            </w:r>
            <w:r>
              <w:rPr>
                <w:rFonts w:hint="eastAsia" w:ascii="Times New Roman" w:hAnsi="Times New Roman" w:cstheme="minorBidi"/>
                <w:kern w:val="0"/>
                <w:sz w:val="20"/>
                <w:szCs w:val="24"/>
                <w:lang w:val="en-US" w:eastAsia="zh-CN" w:bidi="ar-SA"/>
              </w:rPr>
              <w:t>和</w:t>
            </w:r>
            <w:r>
              <w:rPr>
                <w:rFonts w:hint="default" w:ascii="Times New Roman" w:hAnsi="Times New Roman" w:eastAsiaTheme="minorEastAsia" w:cstheme="minorBidi"/>
                <w:kern w:val="0"/>
                <w:sz w:val="20"/>
                <w:szCs w:val="24"/>
                <w:lang w:val="en-US" w:eastAsia="zh-CN" w:bidi="ar-SA"/>
              </w:rPr>
              <w:t>网络接口面板</w:t>
            </w:r>
            <w:r>
              <w:rPr>
                <w:rFonts w:hint="eastAsia" w:ascii="Times New Roman" w:hAnsi="Times New Roman" w:cstheme="minorBidi"/>
                <w:kern w:val="0"/>
                <w:sz w:val="20"/>
                <w:szCs w:val="24"/>
                <w:lang w:val="en-US" w:eastAsia="zh-CN" w:bidi="ar-SA"/>
              </w:rPr>
              <w:t>，支持</w:t>
            </w:r>
            <w:r>
              <w:rPr>
                <w:rFonts w:hint="default" w:ascii="Times New Roman" w:hAnsi="Times New Roman" w:eastAsiaTheme="minorEastAsia" w:cstheme="minorBidi"/>
                <w:kern w:val="0"/>
                <w:sz w:val="20"/>
                <w:szCs w:val="24"/>
                <w:lang w:val="en-US" w:eastAsia="zh-CN" w:bidi="ar-SA"/>
              </w:rPr>
              <w:t>有线网络扫描</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"https://baike.baidu.com/item/%E8%89%AF%E7%94%B0S1262/57066911"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1CAAB2F8">
            <w:pPr>
              <w:pStyle w:val="2"/>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重张检测：标配超声波重张进纸检测传感器，可有效防止多页同时进纸</w:t>
            </w:r>
            <w:r>
              <w:rPr>
                <w:rFonts w:hint="eastAsia" w:ascii="Times New Roman" w:hAnsi="Times New Roman" w:cstheme="minorBidi"/>
                <w:kern w:val="0"/>
                <w:sz w:val="20"/>
                <w:szCs w:val="24"/>
                <w:lang w:val="en-US" w:eastAsia="zh-CN" w:bidi="ar-SA"/>
              </w:rPr>
              <w:t>。</w:t>
            </w:r>
          </w:p>
          <w:p w14:paraId="02797FA8">
            <w:pPr>
              <w:pStyle w:val="2"/>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进纸系统：自动进纸器容量≥100页（27–80g/m²），支持纸张厚度27–413g/m²，最大扫描幅面A4</w:t>
            </w:r>
            <w:r>
              <w:rPr>
                <w:rFonts w:hint="eastAsia" w:ascii="Times New Roman" w:hAnsi="Times New Roman" w:cstheme="minorBidi"/>
                <w:kern w:val="0"/>
                <w:sz w:val="20"/>
                <w:szCs w:val="24"/>
                <w:lang w:val="en-US" w:eastAsia="zh-CN" w:bidi="ar-SA"/>
              </w:rPr>
              <w:t>。</w:t>
            </w:r>
          </w:p>
        </w:tc>
        <w:tc>
          <w:tcPr>
            <w:tcW w:w="720" w:type="dxa"/>
            <w:tcBorders>
              <w:tl2br w:val="nil"/>
              <w:tr2bl w:val="nil"/>
            </w:tcBorders>
            <w:shd w:val="clear" w:color="auto" w:fill="auto"/>
            <w:vAlign w:val="center"/>
          </w:tcPr>
          <w:p w14:paraId="24D9FD6D">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lang w:val="en-US" w:eastAsia="zh-CN"/>
              </w:rPr>
              <w:t>6</w:t>
            </w:r>
          </w:p>
        </w:tc>
        <w:tc>
          <w:tcPr>
            <w:tcW w:w="720" w:type="dxa"/>
            <w:tcBorders>
              <w:tl2br w:val="nil"/>
              <w:tr2bl w:val="nil"/>
            </w:tcBorders>
            <w:shd w:val="clear" w:color="auto" w:fill="auto"/>
            <w:vAlign w:val="center"/>
          </w:tcPr>
          <w:p w14:paraId="2A20F5F5">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default" w:ascii="Times New Roman" w:hAnsi="Times New Roman"/>
                <w:lang w:val="en-US" w:eastAsia="zh-CN"/>
              </w:rPr>
              <w:t>台</w:t>
            </w:r>
          </w:p>
        </w:tc>
      </w:tr>
      <w:tr w14:paraId="300B8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26" w:hRule="atLeast"/>
        </w:trPr>
        <w:tc>
          <w:tcPr>
            <w:tcW w:w="661" w:type="dxa"/>
            <w:tcBorders>
              <w:tl2br w:val="nil"/>
              <w:tr2bl w:val="nil"/>
            </w:tcBorders>
            <w:shd w:val="clear" w:color="auto" w:fill="auto"/>
            <w:vAlign w:val="center"/>
          </w:tcPr>
          <w:p w14:paraId="53AB0061">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2</w:t>
            </w:r>
          </w:p>
        </w:tc>
        <w:tc>
          <w:tcPr>
            <w:tcW w:w="1035" w:type="dxa"/>
            <w:tcBorders>
              <w:tl2br w:val="nil"/>
              <w:tr2bl w:val="nil"/>
            </w:tcBorders>
            <w:shd w:val="clear" w:color="auto" w:fill="auto"/>
            <w:vAlign w:val="center"/>
          </w:tcPr>
          <w:p w14:paraId="354202EC">
            <w:pPr>
              <w:widowControl/>
              <w:snapToGrid w:val="0"/>
              <w:jc w:val="left"/>
              <w:textAlignment w:val="center"/>
              <w:rPr>
                <w:rFonts w:hint="default" w:ascii="Times New Roman" w:hAnsi="Times New Roman" w:eastAsiaTheme="minorEastAsia" w:cstheme="minorBidi"/>
                <w:kern w:val="0"/>
                <w:sz w:val="20"/>
                <w:szCs w:val="24"/>
                <w:lang w:val="en-US" w:eastAsia="zh-CN" w:bidi="ar-SA"/>
              </w:rPr>
            </w:pPr>
            <w:r>
              <w:rPr>
                <w:rFonts w:hint="eastAsia" w:ascii="Times New Roman" w:hAnsi="Times New Roman" w:eastAsiaTheme="minorEastAsia" w:cstheme="minorBidi"/>
                <w:kern w:val="0"/>
                <w:sz w:val="20"/>
                <w:szCs w:val="24"/>
                <w:lang w:val="en-US" w:eastAsia="zh-CN" w:bidi="ar-SA"/>
              </w:rPr>
              <w:t>高拍仪</w:t>
            </w:r>
          </w:p>
        </w:tc>
        <w:tc>
          <w:tcPr>
            <w:tcW w:w="5445" w:type="dxa"/>
            <w:tcBorders>
              <w:tl2br w:val="nil"/>
              <w:tr2bl w:val="nil"/>
            </w:tcBorders>
            <w:shd w:val="clear" w:color="auto" w:fill="auto"/>
            <w:vAlign w:val="center"/>
          </w:tcPr>
          <w:p w14:paraId="75ECDA1A">
            <w:pPr>
              <w:pStyle w:val="2"/>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拍摄像素：主摄像头≥1200万像素，最大分辨率≥4000×3000dpi，支持A4幅面扫描</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"https://baike.baidu.com/item/%E8%89%AF%E7%94%B0S1262/57066911"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3F44479F">
            <w:pPr>
              <w:pStyle w:val="2"/>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扫描速度：单页扫描时间＜1秒，出图响应时间≤1秒</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"https://baike.baidu.com/item/%E8%89%AF%E7%94%B0S1262/57066911"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7E4974D2">
            <w:pPr>
              <w:pStyle w:val="2"/>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光源系统：自然光+LED补光灯双光源，LED补光灯≥1颗1W正白色（色温6500K），支持三级触控调光</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"https://baike.baidu.com/item/%E8%89%AF%E7%94%B0S1262/57066911"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211CC721">
            <w:pPr>
              <w:pStyle w:val="2"/>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功能要求：支持OCR文字识别、一维码/二维码条码识别、自动纠偏、连续扫描/自动连拍、PDF图文转化、图片合成及证件合成功能；输出格式支持JPG/TIF/BMP/PNG/PDF/AVI/MP4</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"https://baike.baidu.com/item/%E8%89%AF%E7%94%B0S1262/57066911"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tc>
        <w:tc>
          <w:tcPr>
            <w:tcW w:w="720" w:type="dxa"/>
            <w:tcBorders>
              <w:tl2br w:val="nil"/>
              <w:tr2bl w:val="nil"/>
            </w:tcBorders>
            <w:shd w:val="clear" w:color="auto" w:fill="auto"/>
            <w:vAlign w:val="center"/>
          </w:tcPr>
          <w:p w14:paraId="6891934E">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lang w:val="en-US" w:eastAsia="zh-CN"/>
              </w:rPr>
              <w:t>3</w:t>
            </w:r>
          </w:p>
        </w:tc>
        <w:tc>
          <w:tcPr>
            <w:tcW w:w="720" w:type="dxa"/>
            <w:tcBorders>
              <w:tl2br w:val="nil"/>
              <w:tr2bl w:val="nil"/>
            </w:tcBorders>
            <w:shd w:val="clear" w:color="auto" w:fill="auto"/>
            <w:vAlign w:val="center"/>
          </w:tcPr>
          <w:p w14:paraId="0D554DD6">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台</w:t>
            </w:r>
          </w:p>
        </w:tc>
      </w:tr>
      <w:tr w14:paraId="40C64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86" w:hRule="atLeast"/>
        </w:trPr>
        <w:tc>
          <w:tcPr>
            <w:tcW w:w="661" w:type="dxa"/>
            <w:tcBorders>
              <w:tl2br w:val="nil"/>
              <w:tr2bl w:val="nil"/>
            </w:tcBorders>
            <w:shd w:val="clear" w:color="auto" w:fill="auto"/>
            <w:vAlign w:val="center"/>
          </w:tcPr>
          <w:p w14:paraId="0EE8A9A0">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3</w:t>
            </w:r>
          </w:p>
        </w:tc>
        <w:tc>
          <w:tcPr>
            <w:tcW w:w="1035" w:type="dxa"/>
            <w:tcBorders>
              <w:tl2br w:val="nil"/>
              <w:tr2bl w:val="nil"/>
            </w:tcBorders>
            <w:shd w:val="clear" w:color="auto" w:fill="auto"/>
            <w:vAlign w:val="center"/>
          </w:tcPr>
          <w:p w14:paraId="74DEAE7C">
            <w:pPr>
              <w:widowControl/>
              <w:snapToGrid w:val="0"/>
              <w:jc w:val="left"/>
              <w:textAlignment w:val="center"/>
              <w:rPr>
                <w:rFonts w:hint="default" w:ascii="Times New Roman" w:hAnsi="Times New Roman" w:eastAsiaTheme="minorEastAsia" w:cstheme="minorBidi"/>
                <w:kern w:val="0"/>
                <w:sz w:val="20"/>
                <w:szCs w:val="24"/>
                <w:lang w:val="en-US" w:eastAsia="zh-CN" w:bidi="ar-SA"/>
              </w:rPr>
            </w:pPr>
            <w:r>
              <w:rPr>
                <w:rFonts w:hint="eastAsia" w:ascii="Times New Roman" w:hAnsi="Times New Roman" w:eastAsiaTheme="minorEastAsia" w:cstheme="minorBidi"/>
                <w:kern w:val="0"/>
                <w:sz w:val="20"/>
                <w:szCs w:val="24"/>
                <w:lang w:val="en-US" w:eastAsia="zh-CN" w:bidi="ar-SA"/>
              </w:rPr>
              <w:t>刻录机</w:t>
            </w:r>
          </w:p>
        </w:tc>
        <w:tc>
          <w:tcPr>
            <w:tcW w:w="5445" w:type="dxa"/>
            <w:tcBorders>
              <w:tl2br w:val="nil"/>
              <w:tr2bl w:val="nil"/>
            </w:tcBorders>
            <w:shd w:val="clear" w:color="auto" w:fill="auto"/>
            <w:vAlign w:val="center"/>
          </w:tcPr>
          <w:p w14:paraId="22BD2E22">
            <w:pPr>
              <w:pStyle w:val="2"/>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刻录速度：DVD±R写入速度≥8X，DVD±R DL写入速度≥6X，CD-R写入速度≥24X</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"https://manage.eblcu.cn/specls/cls/999131/second/html/2_cdrw_cont1.htm"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"https://iknow.lenovo.com.cn/detail/033372?type=xg"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64EEE15B">
            <w:pPr>
              <w:pStyle w:val="2"/>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缓存容量：缓存≥2MB，以确保刻录稳定性、降低“缓存欠载”导致的刻录失败风险</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"https://manage.eblcu.cn/specls/cls/999131/second/html/2_cdrw_cont1.htm"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"https://iknow.lenovo.com.cn/detail/033372?type=xg"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52BDD770">
            <w:pPr>
              <w:pStyle w:val="2"/>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兼容性：支持DVD-ROM、DVD±R、DVD±RW、DVD±R DL、CD-R、CD-RW等多种盘片格式，支持DAO/TAO/封包写入等多种刻录方式</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"https://manage.eblcu.cn/specls/cls/999131/second/html/2_cdrw_cont1.htm"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"https://iknow.lenovo.com.cn/detail/033372?type=xg"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1220F9D3">
            <w:pPr>
              <w:pStyle w:val="2"/>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接口类型：建议优先选择USB接口（外置式）或SATA接口（内置式），确保与主流PC设备兼容</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"https://manage.eblcu.cn/specls/cls/999131/second/html/2_cdrw_cont1.htm"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"https://iknow.lenovo.com.cn/detail/033372?type=xg"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eastAsia" w:ascii="Times New Roman" w:hAnsi="Times New Roman" w:cstheme="minorBidi"/>
                <w:kern w:val="0"/>
                <w:sz w:val="20"/>
                <w:szCs w:val="24"/>
                <w:lang w:val="en-US" w:eastAsia="zh-CN" w:bidi="ar-SA"/>
              </w:rPr>
              <w:t>。</w:t>
            </w:r>
          </w:p>
        </w:tc>
        <w:tc>
          <w:tcPr>
            <w:tcW w:w="720" w:type="dxa"/>
            <w:tcBorders>
              <w:tl2br w:val="nil"/>
              <w:tr2bl w:val="nil"/>
            </w:tcBorders>
            <w:shd w:val="clear" w:color="auto" w:fill="auto"/>
            <w:vAlign w:val="center"/>
          </w:tcPr>
          <w:p w14:paraId="6926574D">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1</w:t>
            </w:r>
          </w:p>
        </w:tc>
        <w:tc>
          <w:tcPr>
            <w:tcW w:w="720" w:type="dxa"/>
            <w:tcBorders>
              <w:tl2br w:val="nil"/>
              <w:tr2bl w:val="nil"/>
            </w:tcBorders>
            <w:shd w:val="clear" w:color="auto" w:fill="auto"/>
            <w:vAlign w:val="center"/>
          </w:tcPr>
          <w:p w14:paraId="0D37C55F">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台</w:t>
            </w:r>
          </w:p>
        </w:tc>
      </w:tr>
      <w:tr w14:paraId="78C6F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661" w:type="dxa"/>
            <w:tcBorders>
              <w:tl2br w:val="nil"/>
              <w:tr2bl w:val="nil"/>
            </w:tcBorders>
            <w:shd w:val="clear" w:color="auto" w:fill="auto"/>
            <w:vAlign w:val="center"/>
          </w:tcPr>
          <w:p w14:paraId="19804431">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4</w:t>
            </w:r>
          </w:p>
        </w:tc>
        <w:tc>
          <w:tcPr>
            <w:tcW w:w="1035" w:type="dxa"/>
            <w:tcBorders>
              <w:tl2br w:val="nil"/>
              <w:tr2bl w:val="nil"/>
            </w:tcBorders>
            <w:shd w:val="clear" w:color="auto" w:fill="auto"/>
            <w:vAlign w:val="center"/>
          </w:tcPr>
          <w:p w14:paraId="39FAAB9F">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default" w:ascii="Times New Roman" w:hAnsi="Times New Roman"/>
                <w:lang w:val="en-US" w:eastAsia="zh-CN"/>
              </w:rPr>
              <w:t>标签打印机</w:t>
            </w:r>
          </w:p>
        </w:tc>
        <w:tc>
          <w:tcPr>
            <w:tcW w:w="5445" w:type="dxa"/>
            <w:tcBorders>
              <w:tl2br w:val="nil"/>
              <w:tr2bl w:val="nil"/>
            </w:tcBorders>
            <w:shd w:val="clear" w:color="auto" w:fill="auto"/>
            <w:vAlign w:val="center"/>
          </w:tcPr>
          <w:p w14:paraId="7174BB65">
            <w:pPr>
              <w:pStyle w:val="2"/>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打印方式：热转印/热敏双模式，支持碳带（色带）热转印打印</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"https://zh.hprt.com/Product/4-inch-Thermal-Transfer-Label-Printer.html"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1B4EBD54">
            <w:pPr>
              <w:pStyle w:val="2"/>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分辨率与速度：打印分辨率≥203dpi（建议300dpi），打印速度≥2ips–5ips（约50–127mm/s），最大打印宽度≥108mm</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"https://zh.hprt.com/Product/4-inch-Thermal-Transfer-Label-Printer.html"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"https://zh.hprt.com/Product/4-inch-Thermal-Transfer-Barcode-Label-Printer.html"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49FA47AC">
            <w:pPr>
              <w:pStyle w:val="2"/>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介质传感器：具备间隙传感器（透射式）、黑标传感器（反射式可调），支持模切标签、连续标签、黑标标签等多种介质类型</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"https://zh.hprt.com/Product/4-inch-Thermal-Transfer-Label-Printer.html"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"https://zh.hprt.com/Product/4-inch-Thermal-Transfer-Barcode-Label-Printer.html"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6CD10CE2">
            <w:pPr>
              <w:pStyle w:val="2"/>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lang w:val="en-US" w:eastAsia="zh-CN"/>
              </w:rPr>
            </w:pPr>
            <w:r>
              <w:rPr>
                <w:rFonts w:hint="default" w:ascii="Times New Roman" w:hAnsi="Times New Roman" w:eastAsiaTheme="minorEastAsia" w:cstheme="minorBidi"/>
                <w:kern w:val="0"/>
                <w:sz w:val="20"/>
                <w:szCs w:val="24"/>
                <w:lang w:val="en-US" w:eastAsia="zh-CN" w:bidi="ar-SA"/>
              </w:rPr>
              <w:t>接口与编程语言：标配USB、串口、以太网接口，支持ZPL、EPL、TSPL等主流标签编程语言仿真</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"https://zh.hprt.com/Product/4-inch-Thermal-Transfer-Label-Printer.html"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"https://zh.hprt.com/Product/4-inch-Thermal-Transfer-Barcode-Label-Printer.html"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tc>
        <w:tc>
          <w:tcPr>
            <w:tcW w:w="720" w:type="dxa"/>
            <w:tcBorders>
              <w:tl2br w:val="nil"/>
              <w:tr2bl w:val="nil"/>
            </w:tcBorders>
            <w:shd w:val="clear" w:color="auto" w:fill="auto"/>
            <w:vAlign w:val="center"/>
          </w:tcPr>
          <w:p w14:paraId="3467C903">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1</w:t>
            </w:r>
          </w:p>
        </w:tc>
        <w:tc>
          <w:tcPr>
            <w:tcW w:w="720" w:type="dxa"/>
            <w:tcBorders>
              <w:tl2br w:val="nil"/>
              <w:tr2bl w:val="nil"/>
            </w:tcBorders>
            <w:shd w:val="clear" w:color="auto" w:fill="auto"/>
            <w:vAlign w:val="center"/>
          </w:tcPr>
          <w:p w14:paraId="38445A07">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台</w:t>
            </w:r>
          </w:p>
        </w:tc>
      </w:tr>
      <w:tr w14:paraId="15E65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86" w:hRule="atLeast"/>
        </w:trPr>
        <w:tc>
          <w:tcPr>
            <w:tcW w:w="661" w:type="dxa"/>
            <w:tcBorders>
              <w:tl2br w:val="nil"/>
              <w:tr2bl w:val="nil"/>
            </w:tcBorders>
            <w:shd w:val="clear" w:color="auto" w:fill="auto"/>
            <w:vAlign w:val="center"/>
          </w:tcPr>
          <w:p w14:paraId="35F5F853">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5</w:t>
            </w:r>
          </w:p>
        </w:tc>
        <w:tc>
          <w:tcPr>
            <w:tcW w:w="1035" w:type="dxa"/>
            <w:tcBorders>
              <w:tl2br w:val="nil"/>
              <w:tr2bl w:val="nil"/>
            </w:tcBorders>
            <w:shd w:val="clear" w:color="auto" w:fill="auto"/>
            <w:vAlign w:val="center"/>
          </w:tcPr>
          <w:p w14:paraId="39FC47F2">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扫码器</w:t>
            </w:r>
          </w:p>
        </w:tc>
        <w:tc>
          <w:tcPr>
            <w:tcW w:w="5445" w:type="dxa"/>
            <w:tcBorders>
              <w:tl2br w:val="nil"/>
              <w:tr2bl w:val="nil"/>
            </w:tcBorders>
            <w:shd w:val="clear" w:color="auto" w:fill="auto"/>
            <w:vAlign w:val="center"/>
          </w:tcPr>
          <w:p w14:paraId="07D27288">
            <w:pPr>
              <w:pStyle w:val="2"/>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解码能力：支持一维码及二维码（PDF417、DataMatrix、QR Code等）全向解读，解码精度≥4mil</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"https://detail.zol.com.cn/2142/2141549/param.shtml"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"https://detail.zol.com.cn/smartcard_reader/index2141549.shtml"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7A94633C">
            <w:pPr>
              <w:pStyle w:val="2"/>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无线传输：支持无线数据传输（蓝牙/Wi-Fi），可脱离线缆束缚作业</w:t>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"https://detail.zol.com.cn/2142/2141549/param.shtml"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fldChar w:fldCharType="begin"/>
            </w:r>
            <w:r>
              <w:rPr>
                <w:rFonts w:hint="default" w:ascii="Times New Roman" w:hAnsi="Times New Roman" w:eastAsiaTheme="minorEastAsia" w:cstheme="minorBidi"/>
                <w:kern w:val="0"/>
                <w:sz w:val="20"/>
                <w:szCs w:val="24"/>
                <w:lang w:val="en-US" w:eastAsia="zh-CN" w:bidi="ar-SA"/>
              </w:rPr>
              <w:instrText xml:space="preserve"> HYPERLINK "https://detail.zol.com.cn/smartcard_reader/index2141549.shtml" \t "https://chat.deepseek.com/a/chat/s/_blank" </w:instrText>
            </w:r>
            <w:r>
              <w:rPr>
                <w:rFonts w:hint="default" w:ascii="Times New Roman" w:hAnsi="Times New Roman" w:eastAsiaTheme="minorEastAsia" w:cstheme="minorBidi"/>
                <w:kern w:val="0"/>
                <w:sz w:val="20"/>
                <w:szCs w:val="24"/>
                <w:lang w:val="en-US" w:eastAsia="zh-CN" w:bidi="ar-SA"/>
              </w:rPr>
              <w:fldChar w:fldCharType="separate"/>
            </w:r>
            <w:r>
              <w:rPr>
                <w:rFonts w:hint="default" w:ascii="Times New Roman" w:hAnsi="Times New Roman" w:eastAsiaTheme="minorEastAsia" w:cstheme="minorBidi"/>
                <w:kern w:val="0"/>
                <w:sz w:val="20"/>
                <w:szCs w:val="24"/>
                <w:lang w:val="en-US" w:eastAsia="zh-CN" w:bidi="ar-SA"/>
              </w:rPr>
              <w:fldChar w:fldCharType="end"/>
            </w:r>
            <w:r>
              <w:rPr>
                <w:rFonts w:hint="default" w:ascii="Times New Roman" w:hAnsi="Times New Roman" w:eastAsiaTheme="minorEastAsia" w:cstheme="minorBidi"/>
                <w:kern w:val="0"/>
                <w:sz w:val="20"/>
                <w:szCs w:val="24"/>
                <w:lang w:val="en-US" w:eastAsia="zh-CN" w:bidi="ar-SA"/>
              </w:rPr>
              <w:t>。</w:t>
            </w:r>
          </w:p>
          <w:p w14:paraId="1DEBD6A3">
            <w:pPr>
              <w:pStyle w:val="2"/>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jc w:val="left"/>
              <w:textAlignment w:val="auto"/>
              <w:rPr>
                <w:rFonts w:hint="default" w:ascii="Times New Roman" w:hAnsi="Times New Roman" w:eastAsiaTheme="minorEastAsia" w:cstheme="minorBidi"/>
                <w:kern w:val="0"/>
                <w:sz w:val="20"/>
                <w:szCs w:val="24"/>
                <w:lang w:val="en-US" w:eastAsia="zh-CN" w:bidi="ar-SA"/>
              </w:rPr>
            </w:pPr>
            <w:r>
              <w:rPr>
                <w:rFonts w:hint="default" w:ascii="Times New Roman" w:hAnsi="Times New Roman" w:eastAsiaTheme="minorEastAsia" w:cstheme="minorBidi"/>
                <w:kern w:val="0"/>
                <w:sz w:val="20"/>
                <w:szCs w:val="24"/>
                <w:lang w:val="en-US" w:eastAsia="zh-CN" w:bidi="ar-SA"/>
              </w:rPr>
              <w:t>光源与内存：影像式光源，内置内存≥16M，支持批量数据存储与传输</w:t>
            </w:r>
          </w:p>
        </w:tc>
        <w:tc>
          <w:tcPr>
            <w:tcW w:w="720" w:type="dxa"/>
            <w:tcBorders>
              <w:tl2br w:val="nil"/>
              <w:tr2bl w:val="nil"/>
            </w:tcBorders>
            <w:shd w:val="clear" w:color="auto" w:fill="auto"/>
            <w:vAlign w:val="center"/>
          </w:tcPr>
          <w:p w14:paraId="5F7F2849">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1</w:t>
            </w:r>
          </w:p>
        </w:tc>
        <w:tc>
          <w:tcPr>
            <w:tcW w:w="720" w:type="dxa"/>
            <w:tcBorders>
              <w:tl2br w:val="nil"/>
              <w:tr2bl w:val="nil"/>
            </w:tcBorders>
            <w:shd w:val="clear" w:color="auto" w:fill="auto"/>
            <w:vAlign w:val="center"/>
          </w:tcPr>
          <w:p w14:paraId="05496DC5">
            <w:pPr>
              <w:pStyle w:val="2"/>
              <w:pageBreakBefore w:val="0"/>
              <w:widowControl w:val="0"/>
              <w:kinsoku/>
              <w:wordWrap/>
              <w:overflowPunct/>
              <w:topLinePunct w:val="0"/>
              <w:autoSpaceDE/>
              <w:autoSpaceDN/>
              <w:bidi w:val="0"/>
              <w:adjustRightInd/>
              <w:snapToGrid/>
              <w:spacing w:after="0" w:line="312" w:lineRule="auto"/>
              <w:textAlignment w:val="auto"/>
              <w:rPr>
                <w:rFonts w:hint="default" w:ascii="Times New Roman" w:hAnsi="Times New Roman"/>
                <w:lang w:val="en-US" w:eastAsia="zh-CN"/>
              </w:rPr>
            </w:pPr>
            <w:r>
              <w:rPr>
                <w:rFonts w:hint="eastAsia" w:ascii="Times New Roman" w:hAnsi="Times New Roman"/>
                <w:lang w:val="en-US" w:eastAsia="zh-CN"/>
              </w:rPr>
              <w:t>台</w:t>
            </w:r>
          </w:p>
        </w:tc>
      </w:tr>
    </w:tbl>
    <w:p w14:paraId="56647044">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default"/>
          <w:lang w:val="en-US" w:eastAsia="zh-CN"/>
        </w:rPr>
      </w:pPr>
      <w:r>
        <w:rPr>
          <w:rFonts w:hint="default"/>
          <w:lang w:val="en-US" w:eastAsia="zh-CN"/>
        </w:rPr>
        <w:t>2</w:t>
      </w:r>
      <w:r>
        <w:rPr>
          <w:rFonts w:hint="eastAsia"/>
          <w:lang w:val="en-US" w:eastAsia="zh-CN"/>
        </w:rPr>
        <w:t>.3网络安全</w:t>
      </w:r>
      <w:r>
        <w:rPr>
          <w:rFonts w:hint="default"/>
          <w:lang w:val="en-US" w:eastAsia="zh-CN"/>
        </w:rPr>
        <w:t>要求</w:t>
      </w:r>
    </w:p>
    <w:tbl>
      <w:tblPr>
        <w:tblStyle w:val="11"/>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84"/>
        <w:gridCol w:w="1383"/>
        <w:gridCol w:w="5300"/>
      </w:tblGrid>
      <w:tr w14:paraId="6673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Pr>
          <w:p w14:paraId="4F5C042D">
            <w:pPr>
              <w:pStyle w:val="2"/>
              <w:pageBreakBefore w:val="0"/>
              <w:widowControl w:val="0"/>
              <w:kinsoku/>
              <w:wordWrap/>
              <w:overflowPunct/>
              <w:topLinePunct w:val="0"/>
              <w:autoSpaceDE/>
              <w:autoSpaceDN/>
              <w:bidi w:val="0"/>
              <w:adjustRightInd/>
              <w:snapToGrid/>
              <w:spacing w:after="0" w:line="312" w:lineRule="auto"/>
              <w:jc w:val="center"/>
              <w:textAlignment w:val="auto"/>
              <w:rPr>
                <w:rFonts w:hint="default"/>
                <w:lang w:val="en-US" w:eastAsia="zh-CN"/>
              </w:rPr>
            </w:pPr>
            <w:r>
              <w:rPr>
                <w:rFonts w:hint="default"/>
                <w:lang w:val="en-US" w:eastAsia="zh-CN"/>
              </w:rPr>
              <w:t>序号</w:t>
            </w:r>
          </w:p>
        </w:tc>
        <w:tc>
          <w:tcPr>
            <w:tcW w:w="1084" w:type="dxa"/>
          </w:tcPr>
          <w:p w14:paraId="3B462E9D">
            <w:pPr>
              <w:pStyle w:val="2"/>
              <w:pageBreakBefore w:val="0"/>
              <w:widowControl w:val="0"/>
              <w:kinsoku/>
              <w:wordWrap/>
              <w:overflowPunct/>
              <w:topLinePunct w:val="0"/>
              <w:autoSpaceDE/>
              <w:autoSpaceDN/>
              <w:bidi w:val="0"/>
              <w:adjustRightInd/>
              <w:snapToGrid/>
              <w:spacing w:after="0" w:line="312" w:lineRule="auto"/>
              <w:jc w:val="center"/>
              <w:textAlignment w:val="auto"/>
              <w:rPr>
                <w:rFonts w:hint="default"/>
                <w:lang w:val="en-US" w:eastAsia="zh-CN"/>
              </w:rPr>
            </w:pPr>
            <w:r>
              <w:rPr>
                <w:rFonts w:hint="default"/>
                <w:lang w:val="en-US" w:eastAsia="zh-CN"/>
              </w:rPr>
              <w:t>模块</w:t>
            </w:r>
          </w:p>
        </w:tc>
        <w:tc>
          <w:tcPr>
            <w:tcW w:w="1383" w:type="dxa"/>
          </w:tcPr>
          <w:p w14:paraId="34861F93">
            <w:pPr>
              <w:pStyle w:val="2"/>
              <w:pageBreakBefore w:val="0"/>
              <w:widowControl w:val="0"/>
              <w:kinsoku/>
              <w:wordWrap/>
              <w:overflowPunct/>
              <w:topLinePunct w:val="0"/>
              <w:autoSpaceDE/>
              <w:autoSpaceDN/>
              <w:bidi w:val="0"/>
              <w:adjustRightInd/>
              <w:snapToGrid/>
              <w:spacing w:after="0" w:line="312" w:lineRule="auto"/>
              <w:jc w:val="center"/>
              <w:textAlignment w:val="auto"/>
              <w:rPr>
                <w:rFonts w:hint="default"/>
                <w:lang w:val="en-US" w:eastAsia="zh-CN"/>
              </w:rPr>
            </w:pPr>
            <w:r>
              <w:rPr>
                <w:rFonts w:hint="default"/>
                <w:lang w:val="en-US" w:eastAsia="zh-CN"/>
              </w:rPr>
              <w:t>功能</w:t>
            </w:r>
          </w:p>
        </w:tc>
        <w:tc>
          <w:tcPr>
            <w:tcW w:w="5300" w:type="dxa"/>
          </w:tcPr>
          <w:p w14:paraId="7A2F799F">
            <w:pPr>
              <w:pStyle w:val="2"/>
              <w:pageBreakBefore w:val="0"/>
              <w:widowControl w:val="0"/>
              <w:kinsoku/>
              <w:wordWrap/>
              <w:overflowPunct/>
              <w:topLinePunct w:val="0"/>
              <w:autoSpaceDE/>
              <w:autoSpaceDN/>
              <w:bidi w:val="0"/>
              <w:adjustRightInd/>
              <w:snapToGrid/>
              <w:spacing w:after="0" w:line="312" w:lineRule="auto"/>
              <w:ind w:firstLine="420" w:firstLineChars="0"/>
              <w:jc w:val="center"/>
              <w:textAlignment w:val="auto"/>
              <w:rPr>
                <w:rFonts w:hint="default"/>
                <w:lang w:val="en-US" w:eastAsia="zh-CN"/>
              </w:rPr>
            </w:pPr>
            <w:r>
              <w:rPr>
                <w:rFonts w:hint="default"/>
                <w:lang w:val="en-US" w:eastAsia="zh-CN"/>
              </w:rPr>
              <w:t>内涵描述</w:t>
            </w:r>
          </w:p>
        </w:tc>
      </w:tr>
      <w:tr w14:paraId="6C0B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vAlign w:val="center"/>
          </w:tcPr>
          <w:p w14:paraId="222D8E9F">
            <w:pPr>
              <w:pStyle w:val="2"/>
              <w:pageBreakBefore w:val="0"/>
              <w:widowControl w:val="0"/>
              <w:kinsoku/>
              <w:wordWrap/>
              <w:overflowPunct/>
              <w:topLinePunct w:val="0"/>
              <w:autoSpaceDE/>
              <w:autoSpaceDN/>
              <w:bidi w:val="0"/>
              <w:adjustRightInd/>
              <w:snapToGrid/>
              <w:spacing w:after="0" w:line="312" w:lineRule="auto"/>
              <w:jc w:val="left"/>
              <w:textAlignment w:val="auto"/>
              <w:rPr>
                <w:rFonts w:hint="default"/>
                <w:lang w:val="en-US" w:eastAsia="zh-CN"/>
              </w:rPr>
            </w:pPr>
            <w:r>
              <w:rPr>
                <w:rFonts w:hint="default"/>
                <w:lang w:val="en-US" w:eastAsia="zh-CN"/>
              </w:rPr>
              <w:t>1</w:t>
            </w:r>
          </w:p>
        </w:tc>
        <w:tc>
          <w:tcPr>
            <w:tcW w:w="1084" w:type="dxa"/>
            <w:vMerge w:val="restart"/>
            <w:vAlign w:val="center"/>
          </w:tcPr>
          <w:p w14:paraId="567005D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身份鉴别与访问控制</w:t>
            </w:r>
          </w:p>
        </w:tc>
        <w:tc>
          <w:tcPr>
            <w:tcW w:w="1383" w:type="dxa"/>
            <w:vAlign w:val="center"/>
          </w:tcPr>
          <w:p w14:paraId="0BB2B36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多因素认证</w:t>
            </w:r>
          </w:p>
        </w:tc>
        <w:tc>
          <w:tcPr>
            <w:tcW w:w="5300" w:type="dxa"/>
          </w:tcPr>
          <w:p w14:paraId="3E902A5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系统应支持基于用户名/口令、动态令牌（OTP）、生物特征或USB Key（UKey）等多种方式的组合认证，确保登录用户的身份真实性。</w:t>
            </w:r>
          </w:p>
        </w:tc>
      </w:tr>
      <w:tr w14:paraId="36F8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vAlign w:val="center"/>
          </w:tcPr>
          <w:p w14:paraId="653A1854">
            <w:pPr>
              <w:pStyle w:val="2"/>
              <w:pageBreakBefore w:val="0"/>
              <w:widowControl w:val="0"/>
              <w:kinsoku/>
              <w:wordWrap/>
              <w:overflowPunct/>
              <w:topLinePunct w:val="0"/>
              <w:autoSpaceDE/>
              <w:autoSpaceDN/>
              <w:bidi w:val="0"/>
              <w:adjustRightInd/>
              <w:snapToGrid/>
              <w:spacing w:after="0" w:line="312" w:lineRule="auto"/>
              <w:ind w:firstLine="420" w:firstLineChars="0"/>
              <w:jc w:val="left"/>
              <w:textAlignment w:val="auto"/>
              <w:rPr>
                <w:rFonts w:hint="default"/>
                <w:lang w:val="en-US" w:eastAsia="zh-CN"/>
              </w:rPr>
            </w:pPr>
          </w:p>
        </w:tc>
        <w:tc>
          <w:tcPr>
            <w:tcW w:w="1084" w:type="dxa"/>
            <w:vMerge w:val="continue"/>
            <w:vAlign w:val="center"/>
          </w:tcPr>
          <w:p w14:paraId="12F453A4">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default"/>
                <w:lang w:val="en-US" w:eastAsia="zh-CN"/>
              </w:rPr>
            </w:pPr>
          </w:p>
        </w:tc>
        <w:tc>
          <w:tcPr>
            <w:tcW w:w="1383" w:type="dxa"/>
            <w:vAlign w:val="center"/>
          </w:tcPr>
          <w:p w14:paraId="791673BF">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强密码策略</w:t>
            </w:r>
          </w:p>
        </w:tc>
        <w:tc>
          <w:tcPr>
            <w:tcW w:w="5300" w:type="dxa"/>
          </w:tcPr>
          <w:p w14:paraId="0744C20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系统应具备强制性的密码复杂度校验机制，要求密码长度不少于8位，必须包含大写字母、小写字母、数字及特殊字符中的至少三种；支持配置密码定期更换周期（如90天），并限制密码历史记录（如5次内不得重复）。</w:t>
            </w:r>
          </w:p>
        </w:tc>
      </w:tr>
      <w:tr w14:paraId="30AC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vAlign w:val="center"/>
          </w:tcPr>
          <w:p w14:paraId="75153787">
            <w:pPr>
              <w:pStyle w:val="2"/>
              <w:pageBreakBefore w:val="0"/>
              <w:widowControl w:val="0"/>
              <w:kinsoku/>
              <w:wordWrap/>
              <w:overflowPunct/>
              <w:topLinePunct w:val="0"/>
              <w:autoSpaceDE/>
              <w:autoSpaceDN/>
              <w:bidi w:val="0"/>
              <w:adjustRightInd/>
              <w:snapToGrid/>
              <w:spacing w:after="0" w:line="312" w:lineRule="auto"/>
              <w:ind w:firstLine="420" w:firstLineChars="0"/>
              <w:jc w:val="left"/>
              <w:textAlignment w:val="auto"/>
              <w:rPr>
                <w:rFonts w:hint="default"/>
                <w:lang w:val="en-US" w:eastAsia="zh-CN"/>
              </w:rPr>
            </w:pPr>
          </w:p>
        </w:tc>
        <w:tc>
          <w:tcPr>
            <w:tcW w:w="1084" w:type="dxa"/>
            <w:vMerge w:val="continue"/>
            <w:vAlign w:val="center"/>
          </w:tcPr>
          <w:p w14:paraId="32A9327A">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default"/>
                <w:lang w:val="en-US" w:eastAsia="zh-CN"/>
              </w:rPr>
            </w:pPr>
          </w:p>
        </w:tc>
        <w:tc>
          <w:tcPr>
            <w:tcW w:w="1383" w:type="dxa"/>
            <w:vAlign w:val="center"/>
          </w:tcPr>
          <w:p w14:paraId="505A509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登录限制</w:t>
            </w:r>
          </w:p>
        </w:tc>
        <w:tc>
          <w:tcPr>
            <w:tcW w:w="5300" w:type="dxa"/>
          </w:tcPr>
          <w:p w14:paraId="7D9CC4B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系统应具备登录失败处理机制，当连续输入错误密码达到设定阈值（如5次）时，应自动锁定账户或延迟响应；支持设置会话超时自动退出机制。</w:t>
            </w:r>
          </w:p>
        </w:tc>
      </w:tr>
      <w:tr w14:paraId="6395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vAlign w:val="center"/>
          </w:tcPr>
          <w:p w14:paraId="2972303B">
            <w:pPr>
              <w:pStyle w:val="2"/>
              <w:pageBreakBefore w:val="0"/>
              <w:widowControl w:val="0"/>
              <w:kinsoku/>
              <w:wordWrap/>
              <w:overflowPunct/>
              <w:topLinePunct w:val="0"/>
              <w:autoSpaceDE/>
              <w:autoSpaceDN/>
              <w:bidi w:val="0"/>
              <w:adjustRightInd/>
              <w:snapToGrid/>
              <w:spacing w:after="0" w:line="312" w:lineRule="auto"/>
              <w:jc w:val="left"/>
              <w:textAlignment w:val="auto"/>
              <w:rPr>
                <w:rFonts w:hint="default"/>
                <w:lang w:val="en-US" w:eastAsia="zh-CN"/>
              </w:rPr>
            </w:pPr>
            <w:r>
              <w:rPr>
                <w:rFonts w:hint="default"/>
                <w:lang w:val="en-US" w:eastAsia="zh-CN"/>
              </w:rPr>
              <w:t>2</w:t>
            </w:r>
          </w:p>
        </w:tc>
        <w:tc>
          <w:tcPr>
            <w:tcW w:w="1084" w:type="dxa"/>
            <w:vMerge w:val="restart"/>
            <w:vAlign w:val="center"/>
          </w:tcPr>
          <w:p w14:paraId="162CBF6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eastAsia"/>
                <w:lang w:val="en-US" w:eastAsia="zh-CN"/>
              </w:rPr>
              <w:t>安全审计</w:t>
            </w:r>
          </w:p>
        </w:tc>
        <w:tc>
          <w:tcPr>
            <w:tcW w:w="1383" w:type="dxa"/>
            <w:vAlign w:val="center"/>
          </w:tcPr>
          <w:p w14:paraId="71A03D81">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操作留痕</w:t>
            </w:r>
          </w:p>
        </w:tc>
        <w:tc>
          <w:tcPr>
            <w:tcW w:w="5300" w:type="dxa"/>
            <w:vAlign w:val="center"/>
          </w:tcPr>
          <w:p w14:paraId="22DD02BE">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系统应具备完善的安全审计功能，可记录用户对电子会计资料的创建、修改、删除、查询、导出、打印等关键操作，以及管理员的所有配置操作。</w:t>
            </w:r>
          </w:p>
        </w:tc>
      </w:tr>
      <w:tr w14:paraId="7860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vAlign w:val="center"/>
          </w:tcPr>
          <w:p w14:paraId="372CBF62">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default"/>
                <w:lang w:val="en-US" w:eastAsia="zh-CN"/>
              </w:rPr>
            </w:pPr>
          </w:p>
        </w:tc>
        <w:tc>
          <w:tcPr>
            <w:tcW w:w="1084" w:type="dxa"/>
            <w:vMerge w:val="continue"/>
            <w:vAlign w:val="center"/>
          </w:tcPr>
          <w:p w14:paraId="2448EEFF">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default"/>
                <w:lang w:val="en-US" w:eastAsia="zh-CN"/>
              </w:rPr>
            </w:pPr>
          </w:p>
        </w:tc>
        <w:tc>
          <w:tcPr>
            <w:tcW w:w="1383" w:type="dxa"/>
            <w:vAlign w:val="center"/>
          </w:tcPr>
          <w:p w14:paraId="64F8491D">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日志保护</w:t>
            </w:r>
          </w:p>
        </w:tc>
        <w:tc>
          <w:tcPr>
            <w:tcW w:w="5300" w:type="dxa"/>
            <w:vAlign w:val="center"/>
          </w:tcPr>
          <w:p w14:paraId="6CFD334C">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审计记录应包含事件日期、时间、发起者信息、类型、描述和结果等字段，且应受到保护，防止未经授权的删除、修改或覆盖，保存时间应符合国家法规要求（通常不少于6个月）。</w:t>
            </w:r>
          </w:p>
        </w:tc>
      </w:tr>
      <w:tr w14:paraId="7049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vAlign w:val="center"/>
          </w:tcPr>
          <w:p w14:paraId="5BFB203C">
            <w:pPr>
              <w:pStyle w:val="2"/>
              <w:pageBreakBefore w:val="0"/>
              <w:widowControl w:val="0"/>
              <w:kinsoku/>
              <w:wordWrap/>
              <w:overflowPunct/>
              <w:topLinePunct w:val="0"/>
              <w:autoSpaceDE/>
              <w:autoSpaceDN/>
              <w:bidi w:val="0"/>
              <w:adjustRightInd/>
              <w:snapToGrid/>
              <w:spacing w:after="0" w:line="312" w:lineRule="auto"/>
              <w:jc w:val="left"/>
              <w:textAlignment w:val="auto"/>
              <w:rPr>
                <w:rFonts w:hint="default"/>
                <w:lang w:val="en-US" w:eastAsia="zh-CN"/>
              </w:rPr>
            </w:pPr>
            <w:r>
              <w:rPr>
                <w:rFonts w:hint="eastAsia"/>
                <w:lang w:val="en-US" w:eastAsia="zh-CN"/>
              </w:rPr>
              <w:t>3</w:t>
            </w:r>
          </w:p>
        </w:tc>
        <w:tc>
          <w:tcPr>
            <w:tcW w:w="1084" w:type="dxa"/>
            <w:vMerge w:val="restart"/>
            <w:vAlign w:val="center"/>
          </w:tcPr>
          <w:p w14:paraId="4FC32894">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数据完整性与保密性</w:t>
            </w:r>
          </w:p>
        </w:tc>
        <w:tc>
          <w:tcPr>
            <w:tcW w:w="1383" w:type="dxa"/>
            <w:vAlign w:val="center"/>
          </w:tcPr>
          <w:p w14:paraId="39B6A6D5">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传输加密</w:t>
            </w:r>
          </w:p>
        </w:tc>
        <w:tc>
          <w:tcPr>
            <w:tcW w:w="5300" w:type="dxa"/>
            <w:vAlign w:val="center"/>
          </w:tcPr>
          <w:p w14:paraId="296C2209">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系统应采用HTTPS/TLS 1.2及以上协议对客户端与服务器之间的数据传输进行加密，确保资料在网络传输过程中的保密性和完整性。</w:t>
            </w:r>
          </w:p>
        </w:tc>
      </w:tr>
      <w:tr w14:paraId="6AE2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vAlign w:val="center"/>
          </w:tcPr>
          <w:p w14:paraId="268D0AAF">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default"/>
                <w:lang w:val="en-US" w:eastAsia="zh-CN"/>
              </w:rPr>
            </w:pPr>
          </w:p>
        </w:tc>
        <w:tc>
          <w:tcPr>
            <w:tcW w:w="1084" w:type="dxa"/>
            <w:vMerge w:val="continue"/>
            <w:vAlign w:val="center"/>
          </w:tcPr>
          <w:p w14:paraId="75FC6253">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default"/>
                <w:lang w:val="en-US" w:eastAsia="zh-CN"/>
              </w:rPr>
            </w:pPr>
          </w:p>
        </w:tc>
        <w:tc>
          <w:tcPr>
            <w:tcW w:w="1383" w:type="dxa"/>
            <w:vAlign w:val="center"/>
          </w:tcPr>
          <w:p w14:paraId="0999AF7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存储加密</w:t>
            </w:r>
          </w:p>
        </w:tc>
        <w:tc>
          <w:tcPr>
            <w:tcW w:w="5300" w:type="dxa"/>
            <w:vAlign w:val="center"/>
          </w:tcPr>
          <w:p w14:paraId="0B19501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对于敏感数据（如用户密码、身份证号、银行账号等），系统应在存储时进行加盐哈希或高强度加密处理。</w:t>
            </w:r>
          </w:p>
        </w:tc>
      </w:tr>
      <w:tr w14:paraId="01EB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Align w:val="center"/>
          </w:tcPr>
          <w:p w14:paraId="41B6D6D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eastAsia"/>
                <w:lang w:val="en-US" w:eastAsia="zh-CN"/>
              </w:rPr>
              <w:t>4</w:t>
            </w:r>
          </w:p>
        </w:tc>
        <w:tc>
          <w:tcPr>
            <w:tcW w:w="1084" w:type="dxa"/>
            <w:vAlign w:val="center"/>
          </w:tcPr>
          <w:p w14:paraId="32084130">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容灾与恢复</w:t>
            </w:r>
          </w:p>
        </w:tc>
        <w:tc>
          <w:tcPr>
            <w:tcW w:w="1383" w:type="dxa"/>
            <w:vAlign w:val="center"/>
          </w:tcPr>
          <w:p w14:paraId="15CBF0B8">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异地备份</w:t>
            </w:r>
          </w:p>
        </w:tc>
        <w:tc>
          <w:tcPr>
            <w:tcW w:w="5300" w:type="dxa"/>
            <w:vAlign w:val="center"/>
          </w:tcPr>
          <w:p w14:paraId="5CE0971B">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r>
              <w:rPr>
                <w:rFonts w:hint="default"/>
                <w:lang w:val="en-US" w:eastAsia="zh-CN"/>
              </w:rPr>
              <w:t>系统应支持重要数据的异地实时或准实时备份，备份策略应支持全量备份和增量备份。</w:t>
            </w:r>
          </w:p>
        </w:tc>
      </w:tr>
    </w:tbl>
    <w:p w14:paraId="7A85C8CA">
      <w:pPr>
        <w:pStyle w:val="2"/>
        <w:pageBreakBefore w:val="0"/>
        <w:widowControl w:val="0"/>
        <w:kinsoku/>
        <w:wordWrap/>
        <w:overflowPunct/>
        <w:topLinePunct w:val="0"/>
        <w:autoSpaceDE/>
        <w:autoSpaceDN/>
        <w:bidi w:val="0"/>
        <w:adjustRightInd/>
        <w:snapToGrid/>
        <w:spacing w:after="0" w:line="312" w:lineRule="auto"/>
        <w:textAlignment w:val="auto"/>
        <w:rPr>
          <w:rFonts w:hint="default"/>
          <w:lang w:val="en-US" w:eastAsia="zh-CN"/>
        </w:rPr>
      </w:pPr>
    </w:p>
    <w:p w14:paraId="056F9697">
      <w:pPr>
        <w:pStyle w:val="2"/>
        <w:pageBreakBefore w:val="0"/>
        <w:widowControl w:val="0"/>
        <w:kinsoku/>
        <w:wordWrap/>
        <w:overflowPunct/>
        <w:topLinePunct w:val="0"/>
        <w:autoSpaceDE/>
        <w:autoSpaceDN/>
        <w:bidi w:val="0"/>
        <w:adjustRightInd/>
        <w:snapToGrid/>
        <w:spacing w:after="0" w:line="312" w:lineRule="auto"/>
        <w:textAlignment w:val="auto"/>
        <w:rPr>
          <w:rFonts w:ascii="宋体" w:hAnsi="宋体" w:eastAsia="宋体" w:cs="宋体"/>
          <w:b/>
          <w:bCs/>
          <w:color w:val="auto"/>
          <w:sz w:val="28"/>
          <w:lang w:val="en-US"/>
        </w:rPr>
      </w:pPr>
      <w:r>
        <w:rPr>
          <w:rFonts w:hint="eastAsia" w:ascii="宋体" w:hAnsi="宋体" w:eastAsia="宋体" w:cs="宋体"/>
          <w:b/>
          <w:bCs/>
          <w:color w:val="auto"/>
          <w:sz w:val="28"/>
          <w:lang w:val="en-US"/>
        </w:rPr>
        <w:t>三、对接口及系统改造的要求</w:t>
      </w:r>
    </w:p>
    <w:p w14:paraId="035F1221">
      <w:pPr>
        <w:pageBreakBefore w:val="0"/>
        <w:widowControl w:val="0"/>
        <w:kinsoku/>
        <w:wordWrap/>
        <w:overflowPunct/>
        <w:topLinePunct w:val="0"/>
        <w:autoSpaceDE/>
        <w:autoSpaceDN/>
        <w:bidi w:val="0"/>
        <w:adjustRightInd/>
        <w:snapToGrid/>
        <w:spacing w:line="312" w:lineRule="auto"/>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ab/>
      </w:r>
      <w:r>
        <w:rPr>
          <w:rFonts w:hint="eastAsia" w:ascii="宋体" w:hAnsi="宋体" w:eastAsia="宋体" w:cs="宋体"/>
          <w:b/>
          <w:bCs/>
          <w:color w:val="auto"/>
          <w:sz w:val="24"/>
          <w:szCs w:val="24"/>
          <w:lang w:eastAsia="zh-CN"/>
        </w:rPr>
        <w:t>质</w:t>
      </w:r>
      <w:r>
        <w:rPr>
          <w:rFonts w:hint="eastAsia" w:ascii="宋体" w:hAnsi="宋体" w:eastAsia="宋体" w:cs="宋体"/>
          <w:b/>
          <w:bCs/>
          <w:color w:val="auto"/>
          <w:sz w:val="24"/>
          <w:szCs w:val="24"/>
        </w:rPr>
        <w:t>保期和</w:t>
      </w:r>
      <w:r>
        <w:rPr>
          <w:rFonts w:hint="eastAsia" w:ascii="宋体" w:hAnsi="宋体" w:eastAsia="宋体" w:cs="宋体"/>
          <w:b/>
          <w:bCs/>
          <w:color w:val="auto"/>
          <w:sz w:val="24"/>
          <w:szCs w:val="24"/>
          <w:lang w:eastAsia="zh-CN"/>
        </w:rPr>
        <w:t>维</w:t>
      </w:r>
      <w:r>
        <w:rPr>
          <w:rFonts w:hint="eastAsia" w:ascii="宋体" w:hAnsi="宋体" w:eastAsia="宋体" w:cs="宋体"/>
          <w:b/>
          <w:bCs/>
          <w:color w:val="auto"/>
          <w:sz w:val="24"/>
          <w:szCs w:val="24"/>
        </w:rPr>
        <w:t>保期内免费实现以下要求：</w:t>
      </w:r>
    </w:p>
    <w:p w14:paraId="2A2D5199">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3.1提供全面的接口技术，与第三方系统共享数据和功能，这些接口技术包括中间件技术接口、WEBSEVICE通用接口、数据库级接口、文件文本接口等。</w:t>
      </w:r>
    </w:p>
    <w:p w14:paraId="37214A3D">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3.2提供与医院第三方系统统一接口的维护与管理，与HIS、电子病历、LIS、PACS、</w:t>
      </w:r>
      <w:r>
        <w:rPr>
          <w:rFonts w:hint="eastAsia" w:ascii="宋体" w:hAnsi="宋体" w:eastAsia="宋体" w:cs="宋体"/>
          <w:color w:val="auto"/>
          <w:sz w:val="24"/>
          <w:lang w:val="en-US" w:eastAsia="zh-CN"/>
        </w:rPr>
        <w:t>CA系统、单点登录系统、</w:t>
      </w:r>
      <w:r>
        <w:rPr>
          <w:rFonts w:hint="eastAsia" w:ascii="宋体" w:hAnsi="宋体" w:eastAsia="宋体" w:cs="宋体"/>
          <w:color w:val="auto"/>
          <w:sz w:val="24"/>
          <w:lang w:val="en-US"/>
        </w:rPr>
        <w:t>心电系统、体检系统、集成平台、</w:t>
      </w:r>
      <w:r>
        <w:rPr>
          <w:rFonts w:hint="eastAsia" w:ascii="宋体" w:hAnsi="宋体" w:eastAsia="宋体" w:cs="宋体"/>
          <w:color w:val="auto"/>
          <w:sz w:val="24"/>
          <w:lang w:val="en-US" w:eastAsia="zh-CN"/>
        </w:rPr>
        <w:t>智慧运营平台、</w:t>
      </w:r>
      <w:r>
        <w:rPr>
          <w:rFonts w:hint="eastAsia" w:ascii="宋体" w:hAnsi="宋体" w:eastAsia="宋体" w:cs="宋体"/>
          <w:color w:val="auto"/>
          <w:sz w:val="24"/>
          <w:lang w:val="en-US"/>
        </w:rPr>
        <w:t>成本管理系统、排班系统、</w:t>
      </w:r>
      <w:r>
        <w:rPr>
          <w:rFonts w:hint="eastAsia" w:ascii="宋体" w:hAnsi="宋体" w:eastAsia="宋体" w:cs="宋体"/>
          <w:color w:val="auto"/>
          <w:sz w:val="24"/>
          <w:lang w:val="en-US" w:eastAsia="zh-CN"/>
        </w:rPr>
        <w:t>人力资源</w:t>
      </w:r>
      <w:r>
        <w:rPr>
          <w:rFonts w:hint="eastAsia" w:ascii="宋体" w:hAnsi="宋体" w:eastAsia="宋体" w:cs="宋体"/>
          <w:color w:val="auto"/>
          <w:sz w:val="24"/>
          <w:lang w:val="en-US"/>
        </w:rPr>
        <w:t>管理系统、财务管理系统、</w:t>
      </w:r>
      <w:r>
        <w:rPr>
          <w:rFonts w:hint="eastAsia" w:ascii="宋体" w:hAnsi="宋体" w:eastAsia="宋体" w:cs="宋体"/>
          <w:color w:val="auto"/>
          <w:sz w:val="24"/>
          <w:lang w:val="en-US" w:eastAsia="zh-CN"/>
        </w:rPr>
        <w:t>物资管理系统、合同管理系统</w:t>
      </w:r>
      <w:bookmarkStart w:id="4" w:name="_GoBack"/>
      <w:bookmarkEnd w:id="4"/>
      <w:r>
        <w:rPr>
          <w:rFonts w:hint="eastAsia" w:ascii="宋体" w:hAnsi="宋体" w:eastAsia="宋体" w:cs="宋体"/>
          <w:color w:val="auto"/>
          <w:sz w:val="24"/>
          <w:lang w:val="en-US" w:eastAsia="zh-CN"/>
        </w:rPr>
        <w:t>、医院高效运营系统、</w:t>
      </w:r>
      <w:r>
        <w:rPr>
          <w:rFonts w:hint="eastAsia" w:ascii="宋体" w:hAnsi="宋体" w:eastAsia="宋体" w:cs="宋体"/>
          <w:color w:val="auto"/>
          <w:sz w:val="24"/>
          <w:lang w:val="en-US"/>
        </w:rPr>
        <w:t>互联网医院、OA</w:t>
      </w:r>
      <w:r>
        <w:rPr>
          <w:rFonts w:hint="eastAsia" w:ascii="宋体" w:hAnsi="宋体" w:eastAsia="宋体" w:cs="宋体"/>
          <w:color w:val="auto"/>
          <w:sz w:val="24"/>
          <w:lang w:val="en-US" w:eastAsia="zh-CN"/>
        </w:rPr>
        <w:t>平台</w:t>
      </w:r>
      <w:r>
        <w:rPr>
          <w:rFonts w:hint="eastAsia" w:ascii="宋体" w:hAnsi="宋体" w:eastAsia="宋体" w:cs="宋体"/>
          <w:color w:val="auto"/>
          <w:sz w:val="24"/>
          <w:lang w:val="en-US"/>
        </w:rPr>
        <w:t>、自助服务平台、DRG管理、绩效管理、电子发票、短信平台、财务电子档案等其他所有医院相关业务系统（包括以上医院系统但不仅限于以上系统）进行免费接口对接，实现数据交换。</w:t>
      </w:r>
    </w:p>
    <w:p w14:paraId="1330058C">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3.3满足医院电子病历系统功能应用水平分级评价达到6级以上评审、医院信息互联互通标准化成熟度测评达到</w:t>
      </w:r>
      <w:r>
        <w:rPr>
          <w:rFonts w:hint="eastAsia" w:ascii="宋体" w:hAnsi="宋体" w:eastAsia="宋体" w:cs="宋体"/>
          <w:color w:val="auto"/>
          <w:sz w:val="24"/>
          <w:lang w:val="en-US" w:eastAsia="zh-CN"/>
        </w:rPr>
        <w:t>五</w:t>
      </w:r>
      <w:r>
        <w:rPr>
          <w:rFonts w:hint="eastAsia" w:ascii="宋体" w:hAnsi="宋体" w:eastAsia="宋体" w:cs="宋体"/>
          <w:color w:val="auto"/>
          <w:sz w:val="24"/>
          <w:lang w:val="en-US"/>
        </w:rPr>
        <w:t>级</w:t>
      </w:r>
      <w:r>
        <w:rPr>
          <w:rFonts w:hint="eastAsia" w:ascii="宋体" w:hAnsi="宋体" w:eastAsia="宋体" w:cs="宋体"/>
          <w:color w:val="auto"/>
          <w:sz w:val="24"/>
          <w:lang w:val="en-US" w:eastAsia="zh-CN"/>
        </w:rPr>
        <w:t>乙</w:t>
      </w:r>
      <w:r>
        <w:rPr>
          <w:rFonts w:hint="eastAsia" w:ascii="宋体" w:hAnsi="宋体" w:eastAsia="宋体" w:cs="宋体"/>
          <w:color w:val="auto"/>
          <w:sz w:val="24"/>
          <w:lang w:val="en-US"/>
        </w:rPr>
        <w:t>等以上水平评审、信息系统安全等级保护三级测评、三甲医院评审、医院智慧服务分级评估标准体系达到4级以上相关的功能要求、医院智慧管理分级评估标准体系达到4级以上相关的功能要求、网络攻防演练中的安全防护要求以及医院其他需要评审的信息化技术改造服务要求；</w:t>
      </w:r>
    </w:p>
    <w:p w14:paraId="2AC7977B">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3.4提供软件免费升级及个性化修改服务，免费实现院方的个性化需求；软件自身错误类问题提供永久性免费修改服务；</w:t>
      </w:r>
    </w:p>
    <w:p w14:paraId="75094E98">
      <w:pPr>
        <w:pStyle w:val="14"/>
        <w:spacing w:line="360" w:lineRule="auto"/>
        <w:ind w:left="0" w:leftChars="0" w:firstLine="420" w:firstLineChars="0"/>
        <w:rPr>
          <w:rFonts w:hint="eastAsia" w:ascii="宋体" w:hAnsi="宋体" w:eastAsia="宋体" w:cs="宋体"/>
          <w:color w:val="auto"/>
          <w:sz w:val="24"/>
          <w:lang w:val="en-US"/>
        </w:rPr>
      </w:pPr>
      <w:r>
        <w:rPr>
          <w:rFonts w:hint="eastAsia" w:ascii="宋体" w:hAnsi="宋体" w:eastAsia="宋体" w:cs="宋体"/>
          <w:color w:val="auto"/>
          <w:sz w:val="24"/>
          <w:lang w:val="en-US"/>
        </w:rPr>
        <w:t>3.5免费提供医院新增业务信息系统的对接、免费实现医院上级管理部门要求的系统接口对接要求。</w:t>
      </w:r>
    </w:p>
    <w:p w14:paraId="4DF4687E">
      <w:pPr>
        <w:pStyle w:val="14"/>
        <w:spacing w:line="360" w:lineRule="auto"/>
        <w:ind w:left="0" w:leftChars="0" w:firstLine="420" w:firstLineChars="0"/>
        <w:rPr>
          <w:rFonts w:hint="eastAsia" w:ascii="宋体" w:hAnsi="宋体" w:eastAsia="宋体" w:cs="宋体"/>
          <w:color w:val="auto"/>
          <w:sz w:val="24"/>
          <w:lang w:val="en-US"/>
        </w:rPr>
      </w:pPr>
      <w:r>
        <w:rPr>
          <w:rFonts w:hint="eastAsia" w:ascii="宋体" w:hAnsi="宋体" w:eastAsia="宋体"/>
          <w:sz w:val="24"/>
          <w:szCs w:val="24"/>
          <w:lang w:val="en-US" w:eastAsia="zh-CN"/>
        </w:rPr>
        <w:t>3</w:t>
      </w:r>
      <w:r>
        <w:rPr>
          <w:rFonts w:hint="eastAsia" w:ascii="宋体" w:hAnsi="宋体" w:eastAsia="宋体"/>
          <w:sz w:val="24"/>
          <w:szCs w:val="24"/>
        </w:rPr>
        <w:t>.</w:t>
      </w:r>
      <w:r>
        <w:rPr>
          <w:rFonts w:hint="eastAsia" w:ascii="宋体" w:hAnsi="宋体" w:eastAsia="宋体"/>
          <w:sz w:val="24"/>
          <w:szCs w:val="24"/>
          <w:lang w:val="en-US" w:eastAsia="zh-CN"/>
        </w:rPr>
        <w:t>6</w:t>
      </w:r>
      <w:r>
        <w:rPr>
          <w:rFonts w:hint="eastAsia" w:ascii="宋体" w:hAnsi="宋体" w:eastAsia="宋体"/>
          <w:sz w:val="24"/>
          <w:szCs w:val="24"/>
        </w:rPr>
        <w:t>若医院更换已对接的业务系统、乙方须免费提供与新业务系统的对接及联调服务。</w:t>
      </w:r>
    </w:p>
    <w:p w14:paraId="412C15EE">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3.7项目软硬件系统不限定用户数、并发数、不限定医疗集团内部及院区使用。</w:t>
      </w:r>
    </w:p>
    <w:p w14:paraId="3F17493F">
      <w:pPr>
        <w:pStyle w:val="3"/>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ascii="宋体" w:hAnsi="宋体"/>
          <w:bCs w:val="0"/>
          <w:sz w:val="32"/>
          <w:szCs w:val="32"/>
        </w:rPr>
      </w:pPr>
      <w:r>
        <w:rPr>
          <w:rFonts w:hint="eastAsia" w:ascii="宋体" w:hAnsi="宋体"/>
          <w:bCs w:val="0"/>
          <w:sz w:val="32"/>
          <w:szCs w:val="32"/>
        </w:rPr>
        <w:t>四、项目实施要求</w:t>
      </w:r>
    </w:p>
    <w:p w14:paraId="1EE74666">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highlight w:val="none"/>
          <w:lang w:val="en-US"/>
        </w:rPr>
      </w:pPr>
      <w:r>
        <w:rPr>
          <w:rFonts w:hint="eastAsia" w:ascii="宋体" w:hAnsi="宋体" w:eastAsia="宋体" w:cs="宋体"/>
          <w:color w:val="auto"/>
          <w:sz w:val="24"/>
          <w:lang w:val="en-US"/>
        </w:rPr>
        <w:t>4.1驻场、实施工期要求：合同签订后，7个工作日内项目实施人员必须进场</w:t>
      </w:r>
      <w:r>
        <w:rPr>
          <w:rFonts w:hint="eastAsia" w:ascii="宋体" w:hAnsi="宋体" w:eastAsia="宋体" w:cs="宋体"/>
          <w:color w:val="auto"/>
          <w:sz w:val="24"/>
          <w:lang w:val="en-US" w:eastAsia="zh-CN"/>
        </w:rPr>
        <w:t>，系统</w:t>
      </w:r>
      <w:r>
        <w:rPr>
          <w:rFonts w:hint="eastAsia" w:ascii="宋体" w:hAnsi="宋体" w:eastAsia="宋体" w:cs="宋体"/>
          <w:color w:val="auto"/>
          <w:sz w:val="24"/>
          <w:highlight w:val="none"/>
          <w:lang w:val="en-US" w:eastAsia="zh-CN"/>
        </w:rPr>
        <w:t>需在3</w:t>
      </w:r>
      <w:r>
        <w:rPr>
          <w:rFonts w:hint="eastAsia" w:ascii="宋体" w:hAnsi="宋体" w:eastAsia="宋体" w:cs="宋体"/>
          <w:color w:val="auto"/>
          <w:sz w:val="24"/>
          <w:highlight w:val="none"/>
          <w:lang w:val="en-US"/>
        </w:rPr>
        <w:t>个月内完成项目实施上线</w:t>
      </w:r>
      <w:r>
        <w:rPr>
          <w:rFonts w:hint="eastAsia" w:ascii="宋体" w:hAnsi="宋体" w:eastAsia="宋体" w:cs="宋体"/>
          <w:color w:val="auto"/>
          <w:sz w:val="24"/>
          <w:highlight w:val="none"/>
          <w:lang w:val="en-US" w:eastAsia="zh-CN"/>
        </w:rPr>
        <w:t>，请分别列出每个系统实施的工作计划及周期</w:t>
      </w:r>
      <w:r>
        <w:rPr>
          <w:rFonts w:hint="eastAsia" w:ascii="宋体" w:hAnsi="宋体" w:eastAsia="宋体" w:cs="宋体"/>
          <w:color w:val="auto"/>
          <w:sz w:val="24"/>
          <w:highlight w:val="none"/>
          <w:lang w:val="en-US"/>
        </w:rPr>
        <w:t>。</w:t>
      </w:r>
    </w:p>
    <w:p w14:paraId="5BC7EA17">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4.2</w:t>
      </w:r>
      <w:r>
        <w:rPr>
          <w:rFonts w:hint="eastAsia" w:ascii="宋体" w:hAnsi="宋体" w:eastAsia="宋体" w:cs="宋体"/>
          <w:color w:val="auto"/>
          <w:sz w:val="24"/>
          <w:highlight w:val="none"/>
          <w:lang w:val="en-US" w:eastAsia="zh-CN"/>
        </w:rPr>
        <w:t>驻场</w:t>
      </w:r>
      <w:r>
        <w:rPr>
          <w:rFonts w:hint="eastAsia" w:ascii="宋体" w:hAnsi="宋体" w:eastAsia="宋体" w:cs="宋体"/>
          <w:color w:val="auto"/>
          <w:sz w:val="24"/>
          <w:highlight w:val="none"/>
          <w:lang w:val="en-US"/>
        </w:rPr>
        <w:t>人员要求：</w:t>
      </w:r>
    </w:p>
    <w:p w14:paraId="1F7408EC">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实施工程师：</w:t>
      </w:r>
      <w:r>
        <w:rPr>
          <w:rFonts w:hint="eastAsia" w:ascii="宋体" w:hAnsi="宋体" w:eastAsia="宋体" w:cs="宋体"/>
          <w:color w:val="auto"/>
          <w:sz w:val="24"/>
          <w:highlight w:val="none"/>
          <w:lang w:val="en-US"/>
        </w:rPr>
        <w:t>项目驻场实施</w:t>
      </w:r>
      <w:r>
        <w:rPr>
          <w:rFonts w:hint="eastAsia" w:ascii="宋体" w:hAnsi="宋体" w:eastAsia="宋体" w:cs="宋体"/>
          <w:color w:val="auto"/>
          <w:sz w:val="24"/>
          <w:highlight w:val="none"/>
          <w:lang w:val="en-US" w:eastAsia="zh-CN"/>
        </w:rPr>
        <w:t>工程师</w:t>
      </w:r>
      <w:r>
        <w:rPr>
          <w:rFonts w:hint="eastAsia" w:ascii="宋体" w:hAnsi="宋体" w:eastAsia="宋体" w:cs="宋体"/>
          <w:color w:val="auto"/>
          <w:sz w:val="24"/>
          <w:highlight w:val="none"/>
          <w:lang w:val="en-US"/>
        </w:rPr>
        <w:t>需有2年以上</w:t>
      </w:r>
      <w:r>
        <w:rPr>
          <w:rFonts w:hint="eastAsia" w:ascii="宋体" w:hAnsi="宋体" w:eastAsia="宋体" w:cs="宋体"/>
          <w:color w:val="auto"/>
          <w:sz w:val="24"/>
          <w:highlight w:val="none"/>
          <w:lang w:val="en-US" w:eastAsia="zh-CN"/>
        </w:rPr>
        <w:t>本厂商</w:t>
      </w:r>
      <w:r>
        <w:rPr>
          <w:rFonts w:hint="eastAsia" w:ascii="宋体" w:hAnsi="宋体" w:eastAsia="宋体" w:cs="宋体"/>
          <w:color w:val="auto"/>
          <w:sz w:val="24"/>
          <w:highlight w:val="none"/>
          <w:lang w:val="en-US"/>
        </w:rPr>
        <w:t>同等项目实施经验</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val="en-US"/>
        </w:rPr>
        <w:t>项目实施</w:t>
      </w:r>
      <w:r>
        <w:rPr>
          <w:rFonts w:hint="eastAsia" w:ascii="宋体" w:hAnsi="宋体" w:eastAsia="宋体" w:cs="宋体"/>
          <w:color w:val="auto"/>
          <w:sz w:val="24"/>
          <w:highlight w:val="none"/>
          <w:lang w:val="en-US" w:eastAsia="zh-CN"/>
        </w:rPr>
        <w:t>阶段</w:t>
      </w:r>
      <w:r>
        <w:rPr>
          <w:rFonts w:hint="eastAsia" w:ascii="宋体" w:hAnsi="宋体" w:eastAsia="宋体" w:cs="宋体"/>
          <w:color w:val="auto"/>
          <w:sz w:val="24"/>
          <w:highlight w:val="none"/>
          <w:lang w:val="en-US"/>
        </w:rPr>
        <w:t>，</w:t>
      </w:r>
      <w:r>
        <w:rPr>
          <w:rFonts w:hint="eastAsia" w:ascii="宋体" w:hAnsi="宋体" w:eastAsia="宋体" w:cs="宋体"/>
          <w:color w:val="auto"/>
          <w:sz w:val="24"/>
          <w:highlight w:val="none"/>
          <w:lang w:val="en-US" w:eastAsia="zh-CN"/>
        </w:rPr>
        <w:t>驻场</w:t>
      </w:r>
      <w:r>
        <w:rPr>
          <w:rFonts w:hint="eastAsia" w:ascii="宋体" w:hAnsi="宋体" w:eastAsia="宋体" w:cs="宋体"/>
          <w:color w:val="auto"/>
          <w:sz w:val="24"/>
          <w:highlight w:val="none"/>
          <w:lang w:val="en-US"/>
        </w:rPr>
        <w:t>实施</w:t>
      </w:r>
      <w:r>
        <w:rPr>
          <w:rFonts w:hint="eastAsia" w:ascii="宋体" w:hAnsi="宋体" w:eastAsia="宋体" w:cs="宋体"/>
          <w:color w:val="auto"/>
          <w:sz w:val="24"/>
          <w:highlight w:val="none"/>
          <w:lang w:val="en-US" w:eastAsia="zh-CN"/>
        </w:rPr>
        <w:t>工程师</w:t>
      </w:r>
      <w:r>
        <w:rPr>
          <w:rFonts w:hint="eastAsia" w:ascii="宋体" w:hAnsi="宋体" w:eastAsia="宋体" w:cs="宋体"/>
          <w:color w:val="auto"/>
          <w:sz w:val="24"/>
          <w:highlight w:val="none"/>
          <w:lang w:val="en-US"/>
        </w:rPr>
        <w:t>不得少于</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val="en-US"/>
        </w:rPr>
        <w:t>名</w:t>
      </w:r>
      <w:r>
        <w:rPr>
          <w:rFonts w:hint="eastAsia" w:ascii="宋体" w:hAnsi="宋体" w:eastAsia="宋体" w:cs="宋体"/>
          <w:color w:val="auto"/>
          <w:sz w:val="24"/>
          <w:highlight w:val="none"/>
          <w:lang w:val="en-US" w:eastAsia="zh-CN"/>
        </w:rPr>
        <w:t>。</w:t>
      </w:r>
    </w:p>
    <w:p w14:paraId="492A50E8">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highlight w:val="none"/>
          <w:lang w:val="en-US" w:eastAsia="zh-CN"/>
        </w:rPr>
        <w:t>开发工程师：</w:t>
      </w:r>
      <w:r>
        <w:rPr>
          <w:rFonts w:hint="eastAsia" w:ascii="宋体" w:hAnsi="宋体" w:eastAsia="宋体" w:cs="宋体"/>
          <w:color w:val="auto"/>
          <w:sz w:val="24"/>
          <w:highlight w:val="none"/>
          <w:lang w:val="en-US"/>
        </w:rPr>
        <w:t>项目</w:t>
      </w:r>
      <w:r>
        <w:rPr>
          <w:rFonts w:hint="eastAsia" w:ascii="宋体" w:hAnsi="宋体" w:eastAsia="宋体" w:cs="宋体"/>
          <w:color w:val="auto"/>
          <w:sz w:val="24"/>
          <w:highlight w:val="none"/>
          <w:lang w:val="en-US" w:eastAsia="zh-CN"/>
        </w:rPr>
        <w:t>驻场</w:t>
      </w:r>
      <w:r>
        <w:rPr>
          <w:rFonts w:hint="eastAsia" w:ascii="宋体" w:hAnsi="宋体" w:eastAsia="宋体" w:cs="宋体"/>
          <w:color w:val="auto"/>
          <w:sz w:val="24"/>
          <w:highlight w:val="none"/>
          <w:lang w:val="en-US"/>
        </w:rPr>
        <w:t>开发工程师需有</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val="en-US"/>
        </w:rPr>
        <w:t>年以上</w:t>
      </w:r>
      <w:r>
        <w:rPr>
          <w:rFonts w:hint="eastAsia" w:ascii="宋体" w:hAnsi="宋体" w:eastAsia="宋体" w:cs="宋体"/>
          <w:color w:val="auto"/>
          <w:sz w:val="24"/>
          <w:highlight w:val="none"/>
          <w:lang w:val="en-US" w:eastAsia="zh-CN"/>
        </w:rPr>
        <w:t>本厂商</w:t>
      </w:r>
      <w:r>
        <w:rPr>
          <w:rFonts w:hint="eastAsia" w:ascii="宋体" w:hAnsi="宋体" w:eastAsia="宋体" w:cs="宋体"/>
          <w:color w:val="auto"/>
          <w:sz w:val="24"/>
          <w:highlight w:val="none"/>
          <w:lang w:val="en-US"/>
        </w:rPr>
        <w:t>同类型项目开发经验</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val="en-US"/>
        </w:rPr>
        <w:t>项目实施</w:t>
      </w:r>
      <w:r>
        <w:rPr>
          <w:rFonts w:hint="eastAsia" w:ascii="宋体" w:hAnsi="宋体" w:eastAsia="宋体" w:cs="宋体"/>
          <w:color w:val="auto"/>
          <w:sz w:val="24"/>
          <w:highlight w:val="none"/>
          <w:lang w:val="en-US" w:eastAsia="zh-CN"/>
        </w:rPr>
        <w:t>和上线阶段</w:t>
      </w:r>
      <w:r>
        <w:rPr>
          <w:rFonts w:hint="eastAsia" w:ascii="宋体" w:hAnsi="宋体" w:eastAsia="宋体" w:cs="宋体"/>
          <w:color w:val="auto"/>
          <w:sz w:val="24"/>
          <w:highlight w:val="none"/>
          <w:lang w:val="en-US"/>
        </w:rPr>
        <w:t>，</w:t>
      </w:r>
      <w:r>
        <w:rPr>
          <w:rFonts w:hint="eastAsia" w:ascii="宋体" w:hAnsi="宋体" w:eastAsia="宋体" w:cs="宋体"/>
          <w:color w:val="auto"/>
          <w:sz w:val="24"/>
          <w:highlight w:val="none"/>
          <w:lang w:val="en-US" w:eastAsia="zh-CN"/>
        </w:rPr>
        <w:t>驻场开发工程师</w:t>
      </w:r>
      <w:r>
        <w:rPr>
          <w:rFonts w:hint="eastAsia" w:ascii="宋体" w:hAnsi="宋体" w:eastAsia="宋体" w:cs="宋体"/>
          <w:color w:val="auto"/>
          <w:sz w:val="24"/>
          <w:highlight w:val="none"/>
          <w:lang w:val="en-US"/>
        </w:rPr>
        <w:t>不得少于</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val="en-US"/>
        </w:rPr>
        <w:t>名</w:t>
      </w:r>
      <w:r>
        <w:rPr>
          <w:rFonts w:hint="eastAsia" w:ascii="宋体" w:hAnsi="宋体" w:eastAsia="宋体" w:cs="宋体"/>
          <w:color w:val="auto"/>
          <w:sz w:val="24"/>
          <w:highlight w:val="none"/>
          <w:lang w:val="en-US" w:eastAsia="zh-CN"/>
        </w:rPr>
        <w:t>。如不</w:t>
      </w:r>
      <w:r>
        <w:rPr>
          <w:rFonts w:hint="eastAsia" w:ascii="宋体" w:hAnsi="宋体" w:eastAsia="宋体" w:cs="宋体"/>
          <w:color w:val="auto"/>
          <w:sz w:val="24"/>
          <w:lang w:val="en-US" w:eastAsia="zh-CN"/>
        </w:rPr>
        <w:t>能按项目阶段计划正常</w:t>
      </w:r>
      <w:r>
        <w:rPr>
          <w:rFonts w:hint="eastAsia" w:ascii="宋体" w:hAnsi="宋体" w:eastAsia="宋体" w:cs="宋体"/>
          <w:color w:val="auto"/>
          <w:sz w:val="24"/>
          <w:highlight w:val="none"/>
          <w:lang w:val="en-US" w:eastAsia="zh-CN"/>
        </w:rPr>
        <w:t>开展工作的，医院书面提出要求，驻场开发人员不得少于2人（含原驻场人员在内）。</w:t>
      </w:r>
    </w:p>
    <w:p w14:paraId="3566BD1F">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rPr>
        <w:t>如需更换</w:t>
      </w:r>
      <w:r>
        <w:rPr>
          <w:rFonts w:hint="eastAsia" w:ascii="宋体" w:hAnsi="宋体" w:eastAsia="宋体" w:cs="宋体"/>
          <w:color w:val="auto"/>
          <w:sz w:val="24"/>
          <w:lang w:val="en-US" w:eastAsia="zh-CN"/>
        </w:rPr>
        <w:t>开发工程师、实施工程师</w:t>
      </w:r>
      <w:r>
        <w:rPr>
          <w:rFonts w:hint="eastAsia" w:ascii="宋体" w:hAnsi="宋体" w:eastAsia="宋体" w:cs="宋体"/>
          <w:color w:val="auto"/>
          <w:sz w:val="24"/>
          <w:lang w:val="en-US"/>
        </w:rPr>
        <w:t>，</w:t>
      </w:r>
      <w:r>
        <w:rPr>
          <w:rFonts w:hint="eastAsia" w:ascii="宋体" w:hAnsi="宋体" w:eastAsia="宋体" w:cs="宋体"/>
          <w:color w:val="auto"/>
          <w:sz w:val="24"/>
          <w:lang w:val="en-US" w:eastAsia="zh-CN"/>
        </w:rPr>
        <w:t>厂商</w:t>
      </w:r>
      <w:r>
        <w:rPr>
          <w:rFonts w:hint="eastAsia" w:ascii="宋体" w:hAnsi="宋体" w:eastAsia="宋体" w:cs="宋体"/>
          <w:color w:val="auto"/>
          <w:sz w:val="24"/>
          <w:lang w:val="en-US"/>
        </w:rPr>
        <w:t>需提交书面申请，经院方同意才可更换。</w:t>
      </w:r>
    </w:p>
    <w:p w14:paraId="275A6D43">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竞标文件中需提供软件提供商项目驻场人员清单（含项目开发和项目实施人员），清单中标明驻场人员详细信息，如姓名、联系方式、技术职称、社保证明（不少于半年）等。</w:t>
      </w:r>
    </w:p>
    <w:p w14:paraId="1D815648">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4.3</w:t>
      </w:r>
      <w:r>
        <w:rPr>
          <w:rFonts w:hint="eastAsia" w:ascii="宋体" w:hAnsi="宋体" w:eastAsia="宋体" w:cs="宋体"/>
          <w:color w:val="auto"/>
          <w:sz w:val="24"/>
          <w:szCs w:val="24"/>
        </w:rPr>
        <w:t>因厂商与院方存在对需求理解有差异的可能性，要求所有软件功能需求的响应以院方意见为准</w:t>
      </w:r>
      <w:r>
        <w:rPr>
          <w:rFonts w:hint="eastAsia" w:ascii="宋体" w:hAnsi="宋体" w:eastAsia="宋体" w:cs="宋体"/>
          <w:color w:val="auto"/>
          <w:sz w:val="24"/>
          <w:szCs w:val="24"/>
          <w:lang w:eastAsia="zh-CN"/>
        </w:rPr>
        <w:t>。</w:t>
      </w:r>
    </w:p>
    <w:p w14:paraId="20DFE85D">
      <w:pPr>
        <w:pageBreakBefore w:val="0"/>
        <w:widowControl w:val="0"/>
        <w:kinsoku/>
        <w:wordWrap/>
        <w:overflowPunct/>
        <w:topLinePunct w:val="0"/>
        <w:autoSpaceDE/>
        <w:autoSpaceDN/>
        <w:bidi w:val="0"/>
        <w:adjustRightInd/>
        <w:snapToGrid/>
        <w:spacing w:line="312" w:lineRule="auto"/>
        <w:ind w:firstLine="42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4.4培训要求：</w:t>
      </w:r>
    </w:p>
    <w:p w14:paraId="685B1D2B">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lang w:val="en-US"/>
        </w:rPr>
      </w:pPr>
      <w:r>
        <w:rPr>
          <w:rFonts w:hint="eastAsia" w:ascii="宋体" w:hAnsi="宋体" w:eastAsia="宋体" w:cs="宋体"/>
          <w:color w:val="auto"/>
          <w:sz w:val="24"/>
          <w:szCs w:val="24"/>
          <w:lang w:val="en-US" w:eastAsia="zh-CN"/>
        </w:rPr>
        <w:t>培训应至少包括但不限于：软硬件系统的安装、部署、维护方法、系统的功能使用培训；</w:t>
      </w:r>
    </w:p>
    <w:p w14:paraId="6DAD640F">
      <w:pPr>
        <w:pStyle w:val="3"/>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ascii="宋体" w:hAnsi="宋体"/>
          <w:bCs w:val="0"/>
          <w:sz w:val="32"/>
          <w:szCs w:val="32"/>
        </w:rPr>
      </w:pPr>
      <w:r>
        <w:rPr>
          <w:rFonts w:hint="eastAsia" w:ascii="宋体" w:hAnsi="宋体"/>
          <w:bCs w:val="0"/>
          <w:sz w:val="32"/>
          <w:szCs w:val="32"/>
        </w:rPr>
        <w:t>五、</w:t>
      </w:r>
      <w:r>
        <w:rPr>
          <w:rFonts w:hint="eastAsia" w:ascii="宋体" w:hAnsi="宋体"/>
          <w:bCs w:val="0"/>
          <w:sz w:val="32"/>
          <w:szCs w:val="32"/>
          <w:lang w:eastAsia="zh-CN"/>
        </w:rPr>
        <w:t>售后</w:t>
      </w:r>
      <w:r>
        <w:rPr>
          <w:rFonts w:hint="eastAsia" w:ascii="宋体" w:hAnsi="宋体"/>
          <w:bCs w:val="0"/>
          <w:sz w:val="32"/>
          <w:szCs w:val="32"/>
        </w:rPr>
        <w:t>服务及其他要求</w:t>
      </w:r>
    </w:p>
    <w:p w14:paraId="2162EA88">
      <w:pPr>
        <w:pageBreakBefore w:val="0"/>
        <w:widowControl w:val="0"/>
        <w:kinsoku/>
        <w:wordWrap/>
        <w:overflowPunct/>
        <w:topLinePunct w:val="0"/>
        <w:autoSpaceDE/>
        <w:autoSpaceDN/>
        <w:bidi w:val="0"/>
        <w:adjustRightInd/>
        <w:snapToGrid/>
        <w:spacing w:line="312" w:lineRule="auto"/>
        <w:ind w:firstLine="420" w:firstLineChars="0"/>
        <w:jc w:val="left"/>
        <w:textAlignment w:val="auto"/>
        <w:rPr>
          <w:rFonts w:hint="eastAsia" w:ascii="宋体" w:hAnsi="宋体" w:cs="宋体"/>
          <w:sz w:val="24"/>
          <w:szCs w:val="24"/>
        </w:rPr>
      </w:pPr>
      <w:r>
        <w:rPr>
          <w:rFonts w:hint="eastAsia" w:ascii="宋体" w:hAnsi="宋体" w:cs="宋体"/>
          <w:sz w:val="24"/>
          <w:szCs w:val="24"/>
        </w:rPr>
        <w:t>5.1自本项目整体最终验收之日起，所有产品要求提供三年的免费</w:t>
      </w:r>
      <w:r>
        <w:rPr>
          <w:rFonts w:hint="eastAsia" w:ascii="宋体" w:hAnsi="宋体" w:cs="宋体"/>
          <w:sz w:val="24"/>
          <w:szCs w:val="24"/>
          <w:lang w:eastAsia="zh-CN"/>
        </w:rPr>
        <w:t>质</w:t>
      </w:r>
      <w:r>
        <w:rPr>
          <w:rFonts w:hint="eastAsia" w:ascii="宋体" w:hAnsi="宋体" w:cs="宋体"/>
          <w:sz w:val="24"/>
          <w:szCs w:val="24"/>
        </w:rPr>
        <w:t>保服务。含软硬件维护和系统软件升级</w:t>
      </w:r>
      <w:r>
        <w:rPr>
          <w:rFonts w:hint="eastAsia" w:ascii="宋体" w:hAnsi="宋体" w:cs="宋体"/>
          <w:sz w:val="24"/>
          <w:szCs w:val="24"/>
          <w:lang w:eastAsia="zh-CN"/>
        </w:rPr>
        <w:t>、系统</w:t>
      </w:r>
      <w:r>
        <w:rPr>
          <w:rFonts w:hint="eastAsia" w:ascii="宋体" w:hAnsi="宋体" w:cs="宋体"/>
          <w:sz w:val="24"/>
          <w:szCs w:val="24"/>
          <w:lang w:val="en-US" w:eastAsia="zh-CN"/>
        </w:rPr>
        <w:t>BUG及漏洞修复</w:t>
      </w:r>
      <w:r>
        <w:rPr>
          <w:rFonts w:hint="eastAsia" w:ascii="宋体" w:hAnsi="宋体" w:cs="宋体"/>
          <w:sz w:val="24"/>
          <w:szCs w:val="24"/>
        </w:rPr>
        <w:t>、技术支持服务、系统管理及操作培训</w:t>
      </w:r>
      <w:r>
        <w:rPr>
          <w:rFonts w:hint="eastAsia" w:ascii="宋体" w:hAnsi="宋体" w:cs="宋体"/>
          <w:sz w:val="24"/>
          <w:szCs w:val="24"/>
          <w:lang w:eastAsia="zh-CN"/>
        </w:rPr>
        <w:t>服务</w:t>
      </w:r>
      <w:r>
        <w:rPr>
          <w:rFonts w:hint="eastAsia" w:ascii="宋体" w:hAnsi="宋体" w:cs="宋体"/>
          <w:sz w:val="24"/>
          <w:szCs w:val="24"/>
        </w:rPr>
        <w:t>，免费提供系统个性化修改需求。请详细说明售后服务的内容。</w:t>
      </w:r>
    </w:p>
    <w:p w14:paraId="3E94C7D3">
      <w:pPr>
        <w:pageBreakBefore w:val="0"/>
        <w:widowControl w:val="0"/>
        <w:kinsoku/>
        <w:wordWrap/>
        <w:overflowPunct/>
        <w:topLinePunct w:val="0"/>
        <w:autoSpaceDE/>
        <w:autoSpaceDN/>
        <w:bidi w:val="0"/>
        <w:adjustRightInd/>
        <w:snapToGrid/>
        <w:spacing w:line="312" w:lineRule="auto"/>
        <w:ind w:firstLine="420"/>
        <w:jc w:val="left"/>
        <w:textAlignment w:val="auto"/>
        <w:rPr>
          <w:rFonts w:hint="eastAsia" w:ascii="宋体" w:hAnsi="宋体" w:cs="宋体" w:eastAsiaTheme="minorEastAsia"/>
          <w:sz w:val="24"/>
          <w:szCs w:val="24"/>
          <w:lang w:eastAsia="zh-CN"/>
        </w:rPr>
      </w:pPr>
      <w:r>
        <w:rPr>
          <w:rFonts w:hint="eastAsia" w:ascii="宋体" w:hAnsi="宋体" w:cs="宋体"/>
          <w:sz w:val="24"/>
          <w:szCs w:val="24"/>
        </w:rPr>
        <w:t>5.2安装调试要求：免费送货上门、安装调试、提供完善的设备及软件系统使用中文操作手册、图纸、网络详细拓扑图、系统配置、功能配置、设备配置及互联记录</w:t>
      </w:r>
      <w:r>
        <w:rPr>
          <w:rFonts w:hint="eastAsia" w:ascii="宋体" w:hAnsi="宋体" w:cs="宋体"/>
          <w:sz w:val="24"/>
          <w:szCs w:val="24"/>
          <w:lang w:eastAsia="zh-CN"/>
        </w:rPr>
        <w:t>。</w:t>
      </w:r>
    </w:p>
    <w:p w14:paraId="404E68E5">
      <w:pPr>
        <w:pageBreakBefore w:val="0"/>
        <w:widowControl w:val="0"/>
        <w:kinsoku/>
        <w:wordWrap/>
        <w:overflowPunct/>
        <w:topLinePunct w:val="0"/>
        <w:autoSpaceDE/>
        <w:autoSpaceDN/>
        <w:bidi w:val="0"/>
        <w:adjustRightInd/>
        <w:snapToGrid/>
        <w:spacing w:line="312" w:lineRule="auto"/>
        <w:ind w:firstLine="420"/>
        <w:jc w:val="left"/>
        <w:textAlignment w:val="auto"/>
        <w:rPr>
          <w:rFonts w:hint="eastAsia" w:ascii="宋体" w:hAnsi="宋体" w:cs="宋体"/>
          <w:sz w:val="24"/>
          <w:szCs w:val="24"/>
        </w:rPr>
      </w:pPr>
      <w:r>
        <w:rPr>
          <w:rFonts w:hint="eastAsia" w:ascii="宋体" w:hAnsi="宋体" w:cs="宋体"/>
          <w:sz w:val="24"/>
          <w:szCs w:val="24"/>
        </w:rPr>
        <w:t>5.3原厂技术人员免费提供</w:t>
      </w:r>
      <w:r>
        <w:rPr>
          <w:rFonts w:hint="eastAsia" w:ascii="宋体" w:hAnsi="宋体" w:cs="宋体"/>
          <w:sz w:val="24"/>
          <w:szCs w:val="24"/>
          <w:lang w:eastAsia="zh-CN"/>
        </w:rPr>
        <w:t>售后</w:t>
      </w:r>
      <w:r>
        <w:rPr>
          <w:rFonts w:hint="eastAsia" w:ascii="宋体" w:hAnsi="宋体" w:cs="宋体"/>
          <w:sz w:val="24"/>
          <w:szCs w:val="24"/>
        </w:rPr>
        <w:t>服务，含电话支持、现场响应、远程操作、网上客服中心等多种方式服务，应做到7×24小时全天候电话或微信等常用联系方式响应。</w:t>
      </w:r>
      <w:bookmarkStart w:id="1" w:name="_Toc507405798"/>
      <w:r>
        <w:rPr>
          <w:rFonts w:hint="eastAsia" w:ascii="宋体" w:hAnsi="宋体" w:cs="宋体"/>
          <w:sz w:val="24"/>
          <w:szCs w:val="24"/>
        </w:rPr>
        <w:t>当出现故障时，接到故障通知后，原厂技术人员应在30分钟内响应，远程技术支持无法解决的，6小时内需到达现场处理修复，并调查分析事故原因，如现场仍不能解决问题，需24小时内免费提供同档次或更高档次的备用设备解决问题。</w:t>
      </w:r>
    </w:p>
    <w:p w14:paraId="14DA7AC1">
      <w:pPr>
        <w:pageBreakBefore w:val="0"/>
        <w:widowControl w:val="0"/>
        <w:kinsoku/>
        <w:wordWrap/>
        <w:overflowPunct/>
        <w:topLinePunct w:val="0"/>
        <w:autoSpaceDE/>
        <w:autoSpaceDN/>
        <w:bidi w:val="0"/>
        <w:adjustRightInd/>
        <w:snapToGrid/>
        <w:spacing w:line="312" w:lineRule="auto"/>
        <w:ind w:firstLine="420"/>
        <w:jc w:val="left"/>
        <w:textAlignment w:val="auto"/>
        <w:rPr>
          <w:rFonts w:hint="eastAsia" w:ascii="宋体" w:hAnsi="宋体" w:cs="宋体"/>
          <w:sz w:val="24"/>
          <w:szCs w:val="24"/>
        </w:rPr>
      </w:pPr>
      <w:r>
        <w:rPr>
          <w:rFonts w:hint="eastAsia" w:ascii="宋体" w:hAnsi="宋体" w:eastAsia="宋体" w:cs="微软雅黑"/>
          <w:sz w:val="24"/>
          <w:szCs w:val="24"/>
        </w:rPr>
        <w:t>5.4</w:t>
      </w:r>
      <w:r>
        <w:rPr>
          <w:rFonts w:hint="eastAsia" w:ascii="宋体" w:hAnsi="宋体" w:cs="宋体"/>
          <w:sz w:val="24"/>
          <w:szCs w:val="24"/>
        </w:rPr>
        <w:t>供应商提供原厂技术人员定期回访服务，定期通过电话或其他方式访问用户，了解产品使用情况及网络安全情况，</w:t>
      </w:r>
      <w:r>
        <w:rPr>
          <w:rFonts w:hint="eastAsia" w:ascii="宋体" w:hAnsi="宋体" w:cs="宋体"/>
          <w:sz w:val="24"/>
          <w:szCs w:val="24"/>
          <w:lang w:eastAsia="zh-CN"/>
        </w:rPr>
        <w:t>按院方要求巡检（国家法定节假日前巡检或按院方需求时间巡检），每季度巡检不得少于一次</w:t>
      </w:r>
      <w:r>
        <w:rPr>
          <w:rFonts w:hint="eastAsia" w:ascii="宋体" w:hAnsi="宋体" w:cs="宋体"/>
          <w:sz w:val="24"/>
          <w:szCs w:val="24"/>
        </w:rPr>
        <w:t>，并形成巡检报告反馈给我院。</w:t>
      </w:r>
    </w:p>
    <w:p w14:paraId="626179AB">
      <w:pPr>
        <w:pStyle w:val="14"/>
        <w:spacing w:line="360" w:lineRule="auto"/>
        <w:ind w:left="0" w:leftChars="0" w:firstLine="420" w:firstLineChars="0"/>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5.5免费系统改造，支持信创电脑和服务器。</w:t>
      </w:r>
    </w:p>
    <w:p w14:paraId="24558ED1">
      <w:pPr>
        <w:pStyle w:val="2"/>
        <w:pageBreakBefore w:val="0"/>
        <w:widowControl w:val="0"/>
        <w:kinsoku/>
        <w:wordWrap/>
        <w:overflowPunct/>
        <w:topLinePunct w:val="0"/>
        <w:autoSpaceDE/>
        <w:autoSpaceDN/>
        <w:bidi w:val="0"/>
        <w:adjustRightInd/>
        <w:snapToGrid/>
        <w:spacing w:after="0" w:line="312" w:lineRule="auto"/>
        <w:textAlignment w:val="auto"/>
        <w:rPr>
          <w:rFonts w:ascii="宋体" w:hAnsi="宋体" w:eastAsia="宋体" w:cs="宋体"/>
          <w:b/>
          <w:bCs/>
          <w:color w:val="auto"/>
          <w:sz w:val="28"/>
          <w:lang w:val="en-US"/>
        </w:rPr>
      </w:pPr>
      <w:r>
        <w:rPr>
          <w:rFonts w:hint="eastAsia" w:ascii="宋体" w:hAnsi="宋体" w:eastAsia="宋体" w:cs="宋体"/>
          <w:b/>
          <w:bCs/>
          <w:color w:val="auto"/>
          <w:sz w:val="28"/>
          <w:lang w:val="en-US"/>
        </w:rPr>
        <w:t>六、违约责任</w:t>
      </w:r>
    </w:p>
    <w:p w14:paraId="15AB63A3">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6.1投标方所提供的</w:t>
      </w:r>
      <w:r>
        <w:rPr>
          <w:rFonts w:hint="eastAsia" w:ascii="宋体" w:hAnsi="宋体" w:eastAsia="宋体" w:cs="宋体"/>
          <w:color w:val="auto"/>
          <w:sz w:val="24"/>
          <w:szCs w:val="24"/>
          <w:lang w:val="en-US" w:eastAsia="zh-CN"/>
        </w:rPr>
        <w:t>软件</w:t>
      </w:r>
      <w:r>
        <w:rPr>
          <w:rFonts w:hint="eastAsia" w:ascii="宋体" w:hAnsi="宋体" w:eastAsia="宋体" w:cs="宋体"/>
          <w:color w:val="auto"/>
          <w:sz w:val="24"/>
          <w:szCs w:val="24"/>
        </w:rPr>
        <w:t>规格、技术标准等质量不合格的，应及时更换，更换不及时的按逾期</w:t>
      </w:r>
      <w:r>
        <w:rPr>
          <w:rFonts w:hint="eastAsia" w:ascii="宋体" w:hAnsi="宋体" w:eastAsia="宋体" w:cs="宋体"/>
          <w:color w:val="auto"/>
          <w:sz w:val="24"/>
          <w:szCs w:val="24"/>
          <w:lang w:val="en-US" w:eastAsia="zh-CN"/>
        </w:rPr>
        <w:t>交付</w:t>
      </w:r>
      <w:r>
        <w:rPr>
          <w:rFonts w:hint="eastAsia" w:ascii="宋体" w:hAnsi="宋体" w:eastAsia="宋体" w:cs="宋体"/>
          <w:color w:val="auto"/>
          <w:sz w:val="24"/>
          <w:szCs w:val="24"/>
        </w:rPr>
        <w:t>处罚；因质量问题我院不同意接收，投标方应向我院支付违约货款额5%违约金并赔偿我院经济损失。</w:t>
      </w:r>
    </w:p>
    <w:p w14:paraId="60DAFFB8">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6.2</w:t>
      </w:r>
      <w:r>
        <w:rPr>
          <w:rFonts w:hint="eastAsia" w:ascii="宋体" w:hAnsi="宋体" w:eastAsia="宋体" w:cs="宋体"/>
          <w:color w:val="auto"/>
          <w:sz w:val="24"/>
          <w:szCs w:val="24"/>
          <w:lang w:eastAsia="zh-CN"/>
        </w:rPr>
        <w:t>若</w:t>
      </w:r>
      <w:r>
        <w:rPr>
          <w:rFonts w:hint="eastAsia" w:ascii="宋体" w:hAnsi="宋体" w:eastAsia="宋体" w:cs="宋体"/>
          <w:color w:val="auto"/>
          <w:sz w:val="24"/>
          <w:szCs w:val="24"/>
        </w:rPr>
        <w:t>投标方提供的</w:t>
      </w:r>
      <w:r>
        <w:rPr>
          <w:rFonts w:hint="eastAsia" w:ascii="宋体" w:hAnsi="宋体" w:eastAsia="宋体" w:cs="宋体"/>
          <w:color w:val="auto"/>
          <w:sz w:val="24"/>
          <w:szCs w:val="24"/>
          <w:lang w:eastAsia="zh-CN"/>
        </w:rPr>
        <w:t>产品或软件</w:t>
      </w:r>
      <w:r>
        <w:rPr>
          <w:rFonts w:hint="eastAsia" w:ascii="宋体" w:hAnsi="宋体" w:eastAsia="宋体" w:cs="宋体"/>
          <w:color w:val="auto"/>
          <w:sz w:val="24"/>
          <w:szCs w:val="24"/>
        </w:rPr>
        <w:t>侵犯了第三方合法权益而引发的任何纠纷或诉讼，均由投标方负责交涉并承担全部责任。</w:t>
      </w:r>
    </w:p>
    <w:p w14:paraId="5B2630B0">
      <w:pPr>
        <w:pageBreakBefore w:val="0"/>
        <w:widowControl w:val="0"/>
        <w:kinsoku/>
        <w:wordWrap/>
        <w:overflowPunct/>
        <w:topLinePunct w:val="0"/>
        <w:autoSpaceDE/>
        <w:autoSpaceDN/>
        <w:bidi w:val="0"/>
        <w:adjustRightInd/>
        <w:snapToGrid/>
        <w:spacing w:line="312" w:lineRule="auto"/>
        <w:ind w:firstLine="42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6.3因包装、运输引起的货物损坏，按质量不合格处理。设备安装、调试完成之日起三个月内为设备质保期，在质保期期间若出现设备硬件故障或损坏的情况，我院有权要求投标方更换同等型号和配置的新设备，设备换新、安装、调试产生的所有费用由投标方承担。</w:t>
      </w:r>
    </w:p>
    <w:p w14:paraId="2B63E7BF">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6.4</w:t>
      </w:r>
      <w:r>
        <w:rPr>
          <w:rFonts w:hint="eastAsia" w:ascii="宋体" w:hAnsi="宋体" w:eastAsia="宋体" w:cs="宋体"/>
          <w:color w:val="auto"/>
          <w:sz w:val="24"/>
        </w:rPr>
        <w:t> 投标方逾期</w:t>
      </w:r>
      <w:r>
        <w:rPr>
          <w:rFonts w:hint="eastAsia" w:ascii="宋体" w:hAnsi="宋体" w:eastAsia="宋体" w:cs="宋体"/>
          <w:color w:val="auto"/>
          <w:sz w:val="24"/>
          <w:lang w:val="en-US" w:eastAsia="zh-CN"/>
        </w:rPr>
        <w:t>交付</w:t>
      </w:r>
      <w:r>
        <w:rPr>
          <w:rFonts w:hint="eastAsia" w:ascii="宋体" w:hAnsi="宋体" w:eastAsia="宋体" w:cs="宋体"/>
          <w:color w:val="auto"/>
          <w:sz w:val="24"/>
        </w:rPr>
        <w:t>的，每天向</w:t>
      </w:r>
      <w:r>
        <w:rPr>
          <w:rFonts w:hint="eastAsia" w:ascii="宋体" w:hAnsi="宋体" w:eastAsia="宋体" w:cs="宋体"/>
          <w:color w:val="auto"/>
          <w:sz w:val="24"/>
          <w:lang w:eastAsia="zh-CN"/>
        </w:rPr>
        <w:t>甲方</w:t>
      </w:r>
      <w:r>
        <w:rPr>
          <w:rFonts w:hint="eastAsia" w:ascii="宋体" w:hAnsi="宋体" w:eastAsia="宋体" w:cs="宋体"/>
          <w:color w:val="auto"/>
          <w:sz w:val="24"/>
        </w:rPr>
        <w:t>偿付违约货款额3‰违约金，但违约金累计不得超过违约货款额 5% ，超过30天对方有权解除合同，违约方承担因此给对方造成的经济损失；</w:t>
      </w:r>
    </w:p>
    <w:p w14:paraId="4E4B7ABF">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rPr>
        <w:t>6.5售后服务违约</w:t>
      </w:r>
      <w:r>
        <w:rPr>
          <w:rFonts w:hint="eastAsia" w:ascii="宋体" w:hAnsi="宋体" w:eastAsia="宋体" w:cs="宋体"/>
          <w:color w:val="auto"/>
          <w:sz w:val="24"/>
          <w:lang w:val="en-US" w:eastAsia="zh-CN"/>
        </w:rPr>
        <w:t>：</w:t>
      </w:r>
    </w:p>
    <w:p w14:paraId="02CF6E9B">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6.5.1每缺少1次现场巡检记录，投标方应向</w:t>
      </w:r>
      <w:r>
        <w:rPr>
          <w:rFonts w:hint="eastAsia" w:ascii="宋体" w:hAnsi="宋体" w:eastAsia="宋体" w:cs="宋体"/>
          <w:color w:val="auto"/>
          <w:sz w:val="24"/>
          <w:lang w:val="en-US" w:eastAsia="zh-CN"/>
        </w:rPr>
        <w:t>甲方</w:t>
      </w:r>
      <w:r>
        <w:rPr>
          <w:rFonts w:hint="eastAsia" w:ascii="宋体" w:hAnsi="宋体" w:eastAsia="宋体" w:cs="宋体"/>
          <w:color w:val="auto"/>
          <w:sz w:val="24"/>
          <w:lang w:val="en-US"/>
        </w:rPr>
        <w:t>支付违约金5000元；</w:t>
      </w:r>
    </w:p>
    <w:p w14:paraId="19FD219A">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6.5.2投标方未按本技术要求和响应文件中规定的其他服务承诺提供售后服务的，每次投标方应按合同合计金额的5% 向</w:t>
      </w:r>
      <w:r>
        <w:rPr>
          <w:rFonts w:hint="eastAsia" w:ascii="宋体" w:hAnsi="宋体" w:eastAsia="宋体" w:cs="宋体"/>
          <w:color w:val="auto"/>
          <w:sz w:val="24"/>
          <w:lang w:val="en-US" w:eastAsia="zh-CN"/>
        </w:rPr>
        <w:t>甲方</w:t>
      </w:r>
      <w:r>
        <w:rPr>
          <w:rFonts w:hint="eastAsia" w:ascii="宋体" w:hAnsi="宋体" w:eastAsia="宋体" w:cs="宋体"/>
          <w:color w:val="auto"/>
          <w:sz w:val="24"/>
          <w:lang w:val="en-US"/>
        </w:rPr>
        <w:t>支付违约金。</w:t>
      </w:r>
    </w:p>
    <w:p w14:paraId="3FBCFF0F">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rPr>
        <w:t>6.6合同签订后7个工作日内进场实施，每个模块计划实施周期需在合同内写明。因</w:t>
      </w:r>
      <w:r>
        <w:rPr>
          <w:rFonts w:hint="eastAsia" w:ascii="宋体" w:hAnsi="宋体" w:eastAsia="宋体" w:cs="宋体"/>
          <w:color w:val="auto"/>
          <w:sz w:val="24"/>
          <w:lang w:eastAsia="zh-CN"/>
        </w:rPr>
        <w:t>软件提供商</w:t>
      </w:r>
      <w:r>
        <w:rPr>
          <w:rFonts w:hint="eastAsia" w:ascii="宋体" w:hAnsi="宋体" w:eastAsia="宋体" w:cs="宋体"/>
          <w:color w:val="auto"/>
          <w:sz w:val="24"/>
        </w:rPr>
        <w:t>原因逾期不进场实施的，需按每天向院方支付合同款金额3‰作为违约金</w:t>
      </w:r>
      <w:r>
        <w:rPr>
          <w:rFonts w:hint="eastAsia" w:ascii="宋体" w:hAnsi="宋体" w:eastAsia="宋体" w:cs="宋体"/>
          <w:color w:val="auto"/>
          <w:sz w:val="24"/>
          <w:lang w:eastAsia="zh-CN"/>
        </w:rPr>
        <w:t>，</w:t>
      </w:r>
      <w:r>
        <w:rPr>
          <w:rFonts w:hint="eastAsia" w:ascii="宋体" w:hAnsi="宋体" w:eastAsia="宋体" w:cs="宋体"/>
          <w:color w:val="auto"/>
          <w:sz w:val="24"/>
        </w:rPr>
        <w:t>超过30天，</w:t>
      </w:r>
      <w:r>
        <w:rPr>
          <w:rFonts w:hint="eastAsia" w:ascii="宋体" w:hAnsi="宋体" w:eastAsia="宋体" w:cs="宋体"/>
          <w:color w:val="auto"/>
          <w:sz w:val="24"/>
          <w:lang w:eastAsia="zh-CN"/>
        </w:rPr>
        <w:t>甲</w:t>
      </w:r>
      <w:r>
        <w:rPr>
          <w:rFonts w:hint="eastAsia" w:ascii="宋体" w:hAnsi="宋体" w:eastAsia="宋体" w:cs="宋体"/>
          <w:color w:val="auto"/>
          <w:sz w:val="24"/>
        </w:rPr>
        <w:t>有权解除合同，</w:t>
      </w:r>
      <w:r>
        <w:rPr>
          <w:rFonts w:hint="eastAsia" w:ascii="宋体" w:hAnsi="宋体" w:eastAsia="宋体" w:cs="宋体"/>
          <w:color w:val="auto"/>
          <w:sz w:val="24"/>
          <w:lang w:eastAsia="zh-CN"/>
        </w:rPr>
        <w:t>乙方</w:t>
      </w:r>
      <w:r>
        <w:rPr>
          <w:rFonts w:hint="eastAsia" w:ascii="宋体" w:hAnsi="宋体" w:eastAsia="宋体" w:cs="宋体"/>
          <w:color w:val="auto"/>
          <w:sz w:val="24"/>
        </w:rPr>
        <w:t>需承担因此给院方造成的经济损失；</w:t>
      </w:r>
      <w:r>
        <w:rPr>
          <w:rFonts w:hint="eastAsia" w:ascii="宋体" w:hAnsi="宋体" w:eastAsia="宋体" w:cs="宋体"/>
          <w:color w:val="auto"/>
          <w:sz w:val="24"/>
          <w:lang w:val="en-US"/>
        </w:rPr>
        <w:t>不能按照合同约定上线期限完成，需要书面申请说明原因，得到医院书面同意后最多延期一个月，否则（或者延期一个月后）按每超期7天（一周）从总合同金额扣除5%的违约金。扣除比例达到总合同金额的50%及以上的，视为</w:t>
      </w:r>
      <w:r>
        <w:rPr>
          <w:rFonts w:hint="eastAsia" w:ascii="宋体" w:hAnsi="宋体" w:eastAsia="宋体" w:cs="宋体"/>
          <w:color w:val="auto"/>
          <w:sz w:val="24"/>
          <w:lang w:val="en-US" w:eastAsia="zh-CN"/>
        </w:rPr>
        <w:t>乙方</w:t>
      </w:r>
      <w:r>
        <w:rPr>
          <w:rFonts w:hint="eastAsia" w:ascii="宋体" w:hAnsi="宋体" w:eastAsia="宋体" w:cs="宋体"/>
          <w:color w:val="auto"/>
          <w:sz w:val="24"/>
          <w:lang w:val="en-US"/>
        </w:rPr>
        <w:t>违约，</w:t>
      </w:r>
      <w:r>
        <w:rPr>
          <w:rFonts w:hint="eastAsia" w:ascii="宋体" w:hAnsi="宋体" w:eastAsia="宋体" w:cs="宋体"/>
          <w:color w:val="auto"/>
          <w:sz w:val="24"/>
          <w:lang w:val="en-US" w:eastAsia="zh-CN"/>
        </w:rPr>
        <w:t>甲方</w:t>
      </w:r>
      <w:r>
        <w:rPr>
          <w:rFonts w:hint="eastAsia" w:ascii="宋体" w:hAnsi="宋体" w:eastAsia="宋体" w:cs="宋体"/>
          <w:color w:val="auto"/>
          <w:sz w:val="24"/>
          <w:lang w:val="en-US"/>
        </w:rPr>
        <w:t>有权单方面解除合同，并要求</w:t>
      </w:r>
      <w:r>
        <w:rPr>
          <w:rFonts w:hint="eastAsia" w:ascii="宋体" w:hAnsi="宋体" w:eastAsia="宋体" w:cs="宋体"/>
          <w:color w:val="auto"/>
          <w:sz w:val="24"/>
          <w:lang w:val="en-US" w:eastAsia="zh-CN"/>
        </w:rPr>
        <w:t>乙方</w:t>
      </w:r>
      <w:r>
        <w:rPr>
          <w:rFonts w:hint="eastAsia" w:ascii="宋体" w:hAnsi="宋体" w:eastAsia="宋体" w:cs="宋体"/>
          <w:color w:val="auto"/>
          <w:sz w:val="24"/>
          <w:lang w:val="en-US"/>
        </w:rPr>
        <w:t>退回所有医院已支付款项，同时</w:t>
      </w:r>
      <w:r>
        <w:rPr>
          <w:rFonts w:hint="eastAsia" w:ascii="宋体" w:hAnsi="宋体" w:eastAsia="宋体" w:cs="宋体"/>
          <w:color w:val="auto"/>
          <w:sz w:val="24"/>
          <w:lang w:val="en-US" w:eastAsia="zh-CN"/>
        </w:rPr>
        <w:t>按</w:t>
      </w:r>
      <w:r>
        <w:rPr>
          <w:rFonts w:hint="eastAsia" w:ascii="宋体" w:hAnsi="宋体" w:eastAsia="宋体" w:cs="宋体"/>
          <w:color w:val="auto"/>
          <w:sz w:val="24"/>
          <w:lang w:val="en-US"/>
        </w:rPr>
        <w:t>合同总金额的20%</w:t>
      </w:r>
      <w:r>
        <w:rPr>
          <w:rFonts w:hint="eastAsia" w:ascii="宋体" w:hAnsi="宋体" w:eastAsia="宋体" w:cs="宋体"/>
          <w:color w:val="auto"/>
          <w:sz w:val="24"/>
          <w:lang w:val="en-US" w:eastAsia="zh-CN"/>
        </w:rPr>
        <w:t>作为</w:t>
      </w:r>
      <w:r>
        <w:rPr>
          <w:rFonts w:hint="eastAsia" w:ascii="宋体" w:hAnsi="宋体" w:eastAsia="宋体" w:cs="宋体"/>
          <w:color w:val="auto"/>
          <w:sz w:val="24"/>
          <w:lang w:val="en-US"/>
        </w:rPr>
        <w:t>违约金</w:t>
      </w:r>
      <w:r>
        <w:rPr>
          <w:rFonts w:hint="eastAsia" w:ascii="宋体" w:hAnsi="宋体" w:eastAsia="宋体" w:cs="宋体"/>
          <w:color w:val="auto"/>
          <w:sz w:val="24"/>
          <w:lang w:val="en-US" w:eastAsia="zh-CN"/>
        </w:rPr>
        <w:t>支付给甲方</w:t>
      </w:r>
      <w:r>
        <w:rPr>
          <w:rFonts w:hint="eastAsia" w:ascii="宋体" w:hAnsi="宋体" w:eastAsia="宋体" w:cs="宋体"/>
          <w:color w:val="auto"/>
          <w:sz w:val="24"/>
          <w:lang w:val="en-US"/>
        </w:rPr>
        <w:t>。</w:t>
      </w:r>
    </w:p>
    <w:p w14:paraId="55F0CE6F">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6.7任何一方违反本技术要求中“保密、廉洁条款”要求的，应承担相应的违约责任并赔偿由此造成的损失，损失累计金额超过合同款项的5%的，损失方同时有权终止合同并收回已付款项。</w:t>
      </w:r>
    </w:p>
    <w:p w14:paraId="074FB76A">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lang w:val="en-US"/>
        </w:rPr>
        <w:t>6.</w:t>
      </w:r>
      <w:r>
        <w:rPr>
          <w:rFonts w:hint="eastAsia" w:ascii="宋体" w:hAnsi="宋体" w:eastAsia="宋体" w:cs="宋体"/>
          <w:color w:val="auto"/>
          <w:sz w:val="24"/>
          <w:lang w:val="en-US" w:eastAsia="zh-CN"/>
        </w:rPr>
        <w:t>8厂商</w:t>
      </w:r>
      <w:r>
        <w:rPr>
          <w:rFonts w:hint="eastAsia" w:ascii="宋体" w:hAnsi="宋体" w:eastAsia="宋体" w:cs="宋体"/>
          <w:color w:val="auto"/>
          <w:sz w:val="24"/>
          <w:lang w:val="en-US"/>
        </w:rPr>
        <w:t>方未按本技术要求和响应文件中规定的其他服务承诺提供售后服务的，按损失情况，每次应按合同合计金额的0.1‰-0.1%</w:t>
      </w:r>
      <w:r>
        <w:rPr>
          <w:rFonts w:hint="eastAsia" w:ascii="宋体" w:hAnsi="宋体" w:eastAsia="宋体" w:cs="宋体"/>
          <w:color w:val="auto"/>
          <w:sz w:val="24"/>
          <w:lang w:val="en-US" w:eastAsia="zh-CN"/>
        </w:rPr>
        <w:t>由乙方</w:t>
      </w:r>
      <w:r>
        <w:rPr>
          <w:rFonts w:hint="eastAsia" w:ascii="宋体" w:hAnsi="宋体" w:eastAsia="宋体" w:cs="宋体"/>
          <w:color w:val="auto"/>
          <w:sz w:val="24"/>
          <w:lang w:val="en-US"/>
        </w:rPr>
        <w:t>向甲方支付违约金，损失累计金额超过合同款项的5%的，损失方同时有权终止合同并收回已付款项。</w:t>
      </w:r>
    </w:p>
    <w:p w14:paraId="40999F35">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6.9厂商不得在提供的硬件及软件系统中设置包括且不限于如：软硬件加密狗、加密软件、时间锁、授权码等限制硬件及软件系统正常运行的措施，</w:t>
      </w:r>
      <w:r>
        <w:rPr>
          <w:rFonts w:ascii="宋体" w:hAnsi="宋体" w:cs="宋体"/>
          <w:kern w:val="2"/>
          <w:sz w:val="24"/>
          <w:lang w:val="en-US"/>
        </w:rPr>
        <w:t>如有</w:t>
      </w:r>
      <w:r>
        <w:rPr>
          <w:rFonts w:hint="eastAsia" w:ascii="宋体" w:hAnsi="宋体" w:cs="宋体"/>
          <w:kern w:val="2"/>
          <w:sz w:val="24"/>
          <w:lang w:val="en-US"/>
        </w:rPr>
        <w:t>特殊</w:t>
      </w:r>
      <w:r>
        <w:rPr>
          <w:rFonts w:ascii="宋体" w:hAnsi="宋体" w:cs="宋体"/>
          <w:kern w:val="2"/>
          <w:sz w:val="24"/>
          <w:lang w:val="en-US"/>
        </w:rPr>
        <w:t>需</w:t>
      </w:r>
      <w:r>
        <w:rPr>
          <w:rFonts w:ascii="宋体" w:hAnsi="宋体" w:cs="宋体"/>
          <w:color w:val="auto"/>
          <w:kern w:val="2"/>
          <w:sz w:val="24"/>
          <w:lang w:val="en-US"/>
        </w:rPr>
        <w:t>要</w:t>
      </w:r>
      <w:r>
        <w:rPr>
          <w:rFonts w:hint="eastAsia" w:ascii="宋体" w:hAnsi="宋体" w:cs="宋体"/>
          <w:color w:val="auto"/>
          <w:kern w:val="2"/>
          <w:sz w:val="24"/>
          <w:lang w:val="en-US"/>
        </w:rPr>
        <w:t>必须提交</w:t>
      </w:r>
      <w:r>
        <w:rPr>
          <w:rFonts w:ascii="宋体" w:hAnsi="宋体" w:cs="宋体"/>
          <w:color w:val="auto"/>
          <w:kern w:val="2"/>
          <w:sz w:val="24"/>
          <w:lang w:val="en-US"/>
        </w:rPr>
        <w:t>纸质</w:t>
      </w:r>
      <w:r>
        <w:rPr>
          <w:rFonts w:hint="eastAsia" w:ascii="宋体" w:hAnsi="宋体" w:cs="宋体"/>
          <w:color w:val="auto"/>
          <w:kern w:val="2"/>
          <w:sz w:val="24"/>
          <w:lang w:val="en-US"/>
        </w:rPr>
        <w:t>文件说明</w:t>
      </w:r>
      <w:r>
        <w:rPr>
          <w:rFonts w:ascii="宋体" w:hAnsi="宋体" w:cs="宋体"/>
          <w:color w:val="auto"/>
          <w:kern w:val="2"/>
          <w:sz w:val="24"/>
          <w:lang w:val="en-US"/>
        </w:rPr>
        <w:t>，经过我院</w:t>
      </w:r>
      <w:r>
        <w:rPr>
          <w:rFonts w:hint="eastAsia" w:ascii="宋体" w:hAnsi="宋体" w:cs="宋体"/>
          <w:color w:val="auto"/>
          <w:kern w:val="2"/>
          <w:sz w:val="24"/>
          <w:lang w:val="en-US"/>
        </w:rPr>
        <w:t>签字同意</w:t>
      </w:r>
      <w:r>
        <w:rPr>
          <w:rFonts w:ascii="宋体" w:hAnsi="宋体" w:cs="宋体"/>
          <w:color w:val="auto"/>
          <w:kern w:val="2"/>
          <w:sz w:val="24"/>
          <w:lang w:val="en-US"/>
        </w:rPr>
        <w:t>才可设置</w:t>
      </w:r>
      <w:r>
        <w:rPr>
          <w:rFonts w:hint="eastAsia" w:ascii="宋体" w:hAnsi="宋体" w:cs="宋体"/>
          <w:color w:val="auto"/>
          <w:kern w:val="2"/>
          <w:sz w:val="24"/>
          <w:lang w:val="en-US" w:eastAsia="zh-CN"/>
        </w:rPr>
        <w:t>，</w:t>
      </w:r>
      <w:r>
        <w:rPr>
          <w:rFonts w:hint="eastAsia" w:ascii="宋体" w:hAnsi="宋体" w:eastAsia="宋体" w:cs="宋体"/>
          <w:color w:val="auto"/>
          <w:kern w:val="2"/>
          <w:sz w:val="24"/>
          <w:szCs w:val="24"/>
          <w:lang w:val="en-US" w:eastAsia="zh-CN" w:bidi="ar-SA"/>
        </w:rPr>
        <w:t>否则视为乙方违约，乙方需要支付医院违约金500000元（伍拾万元），在此基础上医院有权要求乙方退回甲方已支付的所有款项。如对医院造成损失的，甲方有权要求乙方赔偿。</w:t>
      </w:r>
    </w:p>
    <w:p w14:paraId="1D2BC7FA">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6.10</w:t>
      </w:r>
      <w:r>
        <w:rPr>
          <w:rFonts w:hint="default" w:ascii="宋体" w:hAnsi="宋体" w:eastAsia="宋体" w:cs="宋体"/>
          <w:color w:val="auto"/>
          <w:kern w:val="2"/>
          <w:sz w:val="24"/>
          <w:szCs w:val="24"/>
          <w:lang w:val="en-US" w:eastAsia="zh-CN" w:bidi="ar-SA"/>
        </w:rPr>
        <w:t>厂商驻场工程师人员变更必须得到医院书面同意，否则视为</w:t>
      </w:r>
      <w:r>
        <w:rPr>
          <w:rFonts w:hint="eastAsia" w:ascii="宋体" w:hAnsi="宋体" w:eastAsia="宋体" w:cs="宋体"/>
          <w:color w:val="auto"/>
          <w:kern w:val="2"/>
          <w:sz w:val="24"/>
          <w:szCs w:val="24"/>
          <w:lang w:val="en-US" w:eastAsia="zh-CN" w:bidi="ar-SA"/>
        </w:rPr>
        <w:t>乙方</w:t>
      </w:r>
      <w:r>
        <w:rPr>
          <w:rFonts w:hint="default" w:ascii="宋体" w:hAnsi="宋体" w:eastAsia="宋体" w:cs="宋体"/>
          <w:color w:val="auto"/>
          <w:kern w:val="2"/>
          <w:sz w:val="24"/>
          <w:szCs w:val="24"/>
          <w:lang w:val="en-US" w:eastAsia="zh-CN" w:bidi="ar-SA"/>
        </w:rPr>
        <w:t>违约，</w:t>
      </w:r>
      <w:r>
        <w:rPr>
          <w:rFonts w:hint="eastAsia" w:ascii="宋体" w:hAnsi="宋体" w:eastAsia="宋体" w:cs="宋体"/>
          <w:color w:val="auto"/>
          <w:kern w:val="2"/>
          <w:sz w:val="24"/>
          <w:szCs w:val="24"/>
          <w:lang w:val="en-US" w:eastAsia="zh-CN" w:bidi="ar-SA"/>
        </w:rPr>
        <w:t>甲</w:t>
      </w:r>
      <w:r>
        <w:rPr>
          <w:rFonts w:hint="default" w:ascii="宋体" w:hAnsi="宋体" w:eastAsia="宋体" w:cs="宋体"/>
          <w:color w:val="auto"/>
          <w:kern w:val="2"/>
          <w:sz w:val="24"/>
          <w:szCs w:val="24"/>
          <w:lang w:val="en-US" w:eastAsia="zh-CN" w:bidi="ar-SA"/>
        </w:rPr>
        <w:t>方有权按500</w:t>
      </w:r>
      <w:r>
        <w:rPr>
          <w:rFonts w:hint="eastAsia" w:ascii="宋体" w:hAnsi="宋体" w:eastAsia="宋体" w:cs="宋体"/>
          <w:color w:val="auto"/>
          <w:kern w:val="2"/>
          <w:sz w:val="24"/>
          <w:szCs w:val="24"/>
          <w:lang w:val="en-US" w:eastAsia="zh-CN" w:bidi="ar-SA"/>
        </w:rPr>
        <w:t>0</w:t>
      </w:r>
      <w:r>
        <w:rPr>
          <w:rFonts w:hint="default" w:ascii="宋体" w:hAnsi="宋体" w:eastAsia="宋体" w:cs="宋体"/>
          <w:color w:val="auto"/>
          <w:kern w:val="2"/>
          <w:sz w:val="24"/>
          <w:szCs w:val="24"/>
          <w:lang w:val="en-US" w:eastAsia="zh-CN" w:bidi="ar-SA"/>
        </w:rPr>
        <w:t>元/人/次从合同总款中扣除</w:t>
      </w:r>
      <w:r>
        <w:rPr>
          <w:rFonts w:hint="eastAsia" w:ascii="宋体" w:hAnsi="宋体" w:eastAsia="宋体" w:cs="宋体"/>
          <w:color w:val="auto"/>
          <w:kern w:val="2"/>
          <w:sz w:val="24"/>
          <w:szCs w:val="24"/>
          <w:lang w:val="en-US" w:eastAsia="zh-CN" w:bidi="ar-SA"/>
        </w:rPr>
        <w:t>。</w:t>
      </w:r>
    </w:p>
    <w:p w14:paraId="1EB732E3">
      <w:pPr>
        <w:pStyle w:val="2"/>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6.11如合同乙方非软件提供商，软件提供商需承担连带责任，即本技术参数中对乙方的所有约束要求、违约条件均等同于对软件提供商的要求，甲方在追究乙方违约责任的同时可以同步追究软件提供商同等责任，乙方在投标时必须提供软件提供商的售后服务承诺书原件（须加盖软件提供商公章）。</w:t>
      </w:r>
    </w:p>
    <w:bookmarkEnd w:id="1"/>
    <w:p w14:paraId="04509685">
      <w:pPr>
        <w:pStyle w:val="2"/>
        <w:pageBreakBefore w:val="0"/>
        <w:widowControl w:val="0"/>
        <w:kinsoku/>
        <w:wordWrap/>
        <w:overflowPunct/>
        <w:topLinePunct w:val="0"/>
        <w:autoSpaceDE/>
        <w:autoSpaceDN/>
        <w:bidi w:val="0"/>
        <w:adjustRightInd/>
        <w:snapToGrid/>
        <w:spacing w:after="0" w:line="312" w:lineRule="auto"/>
        <w:textAlignment w:val="auto"/>
        <w:rPr>
          <w:rFonts w:ascii="宋体" w:hAnsi="宋体" w:eastAsia="宋体" w:cs="宋体"/>
          <w:b/>
          <w:bCs/>
          <w:color w:val="auto"/>
          <w:sz w:val="28"/>
          <w:lang w:val="en-US"/>
        </w:rPr>
      </w:pPr>
      <w:bookmarkStart w:id="2" w:name="_Toc507405799"/>
      <w:bookmarkStart w:id="3" w:name="_Toc507405800"/>
      <w:r>
        <w:rPr>
          <w:rFonts w:hint="eastAsia" w:ascii="宋体" w:hAnsi="宋体" w:eastAsia="宋体" w:cs="宋体"/>
          <w:b/>
          <w:bCs/>
          <w:color w:val="auto"/>
          <w:sz w:val="28"/>
          <w:lang w:val="en-US"/>
        </w:rPr>
        <w:t>七、保密、廉洁协议</w:t>
      </w:r>
    </w:p>
    <w:p w14:paraId="37521F66">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 双方保证对从另一方取得且无法自公开渠道获得的商业秘密(技术信息、经营信息及其他商业秘密)予以保密。未经该商业秘密的提供方同意，一方不得向任何第三方泄露该商业秘密的全部或部分内容，但法律、法规另有规定或双方另有约定的除外。任何一方违反保密义务的，应承担相应的违约责任并赔偿由此造成的损失。</w:t>
      </w:r>
    </w:p>
    <w:p w14:paraId="20B1A9E4">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 双方不得以任何方式向第三方泄露本项目的软件技术、设计方案以及功能配置等内容。</w:t>
      </w:r>
    </w:p>
    <w:p w14:paraId="486F4655">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7.3不以任何方式向第三方泄露在本协议开发实施过程中获取的经济、技术、数据以及双方其他非公开的信息。</w:t>
      </w:r>
    </w:p>
    <w:p w14:paraId="53FF8C5F">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7.4 不从事商业贿赂行为，遵守廉洁协议或相关规定。甲方发现乙方有违反廉洁协议或相关规定采用不正当手段进行不正当竞争行为的，或被有关部门生效文书认定有行贿或者受贿行为的，甲方有权解除该业务合同，由此给甲方造成的损失以及发生的一切费用均由乙方承担，甲方有权对乙方实施商业贿赂不良记录，列入“黑名单”，并三年内取消其业务往来资格。</w:t>
      </w:r>
    </w:p>
    <w:p w14:paraId="6A1E13AF">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color w:val="auto"/>
          <w:lang w:val="en-US"/>
        </w:rPr>
      </w:pPr>
      <w:r>
        <w:rPr>
          <w:rFonts w:hint="eastAsia" w:ascii="宋体" w:hAnsi="宋体" w:eastAsia="宋体" w:cs="宋体"/>
          <w:color w:val="auto"/>
          <w:sz w:val="24"/>
          <w:szCs w:val="24"/>
        </w:rPr>
        <w:t>7.5保密期限自本合同生效之日起永久有效，如乙方需解除保密协议需向甲方提出书面申请，双方协商同意签字确认后方可解除。</w:t>
      </w:r>
    </w:p>
    <w:p w14:paraId="6C3715D3">
      <w:pPr>
        <w:pStyle w:val="2"/>
        <w:pageBreakBefore w:val="0"/>
        <w:widowControl w:val="0"/>
        <w:kinsoku/>
        <w:wordWrap/>
        <w:overflowPunct/>
        <w:topLinePunct w:val="0"/>
        <w:autoSpaceDE/>
        <w:autoSpaceDN/>
        <w:bidi w:val="0"/>
        <w:adjustRightInd/>
        <w:snapToGrid/>
        <w:spacing w:after="0" w:line="312" w:lineRule="auto"/>
        <w:textAlignment w:val="auto"/>
        <w:rPr>
          <w:rFonts w:ascii="宋体" w:hAnsi="宋体" w:eastAsia="宋体" w:cs="宋体"/>
          <w:b/>
          <w:bCs/>
          <w:color w:val="auto"/>
          <w:sz w:val="28"/>
          <w:lang w:val="en-US"/>
        </w:rPr>
      </w:pPr>
      <w:r>
        <w:rPr>
          <w:rFonts w:hint="eastAsia" w:ascii="宋体" w:hAnsi="宋体" w:eastAsia="宋体" w:cs="宋体"/>
          <w:b/>
          <w:bCs/>
          <w:color w:val="auto"/>
          <w:sz w:val="28"/>
          <w:lang w:val="en-US"/>
        </w:rPr>
        <w:t>八、报价</w:t>
      </w:r>
    </w:p>
    <w:p w14:paraId="23E68D45">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8.1</w:t>
      </w:r>
      <w:r>
        <w:rPr>
          <w:rFonts w:hint="eastAsia" w:ascii="宋体" w:hAnsi="宋体" w:eastAsia="宋体" w:cs="宋体"/>
          <w:color w:val="auto"/>
          <w:sz w:val="24"/>
          <w:szCs w:val="24"/>
        </w:rPr>
        <w:t>竞标文件</w:t>
      </w:r>
      <w:r>
        <w:rPr>
          <w:rFonts w:hint="eastAsia" w:ascii="宋体" w:hAnsi="宋体" w:eastAsia="宋体" w:cs="宋体"/>
          <w:color w:val="auto"/>
          <w:sz w:val="24"/>
          <w:szCs w:val="24"/>
          <w:lang w:eastAsia="zh-CN"/>
        </w:rPr>
        <w:t>提供技术偏离表、服务偏离表</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并标明详细的技术和服务内容。</w:t>
      </w:r>
      <w:r>
        <w:rPr>
          <w:rFonts w:hint="eastAsia" w:ascii="宋体" w:hAnsi="宋体" w:eastAsia="宋体" w:cs="宋体"/>
          <w:color w:val="auto"/>
          <w:sz w:val="24"/>
          <w:szCs w:val="24"/>
        </w:rPr>
        <w:t>竞标文件按系统模块报价，报价表价格包含系统软硬件费用、产品安装、调试实施、培训费用、产品升级费用</w:t>
      </w:r>
      <w:r>
        <w:rPr>
          <w:rFonts w:hint="eastAsia" w:ascii="宋体" w:hAnsi="宋体" w:eastAsia="宋体" w:cs="宋体"/>
          <w:color w:val="auto"/>
          <w:sz w:val="24"/>
          <w:szCs w:val="24"/>
          <w:lang w:eastAsia="zh-CN"/>
        </w:rPr>
        <w:t>、</w:t>
      </w:r>
      <w:r>
        <w:rPr>
          <w:rFonts w:hint="eastAsia" w:ascii="宋体" w:hAnsi="宋体" w:eastAsia="宋体"/>
          <w:color w:val="auto"/>
          <w:sz w:val="24"/>
          <w:szCs w:val="24"/>
        </w:rPr>
        <w:t>接口费（包括第三方厂家的接口费）等费用</w:t>
      </w:r>
      <w:r>
        <w:rPr>
          <w:rFonts w:hint="eastAsia" w:ascii="宋体" w:hAnsi="宋体" w:eastAsia="宋体" w:cs="宋体"/>
          <w:color w:val="auto"/>
          <w:sz w:val="24"/>
          <w:szCs w:val="24"/>
        </w:rPr>
        <w:t>，以及明示所有责任、义务和一切风险。</w:t>
      </w:r>
    </w:p>
    <w:p w14:paraId="3626F167">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olor w:val="auto"/>
          <w:sz w:val="24"/>
          <w:szCs w:val="24"/>
        </w:rPr>
      </w:pPr>
      <w:r>
        <w:rPr>
          <w:rFonts w:hint="eastAsia" w:ascii="宋体" w:hAnsi="宋体" w:eastAsia="宋体"/>
          <w:color w:val="auto"/>
          <w:sz w:val="24"/>
          <w:szCs w:val="24"/>
          <w:lang w:val="en-US" w:eastAsia="zh-CN"/>
        </w:rPr>
        <w:t>8.2</w:t>
      </w:r>
      <w:r>
        <w:rPr>
          <w:rFonts w:hint="eastAsia" w:ascii="宋体" w:hAnsi="宋体" w:eastAsia="宋体"/>
          <w:color w:val="auto"/>
          <w:sz w:val="24"/>
          <w:szCs w:val="24"/>
          <w:lang w:eastAsia="zh-CN"/>
        </w:rPr>
        <w:t>竞标文件需提供维保期</w:t>
      </w:r>
      <w:r>
        <w:rPr>
          <w:rFonts w:hint="eastAsia" w:ascii="宋体" w:hAnsi="宋体" w:eastAsia="宋体"/>
          <w:color w:val="auto"/>
          <w:sz w:val="24"/>
          <w:szCs w:val="24"/>
        </w:rPr>
        <w:t>方案及</w:t>
      </w:r>
      <w:r>
        <w:rPr>
          <w:rFonts w:hint="eastAsia" w:ascii="宋体" w:hAnsi="宋体" w:eastAsia="宋体"/>
          <w:color w:val="auto"/>
          <w:sz w:val="24"/>
          <w:szCs w:val="24"/>
          <w:lang w:eastAsia="zh-CN"/>
        </w:rPr>
        <w:t>报价。</w:t>
      </w:r>
    </w:p>
    <w:p w14:paraId="16D591E1">
      <w:pPr>
        <w:pStyle w:val="2"/>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olor w:val="auto"/>
          <w:sz w:val="24"/>
          <w:szCs w:val="24"/>
          <w:lang w:eastAsia="zh-CN"/>
        </w:rPr>
      </w:pPr>
      <w:r>
        <w:rPr>
          <w:rFonts w:hint="eastAsia" w:ascii="宋体" w:hAnsi="宋体" w:eastAsia="宋体"/>
          <w:color w:val="auto"/>
          <w:sz w:val="24"/>
          <w:szCs w:val="24"/>
          <w:lang w:val="en-US" w:eastAsia="zh-CN"/>
        </w:rPr>
        <w:t>8.3</w:t>
      </w:r>
      <w:r>
        <w:rPr>
          <w:rFonts w:hint="eastAsia" w:ascii="宋体" w:hAnsi="宋体" w:eastAsia="宋体"/>
          <w:color w:val="auto"/>
          <w:sz w:val="24"/>
          <w:szCs w:val="24"/>
          <w:lang w:eastAsia="zh-CN"/>
        </w:rPr>
        <w:t>竞标文件需提供系统详细图文介绍。系统实施验收参照本技术文档及竞标文件提供的图文介绍为依据。</w:t>
      </w:r>
    </w:p>
    <w:p w14:paraId="1BA1A9E5">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lang w:val="en-US" w:eastAsia="zh-CN"/>
        </w:rPr>
        <w:t>8.4</w:t>
      </w:r>
      <w:r>
        <w:rPr>
          <w:rFonts w:hint="eastAsia" w:ascii="宋体" w:hAnsi="宋体" w:eastAsia="宋体" w:cs="宋体"/>
          <w:color w:val="auto"/>
          <w:sz w:val="24"/>
          <w:szCs w:val="24"/>
        </w:rPr>
        <w:t>如项目功能二次开发内容涉及我院采购的第三方产品，请在标书内标明哪些功能的实现需要二次开发接口。</w:t>
      </w:r>
    </w:p>
    <w:p w14:paraId="7E8E75FF">
      <w:pPr>
        <w:pStyle w:val="3"/>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ascii="宋体" w:hAnsi="宋体"/>
          <w:bCs w:val="0"/>
          <w:sz w:val="32"/>
          <w:szCs w:val="32"/>
        </w:rPr>
      </w:pPr>
      <w:r>
        <w:rPr>
          <w:rFonts w:hint="eastAsia" w:ascii="宋体" w:hAnsi="宋体"/>
          <w:bCs w:val="0"/>
          <w:sz w:val="32"/>
          <w:szCs w:val="32"/>
        </w:rPr>
        <w:t>九、付款方式</w:t>
      </w:r>
      <w:bookmarkEnd w:id="2"/>
    </w:p>
    <w:p w14:paraId="22062867">
      <w:pPr>
        <w:pStyle w:val="14"/>
        <w:spacing w:line="360" w:lineRule="auto"/>
        <w:ind w:left="0" w:leftChars="0" w:firstLine="614" w:firstLineChars="256"/>
        <w:jc w:val="both"/>
        <w:rPr>
          <w:color w:val="auto"/>
          <w:sz w:val="24"/>
          <w:lang w:val="en-US"/>
        </w:rPr>
      </w:pPr>
      <w:r>
        <w:rPr>
          <w:rFonts w:hint="eastAsia" w:ascii="宋体" w:hAnsi="宋体" w:eastAsia="宋体" w:cs="微软雅黑"/>
          <w:sz w:val="24"/>
          <w:szCs w:val="24"/>
        </w:rPr>
        <w:t>项目双方签订</w:t>
      </w:r>
      <w:r>
        <w:rPr>
          <w:rFonts w:hint="eastAsia" w:ascii="宋体" w:hAnsi="宋体" w:eastAsia="宋体" w:cs="微软雅黑"/>
          <w:color w:val="auto"/>
          <w:sz w:val="24"/>
          <w:szCs w:val="24"/>
        </w:rPr>
        <w:t>合同，</w:t>
      </w:r>
      <w:r>
        <w:rPr>
          <w:rFonts w:hint="eastAsia" w:ascii="宋体" w:hAnsi="宋体" w:eastAsia="宋体"/>
          <w:color w:val="auto"/>
          <w:sz w:val="24"/>
          <w:szCs w:val="24"/>
          <w:lang w:val="en-US" w:eastAsia="zh-CN"/>
        </w:rPr>
        <w:t>项目上线稳定运行1个月后，</w:t>
      </w:r>
      <w:r>
        <w:rPr>
          <w:rFonts w:hint="eastAsia" w:ascii="宋体" w:hAnsi="宋体" w:eastAsia="宋体" w:cs="微软雅黑"/>
          <w:color w:val="auto"/>
          <w:sz w:val="24"/>
          <w:szCs w:val="24"/>
        </w:rPr>
        <w:t>用户支付合同款项的30%；合同</w:t>
      </w:r>
      <w:r>
        <w:rPr>
          <w:rFonts w:hint="eastAsia" w:ascii="宋体" w:hAnsi="宋体" w:eastAsia="宋体" w:cs="微软雅黑"/>
          <w:color w:val="auto"/>
          <w:sz w:val="24"/>
          <w:szCs w:val="24"/>
          <w:lang w:eastAsia="zh-CN"/>
        </w:rPr>
        <w:t>中所有功能及模块</w:t>
      </w:r>
      <w:r>
        <w:rPr>
          <w:rFonts w:hint="eastAsia" w:ascii="宋体" w:hAnsi="宋体" w:eastAsia="宋体" w:cs="微软雅黑"/>
          <w:color w:val="auto"/>
          <w:sz w:val="24"/>
          <w:szCs w:val="24"/>
        </w:rPr>
        <w:t>实施完毕，</w:t>
      </w:r>
      <w:r>
        <w:rPr>
          <w:rFonts w:hint="eastAsia" w:ascii="宋体" w:hAnsi="宋体" w:eastAsia="宋体" w:cs="微软雅黑"/>
          <w:color w:val="auto"/>
          <w:sz w:val="24"/>
          <w:szCs w:val="24"/>
          <w:lang w:eastAsia="zh-CN"/>
        </w:rPr>
        <w:t>系统</w:t>
      </w:r>
      <w:r>
        <w:rPr>
          <w:rFonts w:hint="eastAsia" w:ascii="宋体" w:hAnsi="宋体" w:eastAsia="宋体" w:cs="微软雅黑"/>
          <w:color w:val="auto"/>
          <w:sz w:val="24"/>
          <w:szCs w:val="24"/>
        </w:rPr>
        <w:t>上线稳定运行3个月后，启动</w:t>
      </w:r>
      <w:r>
        <w:rPr>
          <w:rFonts w:hint="eastAsia" w:ascii="宋体" w:hAnsi="宋体" w:eastAsia="宋体" w:cs="微软雅黑"/>
          <w:color w:val="auto"/>
          <w:sz w:val="24"/>
          <w:szCs w:val="24"/>
          <w:lang w:eastAsia="zh-CN"/>
        </w:rPr>
        <w:t>项目</w:t>
      </w:r>
      <w:r>
        <w:rPr>
          <w:rFonts w:hint="eastAsia" w:ascii="宋体" w:hAnsi="宋体" w:eastAsia="宋体" w:cs="微软雅黑"/>
          <w:color w:val="auto"/>
          <w:sz w:val="24"/>
          <w:szCs w:val="24"/>
        </w:rPr>
        <w:t>验收，验收合格后</w:t>
      </w:r>
      <w:r>
        <w:rPr>
          <w:rFonts w:hint="eastAsia" w:ascii="宋体" w:hAnsi="宋体" w:eastAsia="宋体" w:cs="微软雅黑"/>
          <w:color w:val="auto"/>
          <w:sz w:val="24"/>
          <w:szCs w:val="24"/>
          <w:lang w:eastAsia="zh-CN"/>
        </w:rPr>
        <w:t>甲方支付</w:t>
      </w:r>
      <w:r>
        <w:rPr>
          <w:rFonts w:hint="eastAsia" w:ascii="宋体" w:hAnsi="宋体" w:eastAsia="宋体" w:cs="微软雅黑"/>
          <w:color w:val="auto"/>
          <w:sz w:val="24"/>
          <w:szCs w:val="24"/>
        </w:rPr>
        <w:t>合同款项的60%，自验收合格之日起，</w:t>
      </w:r>
      <w:bookmarkEnd w:id="3"/>
      <w:r>
        <w:rPr>
          <w:rFonts w:hint="eastAsia" w:ascii="宋体" w:hAnsi="宋体" w:eastAsia="宋体"/>
          <w:color w:val="auto"/>
          <w:sz w:val="24"/>
          <w:szCs w:val="24"/>
          <w:lang w:val="en-US" w:eastAsia="zh-CN"/>
        </w:rPr>
        <w:t>稳定运行1年后，甲方支付合同款项的10%（不计利息）。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9E3D4"/>
    <w:multiLevelType w:val="singleLevel"/>
    <w:tmpl w:val="8FC9E3D4"/>
    <w:lvl w:ilvl="0" w:tentative="0">
      <w:start w:val="1"/>
      <w:numFmt w:val="decimal"/>
      <w:lvlText w:val="%1."/>
      <w:lvlJc w:val="left"/>
      <w:pPr>
        <w:ind w:left="425" w:hanging="425"/>
      </w:pPr>
      <w:rPr>
        <w:rFonts w:hint="default"/>
      </w:rPr>
    </w:lvl>
  </w:abstractNum>
  <w:abstractNum w:abstractNumId="1">
    <w:nsid w:val="B1BE2B15"/>
    <w:multiLevelType w:val="singleLevel"/>
    <w:tmpl w:val="B1BE2B15"/>
    <w:lvl w:ilvl="0" w:tentative="0">
      <w:start w:val="1"/>
      <w:numFmt w:val="decimal"/>
      <w:lvlText w:val="%1."/>
      <w:lvlJc w:val="left"/>
      <w:pPr>
        <w:ind w:left="425" w:hanging="425"/>
      </w:pPr>
      <w:rPr>
        <w:rFonts w:hint="default"/>
      </w:rPr>
    </w:lvl>
  </w:abstractNum>
  <w:abstractNum w:abstractNumId="2">
    <w:nsid w:val="CCB6450E"/>
    <w:multiLevelType w:val="singleLevel"/>
    <w:tmpl w:val="CCB6450E"/>
    <w:lvl w:ilvl="0" w:tentative="0">
      <w:start w:val="1"/>
      <w:numFmt w:val="decimal"/>
      <w:lvlText w:val="%1."/>
      <w:lvlJc w:val="left"/>
      <w:pPr>
        <w:ind w:left="425" w:hanging="425"/>
      </w:pPr>
      <w:rPr>
        <w:rFonts w:hint="default"/>
      </w:rPr>
    </w:lvl>
  </w:abstractNum>
  <w:abstractNum w:abstractNumId="3">
    <w:nsid w:val="14D84B87"/>
    <w:multiLevelType w:val="multilevel"/>
    <w:tmpl w:val="14D84B87"/>
    <w:lvl w:ilvl="0" w:tentative="0">
      <w:start w:val="1"/>
      <w:numFmt w:val="chineseCountingThousand"/>
      <w:pStyle w:val="3"/>
      <w:lvlText w:val="%1"/>
      <w:lvlJc w:val="left"/>
      <w:pPr>
        <w:ind w:left="425" w:hanging="425"/>
      </w:pPr>
      <w:rPr>
        <w:rFonts w:hint="eastAsia"/>
      </w:rPr>
    </w:lvl>
    <w:lvl w:ilvl="1" w:tentative="0">
      <w:start w:val="1"/>
      <w:numFmt w:val="chineseCountingThousand"/>
      <w:lvlText w:val="(%2)"/>
      <w:lvlJc w:val="left"/>
      <w:pPr>
        <w:ind w:left="850" w:hanging="567"/>
      </w:pPr>
      <w:rPr>
        <w:rFonts w:hint="eastAsia"/>
      </w:rPr>
    </w:lvl>
    <w:lvl w:ilvl="2" w:tentative="0">
      <w:start w:val="1"/>
      <w:numFmt w:val="decimal"/>
      <w:lvlText w:val="%3."/>
      <w:lvlJc w:val="left"/>
      <w:pPr>
        <w:ind w:left="1356" w:hanging="567"/>
      </w:pPr>
      <w:rPr>
        <w:rFonts w:hint="eastAsia"/>
      </w:rPr>
    </w:lvl>
    <w:lvl w:ilvl="3" w:tentative="0">
      <w:start w:val="1"/>
      <w:numFmt w:val="decimal"/>
      <w:isLgl/>
      <w:lvlText w:val="%1.%2.%3.%4"/>
      <w:lvlJc w:val="left"/>
      <w:pPr>
        <w:ind w:left="1984" w:hanging="708"/>
      </w:pPr>
      <w:rPr>
        <w:rFonts w:hint="eastAsia"/>
      </w:rPr>
    </w:lvl>
    <w:lvl w:ilvl="4" w:tentative="0">
      <w:start w:val="1"/>
      <w:numFmt w:val="decimal"/>
      <w:isLgl/>
      <w:lvlText w:val="%1.%2.%3.%4.%5"/>
      <w:lvlJc w:val="left"/>
      <w:pPr>
        <w:ind w:left="2551" w:hanging="850"/>
      </w:pPr>
      <w:rPr>
        <w:rFonts w:hint="eastAsia"/>
      </w:rPr>
    </w:lvl>
    <w:lvl w:ilvl="5" w:tentative="0">
      <w:start w:val="1"/>
      <w:numFmt w:val="decimal"/>
      <w:isLgl/>
      <w:lvlText w:val="%1.%2.%3.%4.%5.%6"/>
      <w:lvlJc w:val="left"/>
      <w:pPr>
        <w:ind w:left="3260" w:hanging="1134"/>
      </w:pPr>
      <w:rPr>
        <w:rFonts w:hint="eastAsia"/>
      </w:rPr>
    </w:lvl>
    <w:lvl w:ilvl="6" w:tentative="0">
      <w:start w:val="1"/>
      <w:numFmt w:val="decimal"/>
      <w:isLgl/>
      <w:lvlText w:val="%1.%2.%3.%4.%5.%6.%7"/>
      <w:lvlJc w:val="left"/>
      <w:pPr>
        <w:ind w:left="3827" w:hanging="1276"/>
      </w:pPr>
      <w:rPr>
        <w:rFonts w:hint="eastAsia"/>
      </w:rPr>
    </w:lvl>
    <w:lvl w:ilvl="7" w:tentative="0">
      <w:start w:val="1"/>
      <w:numFmt w:val="decimal"/>
      <w:isLgl/>
      <w:lvlText w:val="%1.%2.%3.%4.%5.%6.%7.%8"/>
      <w:lvlJc w:val="left"/>
      <w:pPr>
        <w:ind w:left="4394" w:hanging="1418"/>
      </w:pPr>
      <w:rPr>
        <w:rFonts w:hint="eastAsia"/>
      </w:rPr>
    </w:lvl>
    <w:lvl w:ilvl="8" w:tentative="0">
      <w:start w:val="1"/>
      <w:numFmt w:val="decimal"/>
      <w:isLgl/>
      <w:lvlText w:val="%1.%2.%3.%4.%5.%6.%7.%8.%9"/>
      <w:lvlJc w:val="left"/>
      <w:pPr>
        <w:ind w:left="5102" w:hanging="1700"/>
      </w:pPr>
      <w:rPr>
        <w:rFonts w:hint="eastAsia"/>
      </w:rPr>
    </w:lvl>
  </w:abstractNum>
  <w:abstractNum w:abstractNumId="4">
    <w:nsid w:val="23EC5C6F"/>
    <w:multiLevelType w:val="multilevel"/>
    <w:tmpl w:val="23EC5C6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5F635AF"/>
    <w:multiLevelType w:val="singleLevel"/>
    <w:tmpl w:val="35F635AF"/>
    <w:lvl w:ilvl="0" w:tentative="0">
      <w:start w:val="1"/>
      <w:numFmt w:val="decimal"/>
      <w:lvlText w:val="%1."/>
      <w:lvlJc w:val="left"/>
      <w:pPr>
        <w:ind w:left="425" w:hanging="425"/>
      </w:pPr>
      <w:rPr>
        <w:rFonts w:hint="default"/>
      </w:rPr>
    </w:lvl>
  </w:abstractNum>
  <w:abstractNum w:abstractNumId="6">
    <w:nsid w:val="621E1151"/>
    <w:multiLevelType w:val="singleLevel"/>
    <w:tmpl w:val="621E1151"/>
    <w:lvl w:ilvl="0" w:tentative="0">
      <w:start w:val="1"/>
      <w:numFmt w:val="decimal"/>
      <w:lvlText w:val="%1."/>
      <w:lvlJc w:val="left"/>
      <w:pPr>
        <w:ind w:left="425" w:hanging="425"/>
      </w:pPr>
      <w:rPr>
        <w:rFonts w:hint="default"/>
      </w:rPr>
    </w:lvl>
  </w:abstractNum>
  <w:num w:numId="1">
    <w:abstractNumId w:val="3"/>
  </w:num>
  <w:num w:numId="2">
    <w:abstractNumId w:val="4"/>
  </w:num>
  <w:num w:numId="3">
    <w:abstractNumId w:val="1"/>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DF"/>
    <w:rsid w:val="000E2410"/>
    <w:rsid w:val="001A11FC"/>
    <w:rsid w:val="001A1C12"/>
    <w:rsid w:val="002A29C0"/>
    <w:rsid w:val="00306E6E"/>
    <w:rsid w:val="003E62DF"/>
    <w:rsid w:val="00435C7C"/>
    <w:rsid w:val="00481560"/>
    <w:rsid w:val="00491534"/>
    <w:rsid w:val="004D3BA6"/>
    <w:rsid w:val="005D449A"/>
    <w:rsid w:val="006A3CAE"/>
    <w:rsid w:val="006C202C"/>
    <w:rsid w:val="008C322F"/>
    <w:rsid w:val="00A140D3"/>
    <w:rsid w:val="00B759E0"/>
    <w:rsid w:val="00D5380E"/>
    <w:rsid w:val="00DC1FBB"/>
    <w:rsid w:val="00E61AD4"/>
    <w:rsid w:val="00F13AA1"/>
    <w:rsid w:val="01901B05"/>
    <w:rsid w:val="01C60288"/>
    <w:rsid w:val="038608DA"/>
    <w:rsid w:val="044572F1"/>
    <w:rsid w:val="06DF14B2"/>
    <w:rsid w:val="072E01FC"/>
    <w:rsid w:val="08741252"/>
    <w:rsid w:val="09616993"/>
    <w:rsid w:val="09D61B19"/>
    <w:rsid w:val="0A791D80"/>
    <w:rsid w:val="0E1E7EFA"/>
    <w:rsid w:val="0F2A1F3D"/>
    <w:rsid w:val="0FD4253D"/>
    <w:rsid w:val="109B068D"/>
    <w:rsid w:val="14782DB8"/>
    <w:rsid w:val="14AF00BD"/>
    <w:rsid w:val="153D4F2B"/>
    <w:rsid w:val="164B51D1"/>
    <w:rsid w:val="165C1DAE"/>
    <w:rsid w:val="16ED2D59"/>
    <w:rsid w:val="174D1CA9"/>
    <w:rsid w:val="17536FF6"/>
    <w:rsid w:val="17541870"/>
    <w:rsid w:val="19151124"/>
    <w:rsid w:val="1990183D"/>
    <w:rsid w:val="1A251034"/>
    <w:rsid w:val="1AA944D3"/>
    <w:rsid w:val="1B5C436C"/>
    <w:rsid w:val="1B91509A"/>
    <w:rsid w:val="1C7D216F"/>
    <w:rsid w:val="1D9262D5"/>
    <w:rsid w:val="1E0D596F"/>
    <w:rsid w:val="22293C01"/>
    <w:rsid w:val="224243ED"/>
    <w:rsid w:val="22D402FC"/>
    <w:rsid w:val="24DA1462"/>
    <w:rsid w:val="251F0377"/>
    <w:rsid w:val="25D43FBF"/>
    <w:rsid w:val="26AA16D4"/>
    <w:rsid w:val="277B335E"/>
    <w:rsid w:val="284C2F0D"/>
    <w:rsid w:val="28B54341"/>
    <w:rsid w:val="290632D5"/>
    <w:rsid w:val="2A4E5127"/>
    <w:rsid w:val="2AE876A5"/>
    <w:rsid w:val="2C6E439E"/>
    <w:rsid w:val="2CA67011"/>
    <w:rsid w:val="2CB53B80"/>
    <w:rsid w:val="2E55261B"/>
    <w:rsid w:val="31013076"/>
    <w:rsid w:val="34906983"/>
    <w:rsid w:val="34A02F04"/>
    <w:rsid w:val="367D4F11"/>
    <w:rsid w:val="3A6B617C"/>
    <w:rsid w:val="3A6D7059"/>
    <w:rsid w:val="3A965B44"/>
    <w:rsid w:val="3B4F3BCB"/>
    <w:rsid w:val="3D655CAD"/>
    <w:rsid w:val="3DCF123E"/>
    <w:rsid w:val="3FFE146B"/>
    <w:rsid w:val="414B6104"/>
    <w:rsid w:val="41971DBD"/>
    <w:rsid w:val="444E3BD6"/>
    <w:rsid w:val="44511123"/>
    <w:rsid w:val="455A3219"/>
    <w:rsid w:val="457173F8"/>
    <w:rsid w:val="465072EE"/>
    <w:rsid w:val="46ED1809"/>
    <w:rsid w:val="47FA24B7"/>
    <w:rsid w:val="480C0CC5"/>
    <w:rsid w:val="48FB64CA"/>
    <w:rsid w:val="49C017DB"/>
    <w:rsid w:val="4BF413EA"/>
    <w:rsid w:val="4D283909"/>
    <w:rsid w:val="4F640350"/>
    <w:rsid w:val="507D710A"/>
    <w:rsid w:val="50844495"/>
    <w:rsid w:val="508670F0"/>
    <w:rsid w:val="50A873B9"/>
    <w:rsid w:val="50D3020F"/>
    <w:rsid w:val="52C84CF5"/>
    <w:rsid w:val="52D80F4D"/>
    <w:rsid w:val="52E93474"/>
    <w:rsid w:val="54361EC0"/>
    <w:rsid w:val="54E82BB7"/>
    <w:rsid w:val="55124B51"/>
    <w:rsid w:val="55B43D13"/>
    <w:rsid w:val="562C3FA0"/>
    <w:rsid w:val="56864135"/>
    <w:rsid w:val="571E5A0F"/>
    <w:rsid w:val="572E3870"/>
    <w:rsid w:val="57A94AD8"/>
    <w:rsid w:val="585573E7"/>
    <w:rsid w:val="5A334C18"/>
    <w:rsid w:val="5AD0586C"/>
    <w:rsid w:val="5C2974BB"/>
    <w:rsid w:val="5C3646BB"/>
    <w:rsid w:val="5C4B79F0"/>
    <w:rsid w:val="5C6164F3"/>
    <w:rsid w:val="5CA03949"/>
    <w:rsid w:val="5CF710E5"/>
    <w:rsid w:val="5D0E5037"/>
    <w:rsid w:val="5EEF047E"/>
    <w:rsid w:val="606A2F3D"/>
    <w:rsid w:val="607B2E53"/>
    <w:rsid w:val="61CA0E33"/>
    <w:rsid w:val="61F008FF"/>
    <w:rsid w:val="63EF6D4C"/>
    <w:rsid w:val="65EF576E"/>
    <w:rsid w:val="67234BE8"/>
    <w:rsid w:val="67C37F93"/>
    <w:rsid w:val="68B72934"/>
    <w:rsid w:val="69A9737D"/>
    <w:rsid w:val="6A5B6461"/>
    <w:rsid w:val="6B9E401E"/>
    <w:rsid w:val="6C1A6998"/>
    <w:rsid w:val="6E470C5E"/>
    <w:rsid w:val="6FC23CA8"/>
    <w:rsid w:val="704E6FC8"/>
    <w:rsid w:val="711C77D0"/>
    <w:rsid w:val="71462F89"/>
    <w:rsid w:val="73051406"/>
    <w:rsid w:val="73F71B2F"/>
    <w:rsid w:val="7524075C"/>
    <w:rsid w:val="753B5DA2"/>
    <w:rsid w:val="76C64F98"/>
    <w:rsid w:val="79792DFF"/>
    <w:rsid w:val="7AB36300"/>
    <w:rsid w:val="7AB427B8"/>
    <w:rsid w:val="7ED45A9B"/>
    <w:rsid w:val="7F895F01"/>
    <w:rsid w:val="7FC53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numPr>
        <w:ilvl w:val="0"/>
        <w:numId w:val="1"/>
      </w:numPr>
      <w:spacing w:before="340" w:after="330" w:line="578" w:lineRule="auto"/>
      <w:outlineLvl w:val="0"/>
    </w:pPr>
    <w:rPr>
      <w:b/>
      <w:bCs/>
      <w:kern w:val="44"/>
      <w:sz w:val="44"/>
      <w:szCs w:val="44"/>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kern w:val="0"/>
      <w:sz w:val="20"/>
      <w:szCs w:val="24"/>
      <w:lang w:val="zh-CN"/>
    </w:rPr>
  </w:style>
  <w:style w:type="paragraph" w:styleId="5">
    <w:name w:val="Normal Indent"/>
    <w:basedOn w:val="1"/>
    <w:next w:val="1"/>
    <w:qFormat/>
    <w:uiPriority w:val="99"/>
    <w:pPr>
      <w:ind w:firstLine="420"/>
    </w:pPr>
    <w:rPr>
      <w:lang w:val="zh-CN"/>
    </w:rPr>
  </w:style>
  <w:style w:type="paragraph" w:styleId="6">
    <w:name w:val="Body Text Indent 2"/>
    <w:basedOn w:val="1"/>
    <w:qFormat/>
    <w:uiPriority w:val="0"/>
    <w:pPr>
      <w:ind w:firstLine="630"/>
    </w:pPr>
    <w:rPr>
      <w:sz w:val="32"/>
      <w:szCs w:val="20"/>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styleId="14">
    <w:name w:val="List Paragraph"/>
    <w:basedOn w:val="1"/>
    <w:qFormat/>
    <w:uiPriority w:val="34"/>
    <w:pPr>
      <w:ind w:firstLine="420" w:firstLineChars="200"/>
    </w:pPr>
  </w:style>
  <w:style w:type="paragraph" w:customStyle="1" w:styleId="15">
    <w:name w:val="p15"/>
    <w:basedOn w:val="1"/>
    <w:qFormat/>
    <w:uiPriority w:val="0"/>
    <w:pPr>
      <w:widowControl/>
      <w:ind w:firstLine="420"/>
    </w:pPr>
    <w:rPr>
      <w:kern w:val="0"/>
      <w:szCs w:val="21"/>
    </w:rPr>
  </w:style>
  <w:style w:type="character" w:customStyle="1" w:styleId="16">
    <w:name w:val="页眉 字符"/>
    <w:basedOn w:val="12"/>
    <w:link w:val="8"/>
    <w:qFormat/>
    <w:uiPriority w:val="0"/>
    <w:rPr>
      <w:rFonts w:asciiTheme="minorHAnsi" w:hAnsiTheme="minorHAnsi" w:eastAsiaTheme="minorEastAsia" w:cstheme="minorBidi"/>
      <w:kern w:val="2"/>
      <w:sz w:val="18"/>
      <w:szCs w:val="18"/>
    </w:rPr>
  </w:style>
  <w:style w:type="character" w:customStyle="1" w:styleId="17">
    <w:name w:val="页脚 字符"/>
    <w:basedOn w:val="12"/>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9080</Words>
  <Characters>9697</Characters>
  <Lines>26</Lines>
  <Paragraphs>7</Paragraphs>
  <TotalTime>0</TotalTime>
  <ScaleCrop>false</ScaleCrop>
  <LinksUpToDate>false</LinksUpToDate>
  <CharactersWithSpaces>9711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2021-09-14T03:36:00Z</dcterms:created>
  <dc:creator>LGYY-USER</dc:creator>
  <cp:lastModifiedBy>天空</cp:lastModifiedBy>
  <dcterms:modified xsi:type="dcterms:W3CDTF">2026-08-12T05:18:12Z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eyJoZGlkIjoiYTRiMjI1NTRjYTU0YzUyY2Y5NGVkYmZjOTNkMWE4NWIiLCJ1c2VySWQiOiIxMTU2NzgxMTU1In0=</vt:lpwstr>
  </property>
  <property fmtid="{D5CDD505-2E9C-101B-9397-08002B2CF9AE}" pid="4" name="ICV">
    <vt:lpwstr>2C70413AE7E5450CBF639A7101E73FB3_12</vt:lpwstr>
  </property>
</Properties>
</file>