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69215">
      <w:pPr>
        <w:jc w:val="center"/>
        <w:rPr>
          <w:rFonts w:hint="default" w:ascii="方正小标宋简体" w:hAnsi="Calibri" w:eastAsia="方正小标宋简体" w:cs="Calibri"/>
          <w:sz w:val="36"/>
          <w:szCs w:val="36"/>
          <w:lang w:val="en-US" w:eastAsia="zh-CN"/>
        </w:rPr>
      </w:pPr>
      <w:r>
        <w:rPr>
          <w:rFonts w:hint="eastAsia" w:ascii="方正小标宋简体" w:hAnsi="Calibri" w:eastAsia="方正小标宋简体" w:cs="Calibri"/>
          <w:sz w:val="36"/>
          <w:szCs w:val="36"/>
          <w:lang w:val="en-US" w:eastAsia="zh-CN"/>
        </w:rPr>
        <w:t>柳州市工人医院全院老旧电脑硬盘及内存升级采购项目需求</w:t>
      </w:r>
    </w:p>
    <w:p w14:paraId="4BFD3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15636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项目名称</w:t>
      </w:r>
    </w:p>
    <w:p w14:paraId="445C2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柳州市工人医院全院老旧电脑硬盘及内存升级采购项目</w:t>
      </w:r>
    </w:p>
    <w:p w14:paraId="48115B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项目背景</w:t>
      </w:r>
    </w:p>
    <w:p w14:paraId="3BF221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随着医院信息化建设的不断深入，现有部分老旧电脑因硬件配置较低，已无法满足当前医院信息系统（HIS）、电子病历系统（EMR）等业务软件的流畅运行需求，严重影响临床工作效率。为提升全院终端设备的运行性能，保障医疗业务正常开展，拟对全院老旧电脑进行硬盘及内存升级改造。</w:t>
      </w:r>
    </w:p>
    <w:p w14:paraId="64F444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供应商资格要求</w:t>
      </w:r>
    </w:p>
    <w:p w14:paraId="624C11E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供应商须为国内注册（指按国家有关规定要求注册的），具备独立法人资格，经营范围包含计算机软硬件销售、信息系统集成或相关服务内容。</w:t>
      </w:r>
    </w:p>
    <w:p w14:paraId="51ACB1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符合《中华人民共和国政府采购法》第二十二条规定的资格条件。</w:t>
      </w:r>
    </w:p>
    <w:p w14:paraId="37ABEA3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供应商在“信用中国”网站、中国政府采购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网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裁判文书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网等渠道未被列入失信被执行人、重大税收违法案件当事人名单、政府采购严重违法失信行为记录名单。</w:t>
      </w:r>
    </w:p>
    <w:p w14:paraId="0B1520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参加本次采购活动前三年内，在经营活动中没有重大违法记录（提供书面承诺函）。</w:t>
      </w:r>
    </w:p>
    <w:p w14:paraId="0CDDAA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采购内容及技术参数要求</w:t>
      </w:r>
    </w:p>
    <w:p w14:paraId="3D70A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（一）采购清单和技术要求</w:t>
      </w:r>
    </w:p>
    <w:tbl>
      <w:tblPr>
        <w:tblStyle w:val="8"/>
        <w:tblW w:w="10281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200"/>
        <w:gridCol w:w="6177"/>
        <w:gridCol w:w="723"/>
        <w:gridCol w:w="709"/>
        <w:gridCol w:w="709"/>
      </w:tblGrid>
      <w:tr w14:paraId="6F18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3" w:type="dxa"/>
          </w:tcPr>
          <w:p w14:paraId="2C67EB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00" w:type="dxa"/>
          </w:tcPr>
          <w:p w14:paraId="333A07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6177" w:type="dxa"/>
          </w:tcPr>
          <w:p w14:paraId="04485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技术参数要求</w:t>
            </w:r>
          </w:p>
        </w:tc>
        <w:tc>
          <w:tcPr>
            <w:tcW w:w="723" w:type="dxa"/>
          </w:tcPr>
          <w:p w14:paraId="079E25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09" w:type="dxa"/>
          </w:tcPr>
          <w:p w14:paraId="36DFD5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9" w:type="dxa"/>
          </w:tcPr>
          <w:p w14:paraId="4353D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852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</w:trPr>
        <w:tc>
          <w:tcPr>
            <w:tcW w:w="763" w:type="dxa"/>
          </w:tcPr>
          <w:p w14:paraId="76EE56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1200" w:type="dxa"/>
          </w:tcPr>
          <w:p w14:paraId="3CBDDA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固态硬盘</w:t>
            </w:r>
          </w:p>
        </w:tc>
        <w:tc>
          <w:tcPr>
            <w:tcW w:w="6177" w:type="dxa"/>
          </w:tcPr>
          <w:p w14:paraId="2610466C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容量：≥250GB，全新原装正品，无翻新、拆机盘 </w:t>
            </w:r>
          </w:p>
          <w:p w14:paraId="60FEF27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规格：2.5 英寸 7mm SATA3 6Gbps； M.2 2280 PCIe3.0以上 NVMe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两种接口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  <w:p w14:paraId="3698B0C3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闪存：原厂 3D NAND TLC 颗粒，稳定耐用 </w:t>
            </w:r>
          </w:p>
          <w:p w14:paraId="65697715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性能：SATA 款读≥530MB/s、写≥500MB/s；NVMe 款读≥3000MB/s、写≥3000MB/s </w:t>
            </w:r>
          </w:p>
          <w:p w14:paraId="261DDC26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寿命：TBW≥120TBW，MTBF≥150 万小时，带断电保护 </w:t>
            </w:r>
          </w:p>
          <w:p w14:paraId="21F8BC5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安全：AES256 硬件加密，支持 SMART、TRIM、数据安全擦除 </w:t>
            </w:r>
          </w:p>
          <w:p w14:paraId="0D903FEA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质保：原厂3 年官方联保。 </w:t>
            </w:r>
          </w:p>
        </w:tc>
        <w:tc>
          <w:tcPr>
            <w:tcW w:w="723" w:type="dxa"/>
          </w:tcPr>
          <w:p w14:paraId="1D86B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597</w:t>
            </w:r>
          </w:p>
        </w:tc>
        <w:tc>
          <w:tcPr>
            <w:tcW w:w="709" w:type="dxa"/>
          </w:tcPr>
          <w:p w14:paraId="06F0F0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个</w:t>
            </w:r>
          </w:p>
        </w:tc>
        <w:tc>
          <w:tcPr>
            <w:tcW w:w="709" w:type="dxa"/>
          </w:tcPr>
          <w:p w14:paraId="244E8F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含安装及系统镜像部署</w:t>
            </w:r>
          </w:p>
        </w:tc>
      </w:tr>
      <w:tr w14:paraId="4EF6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63" w:type="dxa"/>
          </w:tcPr>
          <w:p w14:paraId="258A19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  <w:tc>
          <w:tcPr>
            <w:tcW w:w="1200" w:type="dxa"/>
          </w:tcPr>
          <w:p w14:paraId="61779F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内存条</w:t>
            </w:r>
          </w:p>
        </w:tc>
        <w:tc>
          <w:tcPr>
            <w:tcW w:w="6177" w:type="dxa"/>
          </w:tcPr>
          <w:p w14:paraId="37A5CF9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产品规格：全新原厂 DDR4 内存模组，单条物理容量 ≥8GB，禁止扩容、翻新、拆机二手条 </w:t>
            </w:r>
          </w:p>
          <w:p w14:paraId="599DBEEC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运行频率：标称有效频率 2666MT/s</w:t>
            </w:r>
          </w:p>
          <w:p w14:paraId="3876FEB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供电电压：额定工作电压 1.2V，电压浮动容错范围 ±5% </w:t>
            </w:r>
          </w:p>
          <w:p w14:paraId="5049FFA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时序参数：CAS Latency (CL)=19，tRCD=19，tRP=19，tRAS=43 </w:t>
            </w:r>
          </w:p>
          <w:p w14:paraId="0DE5D68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物理接口 ：</w:t>
            </w:r>
          </w:p>
          <w:p w14:paraId="6D45B62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台式机：288Pin UDIMM 无缓冲内存模组</w:t>
            </w:r>
          </w:p>
          <w:p w14:paraId="23478DF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笔记本：260Pin SODIMM 小型内存模组</w:t>
            </w:r>
          </w:p>
          <w:p w14:paraId="5BD914B9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存储颗粒：采用一线原厂全新 DRAM 颗粒</w:t>
            </w:r>
          </w:p>
          <w:p w14:paraId="412F467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带宽：理论带宽 21.3GB/s </w:t>
            </w:r>
          </w:p>
          <w:p w14:paraId="4FF44BF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序列号管理：单条独立序列号，出厂配套原厂包装 </w:t>
            </w:r>
          </w:p>
          <w:p w14:paraId="2EED0E01"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售后服务：原厂三年及以上全国联保，出现颗粒故障、识别异常可免费换新。</w:t>
            </w:r>
          </w:p>
        </w:tc>
        <w:tc>
          <w:tcPr>
            <w:tcW w:w="723" w:type="dxa"/>
          </w:tcPr>
          <w:p w14:paraId="3B389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581</w:t>
            </w:r>
          </w:p>
        </w:tc>
        <w:tc>
          <w:tcPr>
            <w:tcW w:w="709" w:type="dxa"/>
          </w:tcPr>
          <w:p w14:paraId="3EA274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条</w:t>
            </w:r>
          </w:p>
        </w:tc>
        <w:tc>
          <w:tcPr>
            <w:tcW w:w="709" w:type="dxa"/>
          </w:tcPr>
          <w:p w14:paraId="4D589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含安装</w:t>
            </w:r>
          </w:p>
        </w:tc>
      </w:tr>
    </w:tbl>
    <w:p w14:paraId="48767A01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0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）镜像安装要求</w:t>
      </w:r>
    </w:p>
    <w:p w14:paraId="53E0A0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供应商须使用医院提供的操作系统镜像文件，将系统部署至新加装的固态硬盘上。具体包括：</w:t>
      </w:r>
    </w:p>
    <w:p w14:paraId="58C1F9A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系统镜像部署：将医院指定的镜像（含医院标准化配置）安装至新固态硬盘作为系统盘，确保系统正常启动运行。</w:t>
      </w:r>
    </w:p>
    <w:p w14:paraId="11C7A44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原机械硬盘处理：原有机械硬盘作为数据盘保留，须确保原盘数据完整无损。</w:t>
      </w:r>
    </w:p>
    <w:p w14:paraId="542D330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驱动及外设安装：安装完成后，须安装电脑所有硬件驱动程序，并确保打印机、扫描仪、读卡器等医院常用外设正常使用。</w:t>
      </w:r>
    </w:p>
    <w:p w14:paraId="72116F5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业务软件安装：安装HIS系统、EMR系统、杀毒软件、终端管理软件等医院业务系统及办公软件，并完成相关配置。</w:t>
      </w:r>
    </w:p>
    <w:p w14:paraId="566744D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网络配置恢复：记录并恢复电脑的IP地址、计算机名、域成员身份等网络配置信息，确保升级后正常接入医院内网。</w:t>
      </w:r>
    </w:p>
    <w:p w14:paraId="1A38F2A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用户数据备份：安装前须对用户重要数据进行完整备份，确保数据不丢失</w:t>
      </w:r>
    </w:p>
    <w:p w14:paraId="571DB7A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供应商提供的镜像安装服务须使用正版授权操作系统，如因操作系统版权问题引发纠纷，由供应商承担全部法律责任。</w:t>
      </w:r>
    </w:p>
    <w:p w14:paraId="120D9E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服务要求</w:t>
      </w:r>
    </w:p>
    <w:p w14:paraId="17F67C4C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0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安装服务要求</w:t>
      </w:r>
    </w:p>
    <w:p w14:paraId="5B5C19B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现场安装：供应商须派技术人员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配合信息科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到各科室电脑使用现场完成安装服务，不得将电脑搬离现场操作。</w:t>
      </w:r>
    </w:p>
    <w:p w14:paraId="6A0BAAA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错峰施工：为尽量减少对临床业务的影响，安装工作须安排在非高峰时段进行，具体安装时间由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信息科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与各科室协商确定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后通知安装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360ECA5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安装流程规范：</w:t>
      </w:r>
    </w:p>
    <w:p w14:paraId="301002E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安装前：登记电脑资产信息，备份用户数据，记录IP地址、计算机名、域成员等配置信息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；</w:t>
      </w:r>
    </w:p>
    <w:p w14:paraId="68627CB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安装中：完成内存加装、固态硬盘安装、系统镜像部署、驱动及外设安装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；</w:t>
      </w:r>
    </w:p>
    <w:p w14:paraId="0547EF0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安装后：完成业务软件配置，验证系统及外设功能正常，经科室使用人员签字确认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；</w:t>
      </w:r>
    </w:p>
    <w:p w14:paraId="5D56D8DA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0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）质量保证要求</w:t>
      </w:r>
    </w:p>
    <w:p w14:paraId="32CE2BF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项目工期：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合同签订后 45个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工作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日内完成全部配件的安装、调试及验收交付使用。</w:t>
      </w:r>
    </w:p>
    <w:p w14:paraId="4D22D62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质保期：所有配件（固态硬盘、内存条）提供 不少于3年 的质保服务，自验收合格之日起计算。</w:t>
      </w:r>
    </w:p>
    <w:p w14:paraId="07B7F790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故障响应：质保期内出现配件质量问题，供应商须在接到通知后 2小时内响应，48小时内完成更换。</w:t>
      </w:r>
    </w:p>
    <w:p w14:paraId="76C2CD8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备件储备：供应商应储备不少于采购总量5%的备用配件，以应对质保期内故障更换需求。</w:t>
      </w:r>
    </w:p>
    <w:p w14:paraId="6537CD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验收要求</w:t>
      </w:r>
    </w:p>
    <w:p w14:paraId="0531C139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分批次验收：按科室或楼层为单位分批完成安装后，由信息科与使用科室共同验收确认。</w:t>
      </w:r>
    </w:p>
    <w:p w14:paraId="4C7E236F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验收标准：</w:t>
      </w:r>
    </w:p>
    <w:p w14:paraId="328CD2E6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配件型号、规格与采购要求一致，为原厂正品</w:t>
      </w:r>
    </w:p>
    <w:p w14:paraId="2E2DF012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内存条安装后系统能正确识别并稳定运行</w:t>
      </w:r>
    </w:p>
    <w:p w14:paraId="765C913D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固态硬盘安装后系统镜像部署成功，系统正常启动</w:t>
      </w:r>
    </w:p>
    <w:p w14:paraId="44833DF3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所有业务软件及外设功能正常</w:t>
      </w:r>
    </w:p>
    <w:p w14:paraId="3B7BF35C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用户数据完整无损</w:t>
      </w:r>
    </w:p>
    <w:p w14:paraId="4FE092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报价要求</w:t>
      </w:r>
    </w:p>
    <w:p w14:paraId="64D0957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投标报价应为采购人指定地点的现场交货价及服务价，包括：货物及标准附件、备品备件的价格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运输、装卸费用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安装调试、系统镜像部署费用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培训、技术支持、售后服务费用必要的保险费用和各项税费</w:t>
      </w:r>
    </w:p>
    <w:p w14:paraId="0362A06F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报价须分别列明固态硬盘单价、内存条单价及安装服务费。</w:t>
      </w:r>
    </w:p>
    <w:p w14:paraId="1AF072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付款和结算方式</w:t>
      </w:r>
    </w:p>
    <w:p w14:paraId="03DA58AE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第一阶段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全部货物到货，安装完成50%以上并经初验合格支付合同总价的70%；</w:t>
      </w:r>
    </w:p>
    <w:p w14:paraId="62975841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第二阶段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全部安装完成，项目整体验收合格支付合同总价的30%。</w:t>
      </w:r>
    </w:p>
    <w:p w14:paraId="5BF28282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最终按实际结算。</w:t>
      </w:r>
    </w:p>
    <w:p w14:paraId="455D4F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供应商遴选方式</w:t>
      </w:r>
    </w:p>
    <w:p w14:paraId="30D54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对供应商商品质量、服务及时性及价格进行综合评价，遴选1家服务商。 </w:t>
      </w:r>
    </w:p>
    <w:p w14:paraId="77F30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BF9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281E0A86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34207"/>
    <w:multiLevelType w:val="singleLevel"/>
    <w:tmpl w:val="9BF3420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A1E3ACE7"/>
    <w:multiLevelType w:val="singleLevel"/>
    <w:tmpl w:val="A1E3ACE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EBCA606D"/>
    <w:multiLevelType w:val="singleLevel"/>
    <w:tmpl w:val="EBCA60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F63C546F"/>
    <w:multiLevelType w:val="singleLevel"/>
    <w:tmpl w:val="F63C546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ED27882"/>
    <w:multiLevelType w:val="singleLevel"/>
    <w:tmpl w:val="FED2788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>
    <w:nsid w:val="047599A4"/>
    <w:multiLevelType w:val="singleLevel"/>
    <w:tmpl w:val="047599A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3D735832"/>
    <w:multiLevelType w:val="singleLevel"/>
    <w:tmpl w:val="3D7358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5D14D293"/>
    <w:multiLevelType w:val="singleLevel"/>
    <w:tmpl w:val="5D14D29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5E40FFFA"/>
    <w:multiLevelType w:val="singleLevel"/>
    <w:tmpl w:val="5E40FFF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62E9D2FF"/>
    <w:multiLevelType w:val="singleLevel"/>
    <w:tmpl w:val="62E9D2F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6DDBE159"/>
    <w:multiLevelType w:val="singleLevel"/>
    <w:tmpl w:val="6DDBE15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6E664473"/>
    <w:multiLevelType w:val="singleLevel"/>
    <w:tmpl w:val="6E66447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11"/>
  </w:num>
  <w:num w:numId="8">
    <w:abstractNumId w:val="10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27838"/>
    <w:rsid w:val="07875226"/>
    <w:rsid w:val="12CF65EB"/>
    <w:rsid w:val="39535398"/>
    <w:rsid w:val="3F182FF1"/>
    <w:rsid w:val="3FF36AA3"/>
    <w:rsid w:val="4D933684"/>
    <w:rsid w:val="5A0709DC"/>
    <w:rsid w:val="6390479C"/>
    <w:rsid w:val="67726944"/>
    <w:rsid w:val="75B627F8"/>
    <w:rsid w:val="7B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80" w:lineRule="exac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1962</Words>
  <Characters>2159</Characters>
  <Lines>0</Lines>
  <Paragraphs>0</Paragraphs>
  <TotalTime>22</TotalTime>
  <ScaleCrop>false</ScaleCrop>
  <LinksUpToDate>false</LinksUpToDate>
  <CharactersWithSpaces>2251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2026-08-05T10:34:00Z</dcterms:created>
  <dc:creator>Administrator</dc:creator>
  <cp:lastModifiedBy>加深</cp:lastModifiedBy>
  <dcterms:modified xsi:type="dcterms:W3CDTF">2026-08-12T09:45:34Z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D388B403324844C9A27C1626F5E652A2_12</vt:lpwstr>
  </property>
  <property fmtid="{D5CDD505-2E9C-101B-9397-08002B2CF9AE}" pid="4" name="KSOTemplateDocerSaveRecord">
    <vt:lpwstr>eyJoZGlkIjoiNmFkNzM0MjEyYTJlMGViYTU0N2EyNjMzYjM3OTNmZjIiLCJ1c2VySWQiOiIzNTY0MzY5ODAifQ==</vt:lpwstr>
  </property>
</Properties>
</file>