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8C164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bookmarkStart w:id="0" w:name="_Toc344816509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柳州市工人医院 "药食同源" 院内外一体化推广服务合作运营项目采购需求</w:t>
      </w:r>
    </w:p>
    <w:bookmarkEnd w:id="0"/>
    <w:p w14:paraId="71563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项目概况</w:t>
      </w:r>
    </w:p>
    <w:p w14:paraId="14DD0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1.项目名称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：柳州市工人医院 "药食同源" 院内外一体化推广服务合作运营。</w:t>
      </w:r>
    </w:p>
    <w:p w14:paraId="77043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2.项目性质：</w:t>
      </w:r>
      <w:r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以柳州市工人医院临床营养科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中医科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研发中医药食养配方、慢病调理食疗方案、中医体质辨识技术为核心资源，开展院内外中医药食养健康服务、品牌体系搭建、标准化产品落地、全域科普推广一体化中医药延伸便民服务项目；项目不属于临床诊疗项目、药品售卖项目，不纳入医保收费范畴，全程严格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遵守食品安全、市场经营及医院院内管理相关规定。</w:t>
      </w:r>
    </w:p>
    <w:p w14:paraId="705B0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3.合作模式：</w:t>
      </w:r>
      <w:r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医院核心投入自研药食同源配方体系、中医食养辨证技术、慢病个性化食疗方案、体质辨识诊疗技术、中医药专业技术指导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等核心资源</w:t>
      </w:r>
      <w:r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；中标供应商采取全额投资、全流程运营、全风险包干合作模式：全额承担项目3年周期内所有前期投入与日常运营全部开支，具体包括：完成产品标准化生产转化、包装设计量产、医院专属中医药文创 IP 开发、全流程健康服务体系落地、品牌商标知识产权申报运维、食品代工厂家遴选与质量管控、驻场运营团队组建管理、经营区域简易适配装修、设施设备购置运维、全媒体科普品牌推广、食品安全管控、投诉舆情应急处置、项目全周期运营保障、所有物料耗材、人员薪酬、税费缴纳、各类安全风险兜底以及全部经营亏损等所有成本与风险。</w:t>
      </w:r>
    </w:p>
    <w:p w14:paraId="14B52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合作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期限：3年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57572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落地场所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柳州市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工人医院指定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院内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区域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5C87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二、资格要求</w:t>
      </w:r>
    </w:p>
    <w:p w14:paraId="2BDE0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1.供应商为在中华人民共和国境内依法注册的独立法人单位，具备有效的营业执照，能够独立承担民事责任与项目全部履约责任。</w:t>
      </w:r>
    </w:p>
    <w:p w14:paraId="202EE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2.具备健全的财务会计制度，提供近1年财务报表或银行资信证明，无资不抵债、经营异常记录。</w:t>
      </w:r>
    </w:p>
    <w:p w14:paraId="741FD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3.具备依法缴纳税收和社会保障资金的良好记录（提供近6个月缴纳凭证）。</w:t>
      </w:r>
    </w:p>
    <w:p w14:paraId="6CA5E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4.近3年内，在经营活动中无重大违法记录、无食品安全事故、无消防安全事故、无重大舆情投诉、无政府采购严重违法失信行为，未被列入失信被执行人、重大税收违法失信主体、政府采购严重违法失信名单。</w:t>
      </w:r>
    </w:p>
    <w:p w14:paraId="30D36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5.本项目不接受联合体投标、不允许分包、转包、挂靠经营。</w:t>
      </w:r>
    </w:p>
    <w:p w14:paraId="6F807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三、服务范围与内容</w:t>
      </w:r>
    </w:p>
    <w:p w14:paraId="3B95A60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产品研发与体系构建服务​</w:t>
      </w:r>
    </w:p>
    <w:p w14:paraId="6F39A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药食同源产品体系研发：结合大众健康需求、慢病调理、体质养生目标人群特点，联合医院中医科、营养科开展产品研发，搭建标准化产品矩阵，包含但不限于药膳汤品、药膳粥品、药食同源养生茶饮、膏方、食养调理包、药食同源特色零食等，所有产品必须严格依据国家《药食同源物品目录》研发，符合食品安全国家标准，严禁添加违禁成分。所有产品需形成标准化配方、标准化工艺流程、标准化包装、标准化食用说明、标准化质检标准，建立完整产品台账与溯源体系，报医院审核备案后方可上线运营。</w:t>
      </w:r>
    </w:p>
    <w:p w14:paraId="50F44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特色文创产品开发：深度融合柳州市工人医院品牌形象、中医药文化、传统养生文化，开发兼具实用性、观赏性、科普性、品牌性的医院专属中医药文创产品，产品设计方案、样品、包装、宣传文案须经医院审核确认，打造医院专属中医药特色品牌IP，严禁套用第三方品牌、侵权设计。</w:t>
      </w:r>
    </w:p>
    <w:p w14:paraId="08552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标准化配套服务体系搭建：协助医院建立完整、可落地、可考核的药食同源健康服务体系，包含中医体质辨识、个性化药膳推荐、健康科普咨询、慢病食养指导、用户档案管理、随访服务等全流程服务，制定统一服务规范、服务话术、服务流程、应急处置规范，实现服务标准化、规范化、常态化，所有服务制度、流程、台账须报医院备案。</w:t>
      </w:r>
    </w:p>
    <w:p w14:paraId="7FED56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品牌推广与生产配套服务​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​</w:t>
      </w:r>
    </w:p>
    <w:p w14:paraId="1C9A9B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品牌运营与市场推广：制定年度、季度品牌推广与营销方案，采取线上+线下一体化推广模式。线下开展院内科普义诊、健康讲座、体验活动、医患宣教；线上开展短视频科普、直播体验、新媒体宣传、合规销售，严禁夸大宣传、医疗化宣传、虚假功效宣传。持续提升医院中医药食养品牌知名度与美誉度，所有推广内容、宣传物料、文案、视频须提前报医院审核，审核通过后方可发布。</w:t>
      </w:r>
    </w:p>
    <w:p w14:paraId="7A0453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商标与知识产权配套服务：全程协助医院完成品牌商标检索、类别规划、注册申报、资料整理、进度跟进、异议应对等全流程服务，确保医院品牌、专属标识、文创IP商标合规落地。所有医院品牌、商标、标识权属归采购人独家所有，供应商仅可用于本项目履约使用。</w:t>
      </w:r>
    </w:p>
    <w:p w14:paraId="1E1062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合规生产厂家筛选管控：严格按照医院提供的配方标准、质量要求、食品安全规范，开展合作生产厂家资质审核、实地考察、产能评估、质检体系核查、溯源能力核查，出具正式厂家评估报告、风险评估报告，择优推荐合格厂家，最终合作厂家必须经医院书面确认后方可合作。供应商全程负责产品代工质量管控、批次抽检、溯源管理，对产品食品安全、质量问题承担第一责任。</w:t>
      </w:r>
    </w:p>
    <w:p w14:paraId="2CF782D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服务团队配置要求​ </w:t>
      </w:r>
    </w:p>
    <w:p w14:paraId="6AEA2B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1.核心人员派驻：供应商服务团队人员必须训练有素，所有上岗人员须为供应商固定人员，并提供用工合同。供应商须保证实际出勤人员数量≥3，线上销售直播人员需根据实际运营情况进行配备，达到采购方需求。 </w:t>
      </w:r>
    </w:p>
    <w:p w14:paraId="6F7805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2.人员资质要求：所有上岗服务人员须持有有效健康证明，无传染病史及不良犯罪记录，相关资质证明文件备案备查。​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 xml:space="preserve"> </w:t>
      </w:r>
    </w:p>
    <w:p w14:paraId="1D799D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人员管理规范：供应商全权负责员工人事管理、薪酬考核、日常考勤、服务管控、纪律管理，所有人员必须严格遵守医院规章制度、院感要求、医患服务规范、保密制度、安全生产制度。人员着装统一、仪容规范、服务文明，严禁与患者、职工发生争执，严禁私自推销、违规营销、私收费用。医院有权对不合格人员、服务态度差、违规违纪人员要求立即更换，供应商须在3个工作日内完成更换。</w:t>
      </w:r>
    </w:p>
    <w:p w14:paraId="6FC1FC4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运营保障与安全要求​</w:t>
      </w:r>
    </w:p>
    <w:p w14:paraId="2006AB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场地与设施运维保障：供应商全权负责运营区域装修、设施、设备、水电、消防、环境卫生、院感防控的日常运维、消杀、检修、更换，承担全部费用，确保场地合规、整洁、安全、达标，符合食品经营、公共场所运营、医院院感管理要求。</w:t>
      </w:r>
    </w:p>
    <w:p w14:paraId="1315CB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全维度安全主体责任：供应商为本项目食品安全、消防安全、生产安全、用电安全、人员安全、经营安全、舆情安全第一责任人。严格遵守《食品安全法》《消防法》及医院安全管理制度，建立每日安全巡检、台账记录、隐患排查整改机制。因供应商管理疏漏、违规操作、产品质量问题、人员问题引发的安全事故、食品安全问题、人员伤害、财产损失、行政处罚，全部由供应商承担全责及所有经济、法律责任，与医院无关。</w:t>
      </w:r>
    </w:p>
    <w:p w14:paraId="354C91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投诉与舆情处置机制：供应商建立24小时投诉响应、分级处置、回访闭环机制。所有客户投诉、意见、纠纷，24小时内响应、48小时内闭环解决、全程留痕台账。因产品质量、服务问题、违规营销引发的投诉、纠纷、网络舆情、媒体曝光、监管处罚，由供应商全权处置、承担全部损失与整改责任，造成医院品牌受损、名誉损失的，医院有权追责并扣除相应费用、终止合同。</w:t>
      </w:r>
    </w:p>
    <w:p w14:paraId="27A4B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四、知识产权与保密管理</w:t>
      </w:r>
    </w:p>
    <w:p w14:paraId="1A9A7E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医院独家知识产权：采购人提供的所有中药配方、食养方案、诊疗参考资料、医院品牌标识、院徽、专属IP、技术资料、患者健康数据等，知识产权、著作权、使用权、所有权全部归柳州市工人医院独家所有。中标供应商仅可在本项目合同履约范围内合规使用，未经医院书面授权，严禁复制、摘抄、传播、转借、商用、二次开发、对外授权，严禁用于本项目以外任何场景。</w:t>
      </w:r>
    </w:p>
    <w:p w14:paraId="0223B0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供应商自有成果权限：供应商在履约过程中独立形成的通用运营方案、营销方法、推广模板等通用成果归供应商所有；但医院有权在本项目范围内无偿永久使用，供应商不得主张权利。涉及结合医院专属配方、专属IP形成的定制化成果，权属归医院所有。</w:t>
      </w:r>
    </w:p>
    <w:p w14:paraId="3A28E7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永久保密义务：供应商对项目履约期间接触到的医院业务秘密、技术秘密、患者信息、职工信息、未公开项目资料、配方资料、运营数据等承担永久保密责任，保密义务不因合同到期、终止、解除而失效。供应商须建立内部保密制度、权限管控、涉密台账，严禁向任何第三方泄露、外传、牟利。发生泄密的，医院有权追责、索赔、终止合同。</w:t>
      </w:r>
    </w:p>
    <w:p w14:paraId="7B808D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4.数据安全管理：所有用户健康数据、服务数据、咨询数据归医院所有，供应商仅可用于项目日常服务，不得导出、外传、售卖、私自使用，严格遵守数据安全法、个人信息保护法相关规定。</w:t>
      </w:r>
    </w:p>
    <w:p w14:paraId="49B6F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五、考核与验收标准</w:t>
      </w:r>
    </w:p>
    <w:p w14:paraId="31AF296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日常月度考核</w:t>
      </w:r>
    </w:p>
    <w:p w14:paraId="272CFB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医院每月对项目服务、人员在岗、场地卫生、安全管理、投诉舆情、宣传合规、台账资料进行月度考核，考核结果与月度服务费结算、年度履约评价直接挂钩，考核不合格的予以扣罚、限期整改。</w:t>
      </w:r>
    </w:p>
    <w:p w14:paraId="7C101A4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0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项目验收标准</w:t>
      </w:r>
    </w:p>
    <w:p w14:paraId="60B6B1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1.所有人员足额到岗、资质齐全、持证上岗、培训合格、台账完备；</w:t>
      </w:r>
    </w:p>
    <w:p w14:paraId="728D0E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2.完整搭建标准化药食同源产品体系、服务体系、质控体系、溯源体系，产品合规、配方备案、质检合格，出具合格质控与检测报告；</w:t>
      </w:r>
    </w:p>
    <w:p w14:paraId="14635D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3.服务流程、投诉机制、安全制度、保密制度、台账资料全部建立。</w:t>
      </w:r>
    </w:p>
    <w:p w14:paraId="0AD98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六、报价与结算</w:t>
      </w:r>
    </w:p>
    <w:p w14:paraId="698FF1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1.报价方式：本项目采用供应商全额投资、自主运营、自负盈亏、销售额固定折扣分成模式（报价报营业额分成比例）。</w:t>
      </w:r>
    </w:p>
    <w:p w14:paraId="5BFEA7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报价唯一性要求：本项目仅接受唯一固定折扣报价方案，不接受多方案报价、选择性报价、浮动报价、阶梯报价。所有商务优惠、让利条件均须全额体现在最终开标报价中，任何口头承诺、未书面载明的优惠条件均视为无效。</w:t>
      </w:r>
    </w:p>
    <w:p w14:paraId="766987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结算方式：本项目实行按季度据实分成结算，以业务系统真实、有效、合规的季度营收数据为唯一结算依据，结算公式：季度医院分成总额=当季度合规有效营收总金额×中标折扣率。本项目无最低保底营收、无捆绑结算、无医院兜底保障，项目所有经营成本、运营风险、经营亏损全部由供应商自行独立承担。</w:t>
      </w:r>
    </w:p>
    <w:p w14:paraId="5E675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七、其他要求</w:t>
      </w:r>
    </w:p>
    <w:p w14:paraId="68EBB2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1.本项目所有服务、产品、宣传、运营必须合法合规，符合国家法律法规、行业标准、医院管理制度，若政策调整，供应商须无条件配合整改、适配，无任何增补费用。</w:t>
      </w:r>
    </w:p>
    <w:p w14:paraId="6764F2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因供应商过失、违规运营、管理疏漏、产品及服务问题等自身过错原因，在项目运营过程中产生的所有行政处罚、民事赔偿、舆情损失、第三方索赔、名誉损失及一切衍生损失，均由供应商独立全额承担，医院不承担任何责任与费用。</w:t>
      </w:r>
    </w:p>
    <w:p w14:paraId="6C4932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3.本招标需求未尽事宜，以双方正式签订合同条款为准。</w:t>
      </w:r>
    </w:p>
    <w:p w14:paraId="1CFF0201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八、服务商遴选方式</w:t>
      </w:r>
    </w:p>
    <w:p w14:paraId="1CEE643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对供应商的服务模式及质量、报价方案及运营方案等进行综合评价，遴选1</w:t>
      </w:r>
      <w:r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家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合作单位。</w:t>
      </w:r>
    </w:p>
    <w:p w14:paraId="2EAFF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p w14:paraId="5492A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197E2CE7"/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C62C63"/>
    <w:multiLevelType w:val="singleLevel"/>
    <w:tmpl w:val="D3C62C63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94ECFF9"/>
    <w:multiLevelType w:val="singleLevel"/>
    <w:tmpl w:val="094ECFF9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81DB5"/>
    <w:rsid w:val="0CE95B9C"/>
    <w:rsid w:val="0D0303AB"/>
    <w:rsid w:val="0D22141A"/>
    <w:rsid w:val="158017EE"/>
    <w:rsid w:val="28660263"/>
    <w:rsid w:val="35501F81"/>
    <w:rsid w:val="3F881DB5"/>
    <w:rsid w:val="60C04256"/>
    <w:rsid w:val="704E7DF4"/>
    <w:rsid w:val="70D9108E"/>
    <w:rsid w:val="754C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4049</Words>
  <Characters>4093</Characters>
  <Lines>0</Lines>
  <Paragraphs>0</Paragraphs>
  <TotalTime>23</TotalTime>
  <ScaleCrop>false</ScaleCrop>
  <LinksUpToDate>false</LinksUpToDate>
  <CharactersWithSpaces>4103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2026-07-09T03:34:00Z</dcterms:created>
  <dc:creator>黄波</dc:creator>
  <cp:lastModifiedBy>Administrator</cp:lastModifiedBy>
  <dcterms:modified xsi:type="dcterms:W3CDTF">2026-07-31T08:01:49Z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686D8DE09B8447C18EA359AFDC83551E_13</vt:lpwstr>
  </property>
  <property fmtid="{D5CDD505-2E9C-101B-9397-08002B2CF9AE}" pid="4" name="KSOTemplateDocerSaveRecord">
    <vt:lpwstr>eyJoZGlkIjoiNjlkODE5ZTBmNzZlNTAzYmI4YWRhYWM3MTQ5NTRiZDUiLCJ1c2VySWQiOiIzNDQxMTczMTEifQ==</vt:lpwstr>
  </property>
</Properties>
</file>