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98EE04">
      <w:pPr>
        <w:pStyle w:val="5"/>
        <w:shd w:val="clear" w:color="auto" w:fill="FFFFFF"/>
        <w:wordWrap w:val="0"/>
        <w:spacing w:after="0"/>
        <w:jc w:val="center"/>
        <w:rPr>
          <w:rFonts w:hint="default" w:ascii="方正小标宋简体" w:hAnsi="Calibri" w:eastAsia="方正小标宋简体" w:cs="Calibri"/>
          <w:b w:val="0"/>
          <w:bCs w:val="0"/>
          <w:sz w:val="36"/>
          <w:szCs w:val="36"/>
          <w:lang w:val="en-US" w:eastAsia="zh-CN"/>
        </w:rPr>
      </w:pPr>
      <w:r>
        <w:rPr>
          <w:rFonts w:hint="eastAsia" w:ascii="方正小标宋简体" w:hAnsi="Calibri" w:eastAsia="方正小标宋简体" w:cs="Calibri"/>
          <w:b w:val="0"/>
          <w:bCs w:val="0"/>
          <w:sz w:val="36"/>
          <w:szCs w:val="36"/>
          <w:lang w:val="en-US" w:eastAsia="zh-CN"/>
        </w:rPr>
        <w:t>柳州市工人医院2026年度医疗护理员持证上岗培训考核服务项目采购需求</w:t>
      </w:r>
    </w:p>
    <w:p w14:paraId="5E53C9D6">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left"/>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一、项目名称</w:t>
      </w:r>
    </w:p>
    <w:p w14:paraId="5A77C83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柳州市工人医院2026年度医疗护理员持证上岗培训考核服务项目采购需求</w:t>
      </w:r>
    </w:p>
    <w:p w14:paraId="59E72525">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left"/>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二、项目概况</w:t>
      </w:r>
    </w:p>
    <w:p w14:paraId="1910A09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院为广西第二批加强医疗护理员培训和规范管理试点医疗机构，根据(桂人社发[2024]6号)文件规定，试点单位医疗护理员持证上岗率需达90%以上，现阶段我院在岗医疗护理员持证上岗率为89.20%，未达到考核标准。为严格落实试点工作要求，规范院内护理员用工管理，持续提升陪护服务质量。现需采购具备合法培训及考核评价资质的专业机构，对院内尚未取得医疗护理员相关从业证书的在岗护理员开展专项培训与考核认定工作，实现护理员持证上岗指标达标。</w:t>
      </w:r>
    </w:p>
    <w:p w14:paraId="526B2936">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left"/>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三、投标人基础资质要求</w:t>
      </w:r>
    </w:p>
    <w:p w14:paraId="77E9023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 xml:space="preserve">（一）法定资格 </w:t>
      </w:r>
    </w:p>
    <w:p w14:paraId="071FCEA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 独立法人资格，营业执照在有效期内；</w:t>
      </w:r>
    </w:p>
    <w:p w14:paraId="2983EE24">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 人社部门颁发的《民办学校办学许可证》或《职业技能培训资质》，业务范围含“医疗护理”、“病患陪护”培训。 </w:t>
      </w:r>
    </w:p>
    <w:p w14:paraId="176EB566">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 xml:space="preserve">（二）财务能力  </w:t>
      </w:r>
      <w:r>
        <w:rPr>
          <w:rFonts w:hint="eastAsia" w:ascii="仿宋_GB2312" w:hAnsi="仿宋_GB2312" w:eastAsia="仿宋_GB2312" w:cs="仿宋_GB2312"/>
          <w:sz w:val="32"/>
          <w:szCs w:val="32"/>
          <w:lang w:val="en-US" w:eastAsia="zh-CN"/>
        </w:rPr>
        <w:t xml:space="preserve"> </w:t>
      </w:r>
    </w:p>
    <w:p w14:paraId="74284AC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具有健全的财务管理制度。                       </w:t>
      </w:r>
    </w:p>
    <w:p w14:paraId="21878D8D">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 xml:space="preserve">（三）信用记录 </w:t>
      </w:r>
      <w:r>
        <w:rPr>
          <w:rFonts w:hint="eastAsia" w:ascii="仿宋_GB2312" w:hAnsi="仿宋_GB2312" w:eastAsia="仿宋_GB2312" w:cs="仿宋_GB2312"/>
          <w:sz w:val="32"/>
          <w:szCs w:val="32"/>
          <w:lang w:val="en-US" w:eastAsia="zh-CN"/>
        </w:rPr>
        <w:t xml:space="preserve"> </w:t>
      </w:r>
    </w:p>
    <w:p w14:paraId="6C1A669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1.“信用中国”无重大失信记录；</w:t>
      </w:r>
    </w:p>
    <w:p w14:paraId="4C994FC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2.三年内无重大违法记录声明函。    </w:t>
      </w:r>
    </w:p>
    <w:p w14:paraId="50940D1D">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left"/>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 xml:space="preserve">四、核心培训能力参数 </w:t>
      </w:r>
    </w:p>
    <w:p w14:paraId="6808F46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（一）课时设置及价格</w:t>
      </w:r>
    </w:p>
    <w:p w14:paraId="57C1C4F1">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按《广西壮族自治区就业补助资金管理办法》（桂人社规〔2024〕9号）执行，实操课时占总课时比例一般不低于70%，理论课占总课时比例不低于10%，45分钟为1学时，每天不超过8课时，价格含鉴定费。</w:t>
      </w:r>
    </w:p>
    <w:p w14:paraId="3A630FC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1.病患陪护学时≥28学时，价格≤800元/人；</w:t>
      </w:r>
      <w:r>
        <w:rPr>
          <w:rFonts w:hint="eastAsia" w:ascii="仿宋_GB2312" w:hAnsi="仿宋_GB2312" w:eastAsia="仿宋_GB2312" w:cs="仿宋_GB2312"/>
          <w:color w:val="FF0000"/>
          <w:sz w:val="32"/>
          <w:szCs w:val="32"/>
          <w:lang w:val="en-US" w:eastAsia="zh-CN"/>
        </w:rPr>
        <w:t>(约70人</w:t>
      </w:r>
      <w:r>
        <w:rPr>
          <w:rFonts w:hint="eastAsia" w:ascii="仿宋_GB2312" w:hAnsi="仿宋_GB2312" w:eastAsia="仿宋_GB2312" w:cs="仿宋_GB2312"/>
          <w:sz w:val="32"/>
          <w:szCs w:val="32"/>
          <w:lang w:val="en-US" w:eastAsia="zh-CN"/>
        </w:rPr>
        <w:t>）</w:t>
      </w:r>
    </w:p>
    <w:p w14:paraId="42E67381">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color w:val="FF0000"/>
          <w:sz w:val="32"/>
          <w:szCs w:val="32"/>
          <w:lang w:val="en-US" w:eastAsia="zh-CN"/>
        </w:rPr>
      </w:pPr>
      <w:r>
        <w:rPr>
          <w:rFonts w:hint="eastAsia" w:ascii="仿宋_GB2312" w:hAnsi="仿宋_GB2312" w:eastAsia="仿宋_GB2312" w:cs="仿宋_GB2312"/>
          <w:sz w:val="32"/>
          <w:szCs w:val="32"/>
          <w:lang w:val="en-US" w:eastAsia="zh-CN"/>
        </w:rPr>
        <w:t xml:space="preserve"> 2.医疗护理员（初级）≥48学时，价格≤1400元/人；</w:t>
      </w:r>
      <w:r>
        <w:rPr>
          <w:rFonts w:hint="eastAsia" w:ascii="仿宋_GB2312" w:hAnsi="仿宋_GB2312" w:eastAsia="仿宋_GB2312" w:cs="仿宋_GB2312"/>
          <w:color w:val="FF0000"/>
          <w:sz w:val="32"/>
          <w:szCs w:val="32"/>
          <w:lang w:val="en-US" w:eastAsia="zh-CN"/>
        </w:rPr>
        <w:t>（约44人）</w:t>
      </w:r>
      <w:bookmarkStart w:id="0" w:name="_GoBack"/>
      <w:bookmarkEnd w:id="0"/>
    </w:p>
    <w:p w14:paraId="63F9BC8D">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（二）课程内容设置</w:t>
      </w:r>
    </w:p>
    <w:p w14:paraId="4D6BE548">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病患陪护按《病患陪护专项职业能力考核规范》中的能力标准进行设置。</w:t>
      </w:r>
    </w:p>
    <w:p w14:paraId="0CA3C99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医疗护理员按《医疗护理员国家职业技能标准（2024年版）》中的基本要求和技能要求设置，涵盖职业道德、生活照护、基本照护、临床照护、心理支持、功能锻炼等内容。</w:t>
      </w:r>
    </w:p>
    <w:p w14:paraId="6915D0A4">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（三）培训师资要求</w:t>
      </w:r>
    </w:p>
    <w:p w14:paraId="49D7BFB8">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需同时满足第1、2项条件，另外满足第3项或第4项条件的单位优先选用。  </w:t>
      </w:r>
    </w:p>
    <w:p w14:paraId="57E63B0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1.具有教师资格证；</w:t>
      </w:r>
    </w:p>
    <w:p w14:paraId="6A6A400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2.具有本职业三级/高级工及以上职业资格（职业技能等级）证书或相关专业中级及以上专业技术职务任职资格。</w:t>
      </w:r>
    </w:p>
    <w:p w14:paraId="74AC71DD">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3.具有比赛经验。培训师资参加或指导选手参加市级及以上医疗护理员、护理技能、养老照护、养老护理员技能比赛获奖；</w:t>
      </w:r>
    </w:p>
    <w:p w14:paraId="37C4C18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4.具有裁判经验。培训师资担任过市级及以上医疗护理员技能比赛裁判员。</w:t>
      </w:r>
    </w:p>
    <w:p w14:paraId="77F11941">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（四）培训形式</w:t>
      </w:r>
    </w:p>
    <w:p w14:paraId="48F3A274">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上门提供线下培训。</w:t>
      </w:r>
    </w:p>
    <w:p w14:paraId="0D4489A7">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left"/>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 xml:space="preserve"> 五、质量保障体系参数  </w:t>
      </w:r>
    </w:p>
    <w:p w14:paraId="175F44C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 xml:space="preserve">（一）考核认证机制 </w:t>
      </w:r>
      <w:r>
        <w:rPr>
          <w:rFonts w:hint="eastAsia" w:ascii="仿宋_GB2312" w:hAnsi="仿宋_GB2312" w:eastAsia="仿宋_GB2312" w:cs="仿宋_GB2312"/>
          <w:sz w:val="32"/>
          <w:szCs w:val="32"/>
          <w:lang w:val="en-US" w:eastAsia="zh-CN"/>
        </w:rPr>
        <w:t xml:space="preserve"> </w:t>
      </w:r>
    </w:p>
    <w:p w14:paraId="3E3EEF1B">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1.过程考核：学员出勤率≥80%方可参加评价考核；学员满意度≥90%。</w:t>
      </w:r>
    </w:p>
    <w:p w14:paraId="329E28F6">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2.终考方式：</w:t>
      </w:r>
    </w:p>
    <w:p w14:paraId="0F1E525C">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病患陪护：操作技能考核成绩达60分（含）以上为合格。</w:t>
      </w:r>
    </w:p>
    <w:p w14:paraId="026F5D4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医疗护理员：理论知识考试、操作技能考核成绩均达60分（含）以上为合格。</w:t>
      </w:r>
    </w:p>
    <w:p w14:paraId="1A30721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（二）证书发放</w:t>
      </w:r>
    </w:p>
    <w:p w14:paraId="55F1FBE3">
      <w:pPr>
        <w:keepNext w:val="0"/>
        <w:keepLines w:val="0"/>
        <w:pageBreakBefore w:val="0"/>
        <w:kinsoku/>
        <w:wordWrap/>
        <w:overflowPunct/>
        <w:topLinePunct w:val="0"/>
        <w:autoSpaceDE/>
        <w:autoSpaceDN/>
        <w:bidi w:val="0"/>
        <w:spacing w:line="53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Times New Roman" w:eastAsia="仿宋_GB2312" w:cs="Times New Roman"/>
          <w:sz w:val="32"/>
          <w:szCs w:val="32"/>
          <w:lang w:val="en-US" w:eastAsia="zh-CN"/>
        </w:rPr>
        <w:t xml:space="preserve"> </w:t>
      </w:r>
      <w:r>
        <w:rPr>
          <w:rFonts w:hint="eastAsia" w:ascii="仿宋_GB2312" w:hAnsi="仿宋_GB2312" w:eastAsia="仿宋_GB2312" w:cs="仿宋_GB2312"/>
          <w:sz w:val="32"/>
          <w:szCs w:val="32"/>
          <w:lang w:val="en-US" w:eastAsia="zh-CN"/>
        </w:rPr>
        <w:t>评价考核合格者，发放相对应的《病患陪护》或《医疗护理员职业技能等级证书》，证书可在人社相关网站查询、下载。</w:t>
      </w:r>
    </w:p>
    <w:p w14:paraId="6E5EC10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（三）质保承诺</w:t>
      </w:r>
    </w:p>
    <w:p w14:paraId="4AA1AB67">
      <w:pPr>
        <w:keepNext w:val="0"/>
        <w:keepLines w:val="0"/>
        <w:pageBreakBefore w:val="0"/>
        <w:kinsoku/>
        <w:wordWrap/>
        <w:overflowPunct/>
        <w:topLinePunct w:val="0"/>
        <w:autoSpaceDE/>
        <w:autoSpaceDN/>
        <w:bidi w:val="0"/>
        <w:spacing w:line="53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sz w:val="32"/>
          <w:szCs w:val="32"/>
          <w:lang w:val="en-US" w:eastAsia="zh-CN"/>
        </w:rPr>
        <w:t xml:space="preserve">1.获证率≥95%；  </w:t>
      </w:r>
    </w:p>
    <w:p w14:paraId="3A66A2A4">
      <w:pPr>
        <w:keepNext w:val="0"/>
        <w:keepLines w:val="0"/>
        <w:pageBreakBefore w:val="0"/>
        <w:kinsoku/>
        <w:wordWrap/>
        <w:overflowPunct/>
        <w:topLinePunct w:val="0"/>
        <w:autoSpaceDE/>
        <w:autoSpaceDN/>
        <w:bidi w:val="0"/>
        <w:spacing w:line="53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仿宋_GB2312" w:eastAsia="仿宋_GB2312" w:cs="仿宋_GB2312"/>
          <w:sz w:val="32"/>
          <w:szCs w:val="32"/>
          <w:lang w:val="en-US" w:eastAsia="zh-CN"/>
        </w:rPr>
        <w:t xml:space="preserve">  2.投诉响应时效≤2小时。  </w:t>
      </w:r>
    </w:p>
    <w:p w14:paraId="53ABC06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（四）培训经验</w:t>
      </w:r>
    </w:p>
    <w:p w14:paraId="6326A948">
      <w:pPr>
        <w:keepNext w:val="0"/>
        <w:keepLines w:val="0"/>
        <w:pageBreakBefore w:val="0"/>
        <w:kinsoku/>
        <w:wordWrap/>
        <w:overflowPunct/>
        <w:topLinePunct w:val="0"/>
        <w:autoSpaceDE/>
        <w:autoSpaceDN/>
        <w:bidi w:val="0"/>
        <w:spacing w:line="53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实际开展过医疗护理员职业技能等级培训，且获证率≥90%的单位，优先选用。</w:t>
      </w:r>
    </w:p>
    <w:p w14:paraId="2D8B611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（五）培训及评价考核资质</w:t>
      </w:r>
    </w:p>
    <w:p w14:paraId="0D0E1631">
      <w:pPr>
        <w:keepNext w:val="0"/>
        <w:keepLines w:val="0"/>
        <w:pageBreakBefore w:val="0"/>
        <w:kinsoku/>
        <w:wordWrap/>
        <w:overflowPunct/>
        <w:topLinePunct w:val="0"/>
        <w:autoSpaceDE/>
        <w:autoSpaceDN/>
        <w:bidi w:val="0"/>
        <w:spacing w:line="53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同时具有病患陪护和医疗护理员职业技能等级培训及评价考核资质的单位优先选用。</w:t>
      </w:r>
    </w:p>
    <w:p w14:paraId="3A06D4B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（六）培训品牌</w:t>
      </w:r>
    </w:p>
    <w:p w14:paraId="1DCA6C5C">
      <w:pPr>
        <w:keepNext w:val="0"/>
        <w:keepLines w:val="0"/>
        <w:pageBreakBefore w:val="0"/>
        <w:kinsoku/>
        <w:wordWrap/>
        <w:overflowPunct/>
        <w:topLinePunct w:val="0"/>
        <w:autoSpaceDE/>
        <w:autoSpaceDN/>
        <w:bidi w:val="0"/>
        <w:spacing w:line="53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近5年获评为</w:t>
      </w:r>
      <w:r>
        <w:rPr>
          <w:rFonts w:hint="default" w:ascii="仿宋_GB2312" w:hAnsi="仿宋_GB2312" w:eastAsia="仿宋_GB2312" w:cs="仿宋_GB2312"/>
          <w:sz w:val="32"/>
          <w:szCs w:val="32"/>
          <w:lang w:val="en-US" w:eastAsia="zh-CN"/>
        </w:rPr>
        <w:t>自治区“八桂系列”劳务品牌技能培训领航单位</w:t>
      </w:r>
      <w:r>
        <w:rPr>
          <w:rFonts w:hint="eastAsia" w:ascii="仿宋_GB2312" w:hAnsi="仿宋_GB2312" w:eastAsia="仿宋_GB2312" w:cs="仿宋_GB2312"/>
          <w:sz w:val="32"/>
          <w:szCs w:val="32"/>
          <w:lang w:val="en-US" w:eastAsia="zh-CN"/>
        </w:rPr>
        <w:t>的优先选用。</w:t>
      </w:r>
    </w:p>
    <w:p w14:paraId="26B8C65A">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left"/>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 xml:space="preserve"> 六、否决性条款（出现即废标）  </w:t>
      </w:r>
    </w:p>
    <w:p w14:paraId="7CC8FD5B">
      <w:pPr>
        <w:keepNext w:val="0"/>
        <w:keepLines w:val="0"/>
        <w:pageBreakBefore w:val="0"/>
        <w:kinsoku/>
        <w:wordWrap/>
        <w:overflowPunct/>
        <w:topLinePunct w:val="0"/>
        <w:autoSpaceDE/>
        <w:autoSpaceDN/>
        <w:bidi w:val="0"/>
        <w:spacing w:line="53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1.弄虚作假，未具有人社部门认可的病患陪护、医疗护理员培训资质的。</w:t>
      </w:r>
    </w:p>
    <w:p w14:paraId="2DDFDB07">
      <w:pPr>
        <w:keepNext w:val="0"/>
        <w:keepLines w:val="0"/>
        <w:pageBreakBefore w:val="0"/>
        <w:kinsoku/>
        <w:wordWrap/>
        <w:overflowPunct/>
        <w:topLinePunct w:val="0"/>
        <w:autoSpaceDE/>
        <w:autoSpaceDN/>
        <w:bidi w:val="0"/>
        <w:spacing w:line="530" w:lineRule="exact"/>
        <w:ind w:firstLine="640" w:firstLineChars="200"/>
        <w:textAlignment w:val="auto"/>
        <w:rPr>
          <w:rFonts w:hint="default" w:ascii="仿宋_GB2312" w:hAnsi="Times New Roman" w:eastAsia="仿宋_GB2312" w:cs="Times New Roman"/>
          <w:sz w:val="32"/>
          <w:szCs w:val="32"/>
          <w:lang w:val="en-US" w:eastAsia="zh-CN"/>
        </w:rPr>
      </w:pPr>
      <w:r>
        <w:rPr>
          <w:rFonts w:hint="eastAsia" w:ascii="仿宋_GB2312" w:hAnsi="仿宋_GB2312" w:eastAsia="仿宋_GB2312" w:cs="仿宋_GB2312"/>
          <w:sz w:val="32"/>
          <w:szCs w:val="32"/>
          <w:lang w:val="en-US" w:eastAsia="zh-CN"/>
        </w:rPr>
        <w:t>2.未按《广西壮族自治区就业补助资金管理办法》（桂人社规〔2024〕9号）的培训课时设置及价格执行的。</w:t>
      </w:r>
    </w:p>
    <w:p w14:paraId="06B088D4">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left"/>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 xml:space="preserve"> 七、交付物要求  </w:t>
      </w:r>
    </w:p>
    <w:p w14:paraId="0DE3EC19">
      <w:pPr>
        <w:keepNext w:val="0"/>
        <w:keepLines w:val="0"/>
        <w:pageBreakBefore w:val="0"/>
        <w:kinsoku/>
        <w:wordWrap/>
        <w:overflowPunct/>
        <w:topLinePunct w:val="0"/>
        <w:autoSpaceDE/>
        <w:autoSpaceDN/>
        <w:bidi w:val="0"/>
        <w:spacing w:line="53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培训档案包含但不限于陪护机构企业营业执照、学员个人劳动合同、学员身份证复印件、集体劳动合同情况表、社保缴纳证明、学员花名册、获证人员花名册、证书、教学安排表、培训签到表、培训照片、满意度调查表等。</w:t>
      </w:r>
    </w:p>
    <w:p w14:paraId="0D1129C7">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left"/>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八、报价要求</w:t>
      </w:r>
    </w:p>
    <w:p w14:paraId="520E99CB">
      <w:pPr>
        <w:keepNext w:val="0"/>
        <w:keepLines w:val="0"/>
        <w:pageBreakBefore w:val="0"/>
        <w:kinsoku/>
        <w:wordWrap/>
        <w:overflowPunct/>
        <w:topLinePunct w:val="0"/>
        <w:autoSpaceDE/>
        <w:autoSpaceDN/>
        <w:bidi w:val="0"/>
        <w:spacing w:line="53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报价不得高于《广西壮族自治区就业补助资金管理办法》（桂人社规〔2024〕9号）标准，含人工费、材料费、培训费、管理费、利润、税金等为完成本项目所需的所有费用，在实施期间不因市场因素而变动。</w:t>
      </w:r>
    </w:p>
    <w:p w14:paraId="4D9CF199">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left"/>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 xml:space="preserve"> 九、合同期及结算方式</w:t>
      </w:r>
    </w:p>
    <w:p w14:paraId="48D5EE75">
      <w:pPr>
        <w:keepNext w:val="0"/>
        <w:keepLines w:val="0"/>
        <w:pageBreakBefore w:val="0"/>
        <w:kinsoku/>
        <w:wordWrap/>
        <w:overflowPunct/>
        <w:topLinePunct w:val="0"/>
        <w:autoSpaceDE/>
        <w:autoSpaceDN/>
        <w:bidi w:val="0"/>
        <w:spacing w:line="53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1.签订合同后，根据甲方时间安排完成课时培训；</w:t>
      </w:r>
    </w:p>
    <w:p w14:paraId="22B74E44">
      <w:pPr>
        <w:keepNext w:val="0"/>
        <w:keepLines w:val="0"/>
        <w:pageBreakBefore w:val="0"/>
        <w:kinsoku/>
        <w:wordWrap/>
        <w:overflowPunct/>
        <w:topLinePunct w:val="0"/>
        <w:autoSpaceDE/>
        <w:autoSpaceDN/>
        <w:bidi w:val="0"/>
        <w:spacing w:line="53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2.结算方式：课时培训完毕并按要求完成考核下发证书，经甲方验收完成一次性支付全款。  </w:t>
      </w:r>
    </w:p>
    <w:p w14:paraId="7BCF7C9D">
      <w:pPr>
        <w:pStyle w:val="3"/>
        <w:keepNext w:val="0"/>
        <w:keepLines w:val="0"/>
        <w:pageBreakBefore w:val="0"/>
        <w:numPr>
          <w:ilvl w:val="0"/>
          <w:numId w:val="0"/>
        </w:numPr>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b w:val="0"/>
          <w:bCs w:val="0"/>
          <w:color w:val="auto"/>
          <w:sz w:val="28"/>
          <w:szCs w:val="28"/>
          <w:lang w:val="en-US" w:eastAsia="zh-CN"/>
        </w:rPr>
      </w:pPr>
    </w:p>
    <w:p w14:paraId="5B91191A">
      <w:pPr>
        <w:pStyle w:val="3"/>
        <w:keepNext w:val="0"/>
        <w:keepLines w:val="0"/>
        <w:pageBreakBefore w:val="0"/>
        <w:numPr>
          <w:ilvl w:val="0"/>
          <w:numId w:val="0"/>
        </w:numPr>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b w:val="0"/>
          <w:bCs w:val="0"/>
          <w:color w:val="auto"/>
          <w:sz w:val="28"/>
          <w:szCs w:val="28"/>
          <w:lang w:val="en-US" w:eastAsia="zh-CN"/>
        </w:rPr>
      </w:pPr>
    </w:p>
    <w:p w14:paraId="50DAC6CE">
      <w:pPr>
        <w:pStyle w:val="3"/>
        <w:keepNext w:val="0"/>
        <w:keepLines w:val="0"/>
        <w:pageBreakBefore w:val="0"/>
        <w:numPr>
          <w:ilvl w:val="0"/>
          <w:numId w:val="0"/>
        </w:numPr>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b w:val="0"/>
          <w:bCs w:val="0"/>
          <w:color w:val="auto"/>
          <w:sz w:val="28"/>
          <w:szCs w:val="28"/>
          <w:lang w:val="en-US" w:eastAsia="zh-CN"/>
        </w:rPr>
      </w:pPr>
    </w:p>
    <w:p w14:paraId="3F1C115C">
      <w:pPr>
        <w:pStyle w:val="3"/>
        <w:keepNext w:val="0"/>
        <w:keepLines w:val="0"/>
        <w:pageBreakBefore w:val="0"/>
        <w:numPr>
          <w:ilvl w:val="0"/>
          <w:numId w:val="0"/>
        </w:numPr>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b w:val="0"/>
          <w:bCs w:val="0"/>
          <w:color w:val="auto"/>
          <w:sz w:val="28"/>
          <w:szCs w:val="28"/>
          <w:lang w:val="en-US" w:eastAsia="zh-CN"/>
        </w:rPr>
      </w:pPr>
    </w:p>
    <w:p w14:paraId="52CC69EA">
      <w:pPr>
        <w:keepNext w:val="0"/>
        <w:keepLines w:val="0"/>
        <w:pageBreakBefore w:val="0"/>
        <w:kinsoku/>
        <w:wordWrap/>
        <w:overflowPunct/>
        <w:topLinePunct w:val="0"/>
        <w:autoSpaceDE/>
        <w:autoSpaceDN/>
        <w:bidi w:val="0"/>
        <w:spacing w:line="53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承办科室 ：总务科                  使用科室：护理部</w:t>
      </w:r>
    </w:p>
    <w:p w14:paraId="620F130A">
      <w:pPr>
        <w:keepNext w:val="0"/>
        <w:keepLines w:val="0"/>
        <w:pageBreakBefore w:val="0"/>
        <w:kinsoku/>
        <w:wordWrap/>
        <w:overflowPunct/>
        <w:topLinePunct w:val="0"/>
        <w:autoSpaceDE/>
        <w:autoSpaceDN/>
        <w:bidi w:val="0"/>
        <w:spacing w:line="53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经办人：                                </w:t>
      </w:r>
    </w:p>
    <w:p w14:paraId="3D4866F8">
      <w:pPr>
        <w:keepNext w:val="0"/>
        <w:keepLines w:val="0"/>
        <w:pageBreakBefore w:val="0"/>
        <w:kinsoku/>
        <w:wordWrap/>
        <w:overflowPunct/>
        <w:topLinePunct w:val="0"/>
        <w:autoSpaceDE/>
        <w:autoSpaceDN/>
        <w:bidi w:val="0"/>
        <w:spacing w:line="53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科主任：                                </w:t>
      </w:r>
    </w:p>
    <w:p w14:paraId="51D087EB">
      <w:pPr>
        <w:keepNext w:val="0"/>
        <w:keepLines w:val="0"/>
        <w:pageBreakBefore w:val="0"/>
        <w:kinsoku/>
        <w:wordWrap/>
        <w:overflowPunct/>
        <w:topLinePunct w:val="0"/>
        <w:autoSpaceDE/>
        <w:autoSpaceDN/>
        <w:bidi w:val="0"/>
        <w:spacing w:line="53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日期：2026年7月  日                   日期： 2026年7月  日</w:t>
      </w:r>
    </w:p>
    <w:p w14:paraId="1CE4500B">
      <w:pPr>
        <w:keepNext w:val="0"/>
        <w:keepLines w:val="0"/>
        <w:pageBreakBefore w:val="0"/>
        <w:kinsoku/>
        <w:wordWrap/>
        <w:overflowPunct/>
        <w:topLinePunct w:val="0"/>
        <w:autoSpaceDE/>
        <w:autoSpaceDN/>
        <w:bidi w:val="0"/>
        <w:spacing w:line="530" w:lineRule="exact"/>
        <w:ind w:firstLine="640" w:firstLineChars="200"/>
        <w:textAlignment w:val="auto"/>
        <w:rPr>
          <w:rFonts w:hint="eastAsia" w:ascii="仿宋_GB2312" w:hAnsi="仿宋_GB2312" w:eastAsia="仿宋_GB2312" w:cs="仿宋_GB2312"/>
          <w:sz w:val="32"/>
          <w:szCs w:val="32"/>
          <w:lang w:val="en-US" w:eastAsia="zh-CN"/>
        </w:rPr>
      </w:pPr>
    </w:p>
    <w:p w14:paraId="294C9CC3">
      <w:pPr>
        <w:keepNext w:val="0"/>
        <w:keepLines w:val="0"/>
        <w:pageBreakBefore w:val="0"/>
        <w:kinsoku/>
        <w:wordWrap/>
        <w:overflowPunct/>
        <w:topLinePunct w:val="0"/>
        <w:autoSpaceDE/>
        <w:autoSpaceDN/>
        <w:bidi w:val="0"/>
        <w:spacing w:line="530" w:lineRule="exact"/>
        <w:ind w:left="6398" w:leftChars="304" w:hanging="5760" w:hangingChars="1800"/>
        <w:textAlignment w:val="auto"/>
        <w:rPr>
          <w:rFonts w:hint="eastAsia" w:ascii="仿宋" w:hAnsi="仿宋" w:eastAsia="仿宋" w:cs="仿宋"/>
          <w:color w:val="auto"/>
          <w:sz w:val="24"/>
          <w:szCs w:val="24"/>
        </w:rPr>
      </w:pPr>
      <w:r>
        <w:rPr>
          <w:rFonts w:hint="eastAsia" w:ascii="仿宋_GB2312" w:hAnsi="仿宋_GB2312" w:eastAsia="仿宋_GB2312" w:cs="仿宋_GB2312"/>
          <w:sz w:val="32"/>
          <w:szCs w:val="32"/>
          <w:lang w:val="en-US" w:eastAsia="zh-CN"/>
        </w:rPr>
        <w:t xml:space="preserve">                                                          </w:t>
      </w:r>
    </w:p>
    <w:p w14:paraId="0091B8E7"/>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B1E77"/>
    <w:rsid w:val="128C0321"/>
    <w:rsid w:val="17723CF1"/>
    <w:rsid w:val="1C761A55"/>
    <w:rsid w:val="1D5465A0"/>
    <w:rsid w:val="1E255274"/>
    <w:rsid w:val="38D042E1"/>
    <w:rsid w:val="40DA57F1"/>
    <w:rsid w:val="55990C74"/>
    <w:rsid w:val="6BF34737"/>
    <w:rsid w:val="71603C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spacing w:line="380" w:lineRule="exact"/>
    </w:pPr>
    <w:rPr>
      <w:rFonts w:ascii="Times New Roman" w:hAnsi="Times New Roman" w:eastAsia="宋体" w:cs="Times New Roman"/>
      <w:sz w:val="24"/>
      <w:szCs w:val="24"/>
    </w:rPr>
  </w:style>
  <w:style w:type="paragraph" w:styleId="3">
    <w:name w:val="Plain Text"/>
    <w:basedOn w:val="1"/>
    <w:qFormat/>
    <w:uiPriority w:val="0"/>
    <w:rPr>
      <w:rFonts w:ascii="宋体" w:hAnsi="Courier New"/>
      <w:szCs w:val="20"/>
    </w:r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unhideWhenUsed/>
    <w:qFormat/>
    <w:uiPriority w:val="99"/>
    <w:pPr>
      <w:widowControl/>
      <w:spacing w:after="150"/>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1600</Words>
  <Characters>1673</Characters>
  <Lines>0</Lines>
  <Paragraphs>0</Paragraphs>
  <TotalTime>0</TotalTime>
  <ScaleCrop>false</ScaleCrop>
  <LinksUpToDate>false</LinksUpToDate>
  <CharactersWithSpaces>1795</CharactersWithSpaces>
  <Application>WPS Office_12.8.2.18913_F1E327BC-269C-435d-A152-05C5408002CA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2025-07-11T02:44:00Z</dcterms:created>
  <dc:creator>Administrator</dc:creator>
  <cp:lastModifiedBy>Administrator</cp:lastModifiedBy>
  <cp:lastPrinted>2025-07-11T03:24:00Z</cp:lastPrinted>
  <dcterms:modified xsi:type="dcterms:W3CDTF">2026-07-24T08:30:51Z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1EF03176D3784C99863F03B5DAE33EED_13</vt:lpwstr>
  </property>
  <property fmtid="{D5CDD505-2E9C-101B-9397-08002B2CF9AE}" pid="4" name="KSOTemplateDocerSaveRecord">
    <vt:lpwstr>eyJoZGlkIjoiODUxYjVhZDUwZjQ2NmRhNTAzNjU0M2MzNjg1ZmQyMmMiLCJ1c2VySWQiOiIyMDI5NzkzOTgifQ==</vt:lpwstr>
  </property>
</Properties>
</file>