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4D173">
      <w:pPr>
        <w:keepNext/>
        <w:keepLines/>
        <w:spacing w:line="312" w:lineRule="auto"/>
        <w:jc w:val="center"/>
        <w:rPr>
          <w:rFonts w:ascii="宋体" w:hAnsi="宋体" w:eastAsia="宋体" w:cs="微软雅黑"/>
          <w:b/>
          <w:bCs/>
          <w:kern w:val="44"/>
          <w:sz w:val="30"/>
          <w:szCs w:val="30"/>
        </w:rPr>
      </w:pPr>
      <w:bookmarkStart w:id="0" w:name="_Toc344816509"/>
      <w:r>
        <w:rPr>
          <w:rFonts w:hint="eastAsia" w:ascii="宋体" w:hAnsi="宋体" w:eastAsia="宋体" w:cs="微软雅黑"/>
          <w:b/>
          <w:bCs/>
          <w:kern w:val="44"/>
          <w:sz w:val="30"/>
          <w:szCs w:val="30"/>
        </w:rPr>
        <w:t>2026年</w:t>
      </w:r>
      <w:r>
        <w:rPr>
          <w:rFonts w:hint="eastAsia" w:ascii="宋体" w:hAnsi="宋体" w:eastAsia="宋体" w:cs="微软雅黑"/>
          <w:b/>
          <w:bCs/>
          <w:kern w:val="44"/>
          <w:sz w:val="30"/>
          <w:szCs w:val="30"/>
          <w:lang w:val="en-US" w:eastAsia="zh-CN"/>
        </w:rPr>
        <w:t>信息安全评估服务</w:t>
      </w:r>
      <w:r>
        <w:rPr>
          <w:rFonts w:hint="eastAsia" w:ascii="宋体" w:hAnsi="宋体" w:eastAsia="宋体" w:cs="微软雅黑"/>
          <w:b/>
          <w:bCs/>
          <w:kern w:val="44"/>
          <w:sz w:val="30"/>
          <w:szCs w:val="30"/>
        </w:rPr>
        <w:t>技术参数要求</w:t>
      </w:r>
    </w:p>
    <w:p w14:paraId="36241533">
      <w:pPr>
        <w:keepNext/>
        <w:keepLines/>
        <w:spacing w:line="312" w:lineRule="auto"/>
        <w:ind w:left="420" w:leftChars="200"/>
        <w:jc w:val="left"/>
        <w:rPr>
          <w:rFonts w:ascii="宋体" w:hAnsi="宋体" w:eastAsia="宋体" w:cs="微软雅黑"/>
          <w:b/>
          <w:bCs/>
          <w:kern w:val="44"/>
          <w:sz w:val="24"/>
          <w:szCs w:val="24"/>
        </w:rPr>
      </w:pPr>
    </w:p>
    <w:bookmarkEnd w:id="0"/>
    <w:p w14:paraId="214E1900">
      <w:pPr>
        <w:pStyle w:val="17"/>
        <w:numPr>
          <w:ilvl w:val="0"/>
          <w:numId w:val="2"/>
        </w:numPr>
        <w:spacing w:line="312" w:lineRule="auto"/>
        <w:ind w:firstLineChars="0"/>
        <w:rPr>
          <w:rFonts w:ascii="宋体" w:hAnsi="宋体" w:eastAsia="宋体"/>
          <w:b/>
          <w:sz w:val="28"/>
          <w:szCs w:val="28"/>
        </w:rPr>
      </w:pPr>
      <w:r>
        <w:rPr>
          <w:rFonts w:hint="eastAsia" w:ascii="宋体" w:hAnsi="宋体" w:eastAsia="宋体"/>
          <w:b/>
          <w:sz w:val="28"/>
          <w:szCs w:val="28"/>
        </w:rPr>
        <w:t>项目背景</w:t>
      </w:r>
    </w:p>
    <w:p w14:paraId="711CBE7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根据《中华人民共和国网络安全法》、《中华人民共和国密码法》、《中华人民共和国数据安全法》、《中华人民共和国个人信息保护法》、《商用密码管理条例》等法律法规要求，以及国家网络安全等级保护制度和国家密码应用安全性评估制度的规定，柳州市工人医院需持续开展网络安全等级保护测评（三级）、</w:t>
      </w:r>
      <w:r>
        <w:rPr>
          <w:rFonts w:hint="eastAsia" w:ascii="宋体" w:hAnsi="宋体" w:eastAsia="宋体"/>
          <w:color w:val="auto"/>
          <w:sz w:val="24"/>
          <w:szCs w:val="24"/>
        </w:rPr>
        <w:t>商用密码应用安全性评估（三级）</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同时根据柳州市卫生健康委员会关于贯彻落实《医疗卫生机构数据安全和个人信息保护管理办法（试行）》的通知要求和中共柳州市委网信办发布的《关于做好深度合成算法备案暨生成式大语言模型备案登记工作的通知》要求，需完成</w:t>
      </w:r>
      <w:r>
        <w:rPr>
          <w:rFonts w:hint="eastAsia" w:ascii="宋体" w:hAnsi="宋体" w:eastAsia="宋体"/>
          <w:color w:val="auto"/>
          <w:sz w:val="24"/>
          <w:szCs w:val="24"/>
        </w:rPr>
        <w:t>数据分类</w:t>
      </w:r>
      <w:r>
        <w:rPr>
          <w:rFonts w:hint="eastAsia" w:ascii="宋体" w:hAnsi="宋体" w:eastAsia="宋体"/>
          <w:sz w:val="24"/>
          <w:szCs w:val="24"/>
        </w:rPr>
        <w:t>分级</w:t>
      </w:r>
      <w:r>
        <w:rPr>
          <w:rFonts w:hint="eastAsia" w:ascii="宋体" w:hAnsi="宋体" w:eastAsia="宋体"/>
          <w:sz w:val="24"/>
          <w:szCs w:val="24"/>
          <w:lang w:val="en-US" w:eastAsia="zh-CN"/>
        </w:rPr>
        <w:t>和大模型备案安全评估</w:t>
      </w:r>
      <w:r>
        <w:rPr>
          <w:rFonts w:hint="eastAsia" w:ascii="宋体" w:hAnsi="宋体" w:eastAsia="宋体"/>
          <w:sz w:val="24"/>
          <w:szCs w:val="24"/>
        </w:rPr>
        <w:t>工作。</w:t>
      </w:r>
    </w:p>
    <w:p w14:paraId="2F58A734">
      <w:pPr>
        <w:pStyle w:val="17"/>
        <w:spacing w:line="312" w:lineRule="auto"/>
        <w:ind w:firstLine="0" w:firstLineChars="0"/>
        <w:rPr>
          <w:rFonts w:ascii="宋体" w:hAnsi="宋体" w:eastAsia="宋体"/>
          <w:sz w:val="24"/>
          <w:szCs w:val="24"/>
        </w:rPr>
      </w:pPr>
      <w:r>
        <w:rPr>
          <w:rFonts w:hint="eastAsia" w:ascii="宋体" w:hAnsi="宋体" w:eastAsia="宋体"/>
          <w:b/>
          <w:sz w:val="28"/>
          <w:szCs w:val="28"/>
        </w:rPr>
        <w:t>二、项目建设内容及要求</w:t>
      </w:r>
    </w:p>
    <w:tbl>
      <w:tblPr>
        <w:tblStyle w:val="12"/>
        <w:tblW w:w="920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8"/>
        <w:gridCol w:w="3712"/>
        <w:gridCol w:w="3913"/>
        <w:gridCol w:w="1214"/>
      </w:tblGrid>
      <w:tr w14:paraId="3CBEE1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68" w:type="dxa"/>
            <w:vAlign w:val="top"/>
          </w:tcPr>
          <w:p w14:paraId="37A7CFFB">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rPr>
              <w:t>序</w:t>
            </w:r>
          </w:p>
        </w:tc>
        <w:tc>
          <w:tcPr>
            <w:tcW w:w="3712" w:type="dxa"/>
            <w:tcBorders>
              <w:right w:val="single" w:color="auto" w:sz="4" w:space="0"/>
            </w:tcBorders>
            <w:vAlign w:val="top"/>
          </w:tcPr>
          <w:p w14:paraId="3BE2AB5F">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eastAsia="zh-CN"/>
              </w:rPr>
              <w:t>项目名称</w:t>
            </w:r>
          </w:p>
        </w:tc>
        <w:tc>
          <w:tcPr>
            <w:tcW w:w="3913" w:type="dxa"/>
            <w:vAlign w:val="top"/>
          </w:tcPr>
          <w:p w14:paraId="01D53787">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eastAsia="zh-CN"/>
              </w:rPr>
              <w:t>服务对象/范围</w:t>
            </w:r>
          </w:p>
        </w:tc>
        <w:tc>
          <w:tcPr>
            <w:tcW w:w="1214" w:type="dxa"/>
            <w:tcBorders>
              <w:left w:val="single" w:color="auto" w:sz="4" w:space="0"/>
            </w:tcBorders>
            <w:vAlign w:val="top"/>
          </w:tcPr>
          <w:p w14:paraId="6BBFEB9D">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rPr>
              <w:t>服务期限</w:t>
            </w:r>
          </w:p>
        </w:tc>
      </w:tr>
      <w:tr w14:paraId="60A080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368" w:type="dxa"/>
            <w:vAlign w:val="top"/>
          </w:tcPr>
          <w:p w14:paraId="01D8C352">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rPr>
              <w:t>1</w:t>
            </w:r>
          </w:p>
        </w:tc>
        <w:tc>
          <w:tcPr>
            <w:tcW w:w="3712" w:type="dxa"/>
            <w:tcBorders>
              <w:right w:val="single" w:color="auto" w:sz="4" w:space="0"/>
            </w:tcBorders>
            <w:vAlign w:val="top"/>
          </w:tcPr>
          <w:p w14:paraId="73C9D10A">
            <w:pPr>
              <w:pStyle w:val="4"/>
              <w:tabs>
                <w:tab w:val="left" w:pos="417"/>
                <w:tab w:val="center" w:pos="2156"/>
              </w:tabs>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eastAsia="zh-CN"/>
              </w:rPr>
              <w:t>网络安全等级保护测评（三级）</w:t>
            </w:r>
          </w:p>
        </w:tc>
        <w:tc>
          <w:tcPr>
            <w:tcW w:w="3913" w:type="dxa"/>
            <w:vAlign w:val="top"/>
          </w:tcPr>
          <w:p w14:paraId="20656BF1">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eastAsia="zh-CN"/>
              </w:rPr>
              <w:t>医院信息系统、柳州市工人医院互联网医院（定级均为三级（S3A3G3））</w:t>
            </w:r>
          </w:p>
        </w:tc>
        <w:tc>
          <w:tcPr>
            <w:tcW w:w="1214" w:type="dxa"/>
            <w:vMerge w:val="restart"/>
            <w:tcBorders>
              <w:left w:val="single" w:color="auto" w:sz="4" w:space="0"/>
            </w:tcBorders>
            <w:vAlign w:val="top"/>
          </w:tcPr>
          <w:p w14:paraId="0D1B28C3">
            <w:pPr>
              <w:pStyle w:val="4"/>
              <w:spacing w:after="0" w:line="312" w:lineRule="auto"/>
              <w:jc w:val="both"/>
              <w:rPr>
                <w:rFonts w:hint="eastAsia" w:ascii="宋体" w:hAnsi="宋体" w:eastAsia="宋体" w:cs="宋体"/>
                <w:sz w:val="24"/>
                <w:lang w:val="en-US"/>
              </w:rPr>
            </w:pPr>
          </w:p>
          <w:p w14:paraId="6DEAB7F7">
            <w:pPr>
              <w:pStyle w:val="4"/>
              <w:spacing w:after="0" w:line="312" w:lineRule="auto"/>
              <w:ind w:firstLine="240" w:firstLineChars="100"/>
              <w:jc w:val="both"/>
              <w:rPr>
                <w:rFonts w:hint="eastAsia" w:ascii="宋体" w:hAnsi="宋体" w:eastAsia="宋体" w:cs="宋体"/>
                <w:sz w:val="24"/>
                <w:lang w:val="en-US"/>
              </w:rPr>
            </w:pPr>
            <w:r>
              <w:rPr>
                <w:rFonts w:hint="eastAsia" w:ascii="宋体" w:hAnsi="宋体" w:eastAsia="宋体" w:cs="宋体"/>
                <w:sz w:val="24"/>
                <w:lang w:val="en-US"/>
              </w:rPr>
              <w:t>一年</w:t>
            </w:r>
          </w:p>
        </w:tc>
      </w:tr>
      <w:tr w14:paraId="14FE7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68" w:type="dxa"/>
            <w:vAlign w:val="top"/>
          </w:tcPr>
          <w:p w14:paraId="086EC5C9">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rPr>
              <w:t>2</w:t>
            </w:r>
          </w:p>
        </w:tc>
        <w:tc>
          <w:tcPr>
            <w:tcW w:w="3712" w:type="dxa"/>
            <w:tcBorders>
              <w:right w:val="single" w:color="auto" w:sz="4" w:space="0"/>
            </w:tcBorders>
            <w:vAlign w:val="top"/>
          </w:tcPr>
          <w:p w14:paraId="1CA6593C">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rPr>
              <w:t>商用密码应用安全性评估（三级）</w:t>
            </w:r>
          </w:p>
        </w:tc>
        <w:tc>
          <w:tcPr>
            <w:tcW w:w="3913" w:type="dxa"/>
            <w:vAlign w:val="top"/>
          </w:tcPr>
          <w:p w14:paraId="34BA0287">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rPr>
              <w:t>医院信息系统、柳州市工人医院互联网医院</w:t>
            </w:r>
            <w:r>
              <w:rPr>
                <w:rFonts w:hint="eastAsia" w:ascii="宋体" w:hAnsi="宋体" w:eastAsia="宋体" w:cs="宋体"/>
                <w:sz w:val="24"/>
                <w:lang w:val="en-US" w:eastAsia="zh-CN"/>
              </w:rPr>
              <w:t>（定级均为三级（S3A3G3））</w:t>
            </w:r>
          </w:p>
        </w:tc>
        <w:tc>
          <w:tcPr>
            <w:tcW w:w="1214" w:type="dxa"/>
            <w:vMerge w:val="continue"/>
            <w:tcBorders>
              <w:left w:val="single" w:color="auto" w:sz="4" w:space="0"/>
            </w:tcBorders>
            <w:vAlign w:val="top"/>
          </w:tcPr>
          <w:p w14:paraId="5EFFC391">
            <w:pPr>
              <w:pStyle w:val="4"/>
              <w:spacing w:after="0" w:line="312" w:lineRule="auto"/>
              <w:ind w:firstLine="420"/>
              <w:jc w:val="center"/>
              <w:rPr>
                <w:rFonts w:ascii="宋体" w:hAnsi="宋体" w:eastAsia="宋体" w:cs="宋体"/>
                <w:sz w:val="24"/>
                <w:lang w:val="en-US"/>
              </w:rPr>
            </w:pPr>
          </w:p>
        </w:tc>
      </w:tr>
      <w:tr w14:paraId="60FC4D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68" w:type="dxa"/>
            <w:vAlign w:val="top"/>
          </w:tcPr>
          <w:p w14:paraId="48583115">
            <w:pPr>
              <w:pStyle w:val="4"/>
              <w:spacing w:after="0" w:line="312"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3712" w:type="dxa"/>
            <w:tcBorders>
              <w:right w:val="single" w:color="auto" w:sz="4" w:space="0"/>
            </w:tcBorders>
            <w:vAlign w:val="top"/>
          </w:tcPr>
          <w:p w14:paraId="112958CB">
            <w:pPr>
              <w:pStyle w:val="4"/>
              <w:spacing w:after="0" w:line="312" w:lineRule="auto"/>
              <w:jc w:val="center"/>
              <w:rPr>
                <w:rFonts w:hint="eastAsia" w:ascii="宋体" w:hAnsi="宋体" w:eastAsia="宋体" w:cs="宋体"/>
                <w:sz w:val="24"/>
                <w:lang w:val="en-US"/>
              </w:rPr>
            </w:pPr>
            <w:r>
              <w:rPr>
                <w:rFonts w:hint="eastAsia" w:ascii="宋体" w:hAnsi="宋体" w:eastAsia="宋体" w:cs="宋体"/>
                <w:sz w:val="24"/>
                <w:lang w:val="en-US" w:eastAsia="zh-CN"/>
              </w:rPr>
              <w:t>数据分类分级</w:t>
            </w:r>
          </w:p>
        </w:tc>
        <w:tc>
          <w:tcPr>
            <w:tcW w:w="3913" w:type="dxa"/>
            <w:vAlign w:val="top"/>
          </w:tcPr>
          <w:p w14:paraId="6C74BB97">
            <w:pPr>
              <w:pStyle w:val="4"/>
              <w:spacing w:after="0" w:line="312" w:lineRule="auto"/>
              <w:jc w:val="center"/>
              <w:rPr>
                <w:rFonts w:hint="eastAsia" w:ascii="宋体" w:hAnsi="宋体" w:eastAsia="宋体" w:cs="宋体"/>
                <w:sz w:val="24"/>
                <w:lang w:val="en-US"/>
              </w:rPr>
            </w:pPr>
            <w:r>
              <w:rPr>
                <w:rFonts w:hint="eastAsia" w:ascii="宋体" w:hAnsi="宋体" w:eastAsia="宋体" w:cs="宋体"/>
                <w:color w:val="auto"/>
                <w:sz w:val="24"/>
                <w:highlight w:val="none"/>
                <w:lang w:val="en-US" w:eastAsia="zh-CN"/>
              </w:rPr>
              <w:t>医院信息系统、柳州市工人医院互联网医院数据</w:t>
            </w:r>
          </w:p>
        </w:tc>
        <w:tc>
          <w:tcPr>
            <w:tcW w:w="1214" w:type="dxa"/>
            <w:vMerge w:val="continue"/>
            <w:tcBorders>
              <w:left w:val="single" w:color="auto" w:sz="4" w:space="0"/>
            </w:tcBorders>
            <w:vAlign w:val="top"/>
          </w:tcPr>
          <w:p w14:paraId="453B23D5">
            <w:pPr>
              <w:pStyle w:val="4"/>
              <w:spacing w:after="0" w:line="312" w:lineRule="auto"/>
              <w:ind w:firstLine="420"/>
              <w:jc w:val="center"/>
              <w:rPr>
                <w:rFonts w:ascii="宋体" w:hAnsi="宋体" w:eastAsia="宋体" w:cs="宋体"/>
                <w:sz w:val="24"/>
                <w:lang w:val="en-US"/>
              </w:rPr>
            </w:pPr>
          </w:p>
        </w:tc>
      </w:tr>
      <w:tr w14:paraId="02BB3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68" w:type="dxa"/>
            <w:vAlign w:val="top"/>
          </w:tcPr>
          <w:p w14:paraId="0B5FE6D0">
            <w:pPr>
              <w:pStyle w:val="4"/>
              <w:spacing w:after="0" w:line="312"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4</w:t>
            </w:r>
          </w:p>
        </w:tc>
        <w:tc>
          <w:tcPr>
            <w:tcW w:w="3712" w:type="dxa"/>
            <w:tcBorders>
              <w:right w:val="single" w:color="auto" w:sz="4" w:space="0"/>
            </w:tcBorders>
            <w:vAlign w:val="top"/>
          </w:tcPr>
          <w:p w14:paraId="00536143">
            <w:pPr>
              <w:pStyle w:val="4"/>
              <w:spacing w:after="0" w:line="312"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深度合成算法及大模型备案安全评估</w:t>
            </w:r>
          </w:p>
        </w:tc>
        <w:tc>
          <w:tcPr>
            <w:tcW w:w="3913" w:type="dxa"/>
            <w:vAlign w:val="top"/>
          </w:tcPr>
          <w:p w14:paraId="5706B6E6">
            <w:pPr>
              <w:pStyle w:val="4"/>
              <w:spacing w:after="0" w:line="312"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智能预问诊、智能放疗服务系统、随访AI等</w:t>
            </w:r>
          </w:p>
        </w:tc>
        <w:tc>
          <w:tcPr>
            <w:tcW w:w="1214" w:type="dxa"/>
            <w:vMerge w:val="continue"/>
            <w:tcBorders>
              <w:left w:val="single" w:color="auto" w:sz="4" w:space="0"/>
            </w:tcBorders>
            <w:vAlign w:val="top"/>
          </w:tcPr>
          <w:p w14:paraId="7B6DDF8A">
            <w:pPr>
              <w:pStyle w:val="4"/>
              <w:spacing w:after="0" w:line="312" w:lineRule="auto"/>
              <w:ind w:firstLine="420"/>
              <w:jc w:val="center"/>
              <w:rPr>
                <w:rFonts w:ascii="宋体" w:hAnsi="宋体" w:eastAsia="宋体" w:cs="宋体"/>
                <w:sz w:val="24"/>
                <w:lang w:val="en-US"/>
              </w:rPr>
            </w:pPr>
          </w:p>
        </w:tc>
      </w:tr>
    </w:tbl>
    <w:p w14:paraId="350F8766">
      <w:pPr>
        <w:pStyle w:val="5"/>
        <w:numPr>
          <w:ilvl w:val="0"/>
          <w:numId w:val="0"/>
        </w:numPr>
        <w:spacing w:before="0" w:after="0" w:line="312" w:lineRule="auto"/>
        <w:rPr>
          <w:rFonts w:ascii="宋体" w:hAnsi="宋体"/>
          <w:bCs w:val="0"/>
          <w:sz w:val="32"/>
          <w:szCs w:val="32"/>
        </w:rPr>
      </w:pPr>
      <w:r>
        <w:rPr>
          <w:rFonts w:hint="eastAsia" w:ascii="宋体" w:hAnsi="宋体"/>
          <w:bCs w:val="0"/>
          <w:sz w:val="32"/>
          <w:szCs w:val="32"/>
        </w:rPr>
        <w:t>三、项目实施要求</w:t>
      </w:r>
    </w:p>
    <w:tbl>
      <w:tblPr>
        <w:tblStyle w:val="12"/>
        <w:tblW w:w="91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8"/>
        <w:gridCol w:w="1393"/>
        <w:gridCol w:w="7429"/>
      </w:tblGrid>
      <w:tr w14:paraId="07CFBF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68" w:type="dxa"/>
            <w:vAlign w:val="top"/>
          </w:tcPr>
          <w:p w14:paraId="37B53F52">
            <w:pPr>
              <w:pStyle w:val="4"/>
              <w:spacing w:after="0" w:line="312" w:lineRule="auto"/>
              <w:jc w:val="center"/>
              <w:rPr>
                <w:rFonts w:hint="eastAsia" w:ascii="宋体" w:hAnsi="宋体" w:eastAsia="宋体" w:cs="宋体"/>
                <w:color w:val="auto"/>
                <w:sz w:val="24"/>
                <w:lang w:val="en-US" w:eastAsia="zh-CN"/>
              </w:rPr>
            </w:pPr>
            <w:r>
              <w:rPr>
                <w:rFonts w:hint="eastAsia" w:ascii="宋体" w:hAnsi="宋体" w:eastAsia="宋体" w:cs="宋体"/>
                <w:sz w:val="24"/>
                <w:lang w:val="en-US"/>
              </w:rPr>
              <w:t>序</w:t>
            </w:r>
          </w:p>
        </w:tc>
        <w:tc>
          <w:tcPr>
            <w:tcW w:w="1393" w:type="dxa"/>
            <w:tcBorders>
              <w:right w:val="single" w:color="auto" w:sz="4" w:space="0"/>
            </w:tcBorders>
            <w:vAlign w:val="top"/>
          </w:tcPr>
          <w:p w14:paraId="7E7C4836">
            <w:pPr>
              <w:pStyle w:val="4"/>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项目名称</w:t>
            </w:r>
          </w:p>
        </w:tc>
        <w:tc>
          <w:tcPr>
            <w:tcW w:w="7429" w:type="dxa"/>
            <w:vAlign w:val="top"/>
          </w:tcPr>
          <w:p w14:paraId="4CD3B0AD">
            <w:pPr>
              <w:pStyle w:val="4"/>
              <w:pageBreakBefore w:val="0"/>
              <w:widowControl w:val="0"/>
              <w:kinsoku/>
              <w:wordWrap/>
              <w:overflowPunct/>
              <w:topLinePunct w:val="0"/>
              <w:autoSpaceDE/>
              <w:autoSpaceDN/>
              <w:bidi w:val="0"/>
              <w:adjustRightInd/>
              <w:snapToGrid/>
              <w:spacing w:after="0" w:line="312" w:lineRule="auto"/>
              <w:ind w:firstLine="42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项目要求及技术需求</w:t>
            </w:r>
          </w:p>
        </w:tc>
      </w:tr>
      <w:tr w14:paraId="7117E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368" w:type="dxa"/>
            <w:vAlign w:val="top"/>
          </w:tcPr>
          <w:p w14:paraId="4AC5B840">
            <w:pPr>
              <w:pStyle w:val="4"/>
              <w:spacing w:after="0" w:line="312" w:lineRule="auto"/>
              <w:jc w:val="center"/>
              <w:rPr>
                <w:rFonts w:hint="eastAsia" w:ascii="宋体" w:hAnsi="宋体" w:eastAsia="宋体" w:cs="宋体"/>
                <w:color w:val="auto"/>
                <w:sz w:val="24"/>
                <w:lang w:val="en-US" w:eastAsia="zh-CN"/>
              </w:rPr>
            </w:pPr>
            <w:r>
              <w:rPr>
                <w:rFonts w:hint="eastAsia" w:ascii="宋体" w:hAnsi="宋体" w:eastAsia="宋体" w:cs="宋体"/>
                <w:sz w:val="24"/>
                <w:lang w:val="en-US"/>
              </w:rPr>
              <w:t>1</w:t>
            </w:r>
          </w:p>
        </w:tc>
        <w:tc>
          <w:tcPr>
            <w:tcW w:w="1393" w:type="dxa"/>
            <w:tcBorders>
              <w:right w:val="single" w:color="auto" w:sz="4" w:space="0"/>
            </w:tcBorders>
            <w:vAlign w:val="top"/>
          </w:tcPr>
          <w:p w14:paraId="601A7E28">
            <w:pPr>
              <w:pStyle w:val="4"/>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网络安全等级保护测评（三级）</w:t>
            </w:r>
          </w:p>
        </w:tc>
        <w:tc>
          <w:tcPr>
            <w:tcW w:w="7429" w:type="dxa"/>
            <w:vAlign w:val="top"/>
          </w:tcPr>
          <w:p w14:paraId="54DD7323">
            <w:pPr>
              <w:pStyle w:val="4"/>
              <w:pageBreakBefore w:val="0"/>
              <w:widowControl w:val="0"/>
              <w:numPr>
                <w:ilvl w:val="0"/>
                <w:numId w:val="3"/>
              </w:numP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总体要求</w:t>
            </w:r>
          </w:p>
          <w:p w14:paraId="3AFF3941">
            <w:pPr>
              <w:numPr>
                <w:ilvl w:val="0"/>
                <w:numId w:val="0"/>
              </w:numP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依据《网络安全等级保护基本要求》（GB/T 22239-2019）对柳州市工人医院医院信息系统（三级）、柳州市工人医院互联网医院（三级）开展网络安全等级保护测评工作，并出具网络安全等级保护测评报告。</w:t>
            </w:r>
          </w:p>
          <w:p w14:paraId="2B0E2FB6">
            <w:pPr>
              <w:pStyle w:val="4"/>
              <w:pageBreakBefore w:val="0"/>
              <w:widowControl w:val="0"/>
              <w:numPr>
                <w:ilvl w:val="0"/>
                <w:numId w:val="3"/>
              </w:numPr>
              <w:kinsoku/>
              <w:wordWrap/>
              <w:overflowPunct/>
              <w:topLinePunct w:val="0"/>
              <w:autoSpaceDE/>
              <w:autoSpaceDN/>
              <w:bidi w:val="0"/>
              <w:adjustRightInd/>
              <w:snapToGrid/>
              <w:spacing w:after="0" w:line="312" w:lineRule="auto"/>
              <w:ind w:left="0" w:leftChars="0" w:firstLine="420" w:firstLine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法律法规及标准依据</w:t>
            </w:r>
          </w:p>
          <w:p w14:paraId="047CC6BD">
            <w:pPr>
              <w:pStyle w:val="4"/>
              <w:pageBreakBefore w:val="0"/>
              <w:widowControl w:val="0"/>
              <w:numPr>
                <w:ilvl w:val="0"/>
                <w:numId w:val="0"/>
              </w:numPr>
              <w:kinsoku/>
              <w:wordWrap/>
              <w:overflowPunct/>
              <w:topLinePunct w:val="0"/>
              <w:autoSpaceDE/>
              <w:autoSpaceDN/>
              <w:bidi w:val="0"/>
              <w:adjustRightInd/>
              <w:snapToGrid/>
              <w:spacing w:after="0" w:line="312" w:lineRule="auto"/>
              <w:ind w:left="420" w:left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《计算机信息系统安全保护等级划分准则》（GB 17859-1999)</w:t>
            </w:r>
          </w:p>
          <w:p w14:paraId="746726DC">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《网络安全等级保护基本要求》（GB/T 22239-2019）</w:t>
            </w:r>
          </w:p>
          <w:p w14:paraId="7BE2AF2E">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《网络安全等级保护测评要求》（GB/T 28448-2019）</w:t>
            </w:r>
          </w:p>
          <w:p w14:paraId="472DB43C">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《网络安全等级保护测评过程指南》（GB/T 28449-2018)</w:t>
            </w:r>
          </w:p>
          <w:p w14:paraId="5D3F9D69">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《网络安全等级保护设计技术要求》（GB/T 25070-2019）</w:t>
            </w:r>
          </w:p>
          <w:p w14:paraId="5AAB7419">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《网络安全等级保护测试评估技术指南》（GB/T 36627-2018）</w:t>
            </w:r>
          </w:p>
          <w:p w14:paraId="116EA6FD">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三、服务内容</w:t>
            </w:r>
          </w:p>
          <w:p w14:paraId="1BB53045">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default"/>
                <w:lang w:val="en-US" w:eastAsia="zh-CN"/>
              </w:rPr>
            </w:pPr>
            <w:r>
              <w:rPr>
                <w:rFonts w:hint="eastAsia" w:ascii="宋体" w:hAnsi="宋体" w:eastAsia="宋体" w:cs="宋体"/>
                <w:color w:val="auto"/>
                <w:sz w:val="24"/>
                <w:lang w:val="en-US" w:eastAsia="zh-CN"/>
              </w:rPr>
              <w:t>服务提供方应严格遵循国家与行业现行有效的技术标准，认真、严谨地开展我单位的网络安全等级保护测评工作。本着实事求是的原则，如实出具完全符合测评时点现行有效的等保2.0系列标准（如GB/T 22239-2019及其后续修订版本）以及国家与本地公安机关等主管部门认可的最新版测评报告。若在合同履行期间，相关法律法规或技术标准发生更新，服务提供方有义务按照最新有效版本执行，确保最终交付的成果始终满足届时合规性要求。</w:t>
            </w:r>
          </w:p>
          <w:p w14:paraId="3E3079E8">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四、服务成果</w:t>
            </w:r>
          </w:p>
          <w:p w14:paraId="1F3AF991">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1.测评分预测评和终评。预测评提供差距分析报告和详细的整改建议方案，并指导我院完成三级等保安全整改。完成整改后进行终评，出具最终测评报告。</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ab/>
            </w:r>
            <w:r>
              <w:rPr>
                <w:rFonts w:hint="eastAsia" w:ascii="宋体" w:hAnsi="宋体" w:eastAsia="宋体" w:cs="宋体"/>
                <w:color w:val="auto"/>
                <w:sz w:val="24"/>
                <w:lang w:val="en-US" w:eastAsia="zh-CN"/>
              </w:rPr>
              <w:t>2.服务提供方应提供咨询服务并充分协助我院完成系统整改，最终通过三级等保测评，并同时提供纸质版（四份）和电子版测评报告。</w:t>
            </w:r>
          </w:p>
        </w:tc>
      </w:tr>
      <w:tr w14:paraId="0FFD0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68" w:type="dxa"/>
            <w:vAlign w:val="top"/>
          </w:tcPr>
          <w:p w14:paraId="1965F9EC">
            <w:pPr>
              <w:pStyle w:val="4"/>
              <w:spacing w:after="0" w:line="312" w:lineRule="auto"/>
              <w:jc w:val="center"/>
              <w:rPr>
                <w:rFonts w:hint="eastAsia" w:ascii="宋体" w:hAnsi="宋体" w:eastAsia="宋体" w:cs="宋体"/>
                <w:color w:val="auto"/>
                <w:sz w:val="24"/>
                <w:lang w:val="en-US" w:eastAsia="zh-CN"/>
              </w:rPr>
            </w:pPr>
            <w:r>
              <w:rPr>
                <w:rFonts w:hint="eastAsia" w:ascii="宋体" w:hAnsi="宋体" w:eastAsia="宋体" w:cs="宋体"/>
                <w:sz w:val="24"/>
                <w:lang w:val="en-US"/>
              </w:rPr>
              <w:t>2</w:t>
            </w:r>
          </w:p>
        </w:tc>
        <w:tc>
          <w:tcPr>
            <w:tcW w:w="1393" w:type="dxa"/>
            <w:tcBorders>
              <w:right w:val="single" w:color="auto" w:sz="4" w:space="0"/>
            </w:tcBorders>
            <w:vAlign w:val="top"/>
          </w:tcPr>
          <w:p w14:paraId="33FEC63B">
            <w:pPr>
              <w:pStyle w:val="4"/>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商用密码应用安全性评估（三级）</w:t>
            </w:r>
          </w:p>
        </w:tc>
        <w:tc>
          <w:tcPr>
            <w:tcW w:w="7429" w:type="dxa"/>
            <w:vAlign w:val="top"/>
          </w:tcPr>
          <w:p w14:paraId="618951F1">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一、总体要求</w:t>
            </w:r>
          </w:p>
          <w:p w14:paraId="624DCCE7">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依据相关测评标准，对医院信息系统、柳州市工人医院互联网医院开展商用密码应用与安全性评估工作，及时发现系统脆弱性，识别变化的风险，了解系统安全状况以及存在的安全隐患，为我院重要网络和信息系统的密码安全提供科学评价，逐步规范我院相关人员密码使用和管理行为。</w:t>
            </w:r>
          </w:p>
          <w:p w14:paraId="6ECDF78C">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二、法律法规及标准依据</w:t>
            </w:r>
          </w:p>
          <w:p w14:paraId="037DEF95">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 39786-2021信息安全技术 信息系统密码应用基本要求》</w:t>
            </w:r>
          </w:p>
          <w:p w14:paraId="3E8BE747">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《GB∕T43206-2023信息安全技术 信息系统密码应用测评要求》</w:t>
            </w:r>
          </w:p>
          <w:p w14:paraId="4D21C973">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 43207-2023信息安全技术 信息系统密码应用设计指南》</w:t>
            </w:r>
          </w:p>
          <w:p w14:paraId="6B25ED98">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《GM∕T 0116-2021信息系统密码应用测评过程指南》</w:t>
            </w:r>
          </w:p>
          <w:p w14:paraId="179BE42F">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《信息系统密码应用高风险判定指引》</w:t>
            </w:r>
          </w:p>
          <w:p w14:paraId="4B33A14A">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《商用密码应用安全性评估量化评估规则》</w:t>
            </w:r>
          </w:p>
          <w:p w14:paraId="6F71E9D4">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三、服务内容</w:t>
            </w:r>
          </w:p>
          <w:p w14:paraId="27C37F70">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服务提供方应严格遵循国家与行业现行有效的技术标准，认真、严谨地开展商用密码应用安全性评估工作。本着实事求是的原则，如实出具完全符合测评时点现行有效的密评相关标准（如GB/T 39786-2021及其后续修订版本）以及国家与本地公安机关等主管部门认可的最新版评估报告。若在合同履行期间，相关法律法规或技术标准发生更新，服务提供方有义务按照最新有效版本执行，确保最终交付的成果始终满足届时合规性要求。</w:t>
            </w:r>
          </w:p>
          <w:p w14:paraId="60A7C09B">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四、服务成果</w:t>
            </w:r>
          </w:p>
          <w:p w14:paraId="23635AFD">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1.评估分预评估和终评。预评估提供差距分析报告和详细的整改建议方案，并指导我院完成密改整改。完成整改后进行终评，出具最终评估报告。</w:t>
            </w:r>
          </w:p>
          <w:p w14:paraId="2F1C4D4C">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2.服务提供方应提供咨询服务并充分协助我院完成系统整改，最终通过商用密码应用安全性评估，并出具符合国家密码管理局要求的纸质版（四份）和电子版《商用密码应用与安全性评估报告》。</w:t>
            </w:r>
          </w:p>
        </w:tc>
      </w:tr>
      <w:tr w14:paraId="1F65E7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68" w:type="dxa"/>
            <w:vAlign w:val="top"/>
          </w:tcPr>
          <w:p w14:paraId="3852CA76">
            <w:pPr>
              <w:pStyle w:val="4"/>
              <w:spacing w:after="0" w:line="312" w:lineRule="auto"/>
              <w:jc w:val="center"/>
              <w:rPr>
                <w:rFonts w:hint="eastAsia" w:ascii="宋体" w:hAnsi="宋体" w:eastAsia="宋体" w:cs="宋体"/>
                <w:color w:val="auto"/>
                <w:sz w:val="24"/>
                <w:lang w:val="en-US" w:eastAsia="zh-CN"/>
              </w:rPr>
            </w:pPr>
            <w:r>
              <w:rPr>
                <w:rFonts w:hint="eastAsia" w:ascii="宋体" w:hAnsi="宋体" w:eastAsia="宋体" w:cs="宋体"/>
                <w:sz w:val="24"/>
                <w:lang w:val="en-US" w:eastAsia="zh-CN"/>
              </w:rPr>
              <w:t>3</w:t>
            </w:r>
          </w:p>
        </w:tc>
        <w:tc>
          <w:tcPr>
            <w:tcW w:w="1393" w:type="dxa"/>
            <w:tcBorders>
              <w:right w:val="single" w:color="auto" w:sz="4" w:space="0"/>
            </w:tcBorders>
            <w:vAlign w:val="top"/>
          </w:tcPr>
          <w:p w14:paraId="76D34E05">
            <w:pPr>
              <w:pStyle w:val="4"/>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数据分类分级</w:t>
            </w:r>
          </w:p>
        </w:tc>
        <w:tc>
          <w:tcPr>
            <w:tcW w:w="7429" w:type="dxa"/>
            <w:vAlign w:val="top"/>
          </w:tcPr>
          <w:p w14:paraId="791F90F5">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一、总体要求</w:t>
            </w:r>
          </w:p>
          <w:p w14:paraId="6AB6576F">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依照《中华人民共和国网络安全法》、《中华人民共和国数据安全法》、《中华人民共和国个人信息保护法》要求，对柳州市工人医院的健康医疗数据进行分类分级，其中该业务主要涉及柳州市工人医院的HIS系统、互联网医院存储的数据。</w:t>
            </w:r>
          </w:p>
          <w:p w14:paraId="6FAD3C09">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二、法律法规及标准依据</w:t>
            </w:r>
          </w:p>
          <w:p w14:paraId="3328DDD2">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《中华人民共和国网络安全法》</w:t>
            </w:r>
          </w:p>
          <w:p w14:paraId="4CC3FD2B">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《中华人民共和国数据安全法》</w:t>
            </w:r>
          </w:p>
          <w:p w14:paraId="12AF4948">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《中华人民共和国个人信息保护法》</w:t>
            </w:r>
          </w:p>
          <w:p w14:paraId="2199C631">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 43697-2024 数据安全技术 数据分类分级规则》</w:t>
            </w:r>
          </w:p>
          <w:p w14:paraId="5C67B4DB">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《医疗卫生机构数据安全和个人信息保护管理办法(试行)》</w:t>
            </w:r>
          </w:p>
          <w:p w14:paraId="275F0197">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 39725-2020 信息安全技术 健康医疗数据安全指南》</w:t>
            </w:r>
          </w:p>
          <w:p w14:paraId="6012E33D">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《卫生健康行业数据分类分级指南（试行）》</w:t>
            </w:r>
          </w:p>
          <w:p w14:paraId="29A8281B">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三、服务内容</w:t>
            </w:r>
          </w:p>
          <w:p w14:paraId="390EADE2">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（1）数据分类：</w:t>
            </w:r>
          </w:p>
          <w:p w14:paraId="7A52239A">
            <w:pPr>
              <w:pStyle w:val="4"/>
              <w:pageBreakBefore w:val="0"/>
              <w:widowControl w:val="0"/>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依据相关标准对医院的健康医疗数据进行梳理分类，将医疗健康数据分为六大类：个人属性数据、健康状态数据、医疗应用数据、医疗支付数据、卫生资源数据、公共卫生数据。</w:t>
            </w:r>
          </w:p>
          <w:p w14:paraId="22BD168B">
            <w:pPr>
              <w:pStyle w:val="4"/>
              <w:pageBreakBefore w:val="0"/>
              <w:widowControl w:val="0"/>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（2）数据分级：</w:t>
            </w:r>
          </w:p>
          <w:p w14:paraId="163C1F5A">
            <w:pPr>
              <w:pStyle w:val="4"/>
              <w:pageBreakBefore w:val="0"/>
              <w:widowControl w:val="0"/>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对梳理出来的医疗健康数据进行分级，参考 GB/T 43697-2024分为核心数据、重要数据、一般数据三个级别。</w:t>
            </w:r>
          </w:p>
          <w:p w14:paraId="0408E015">
            <w:pPr>
              <w:pStyle w:val="4"/>
              <w:pageBreakBefore w:val="0"/>
              <w:widowControl w:val="0"/>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（3）形成数据汇总表：</w:t>
            </w:r>
          </w:p>
          <w:p w14:paraId="1EB6D111">
            <w:pPr>
              <w:pStyle w:val="4"/>
              <w:pageBreakBefore w:val="0"/>
              <w:widowControl w:val="0"/>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对数据资产进行梳理，确定数据类别，并识别数据级别，将数据基本情况、责任主体情况、数据处理情况、数据安全情况填报《重要数据梳理识别情况汇总表》（电子版）、《数据资产清单》（电子版）、《数据分类分级报告》（电子版）。</w:t>
            </w:r>
          </w:p>
          <w:p w14:paraId="4619A977">
            <w:pPr>
              <w:pStyle w:val="4"/>
              <w:pageBreakBefore w:val="0"/>
              <w:widowControl w:val="0"/>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在服务实施过程中，应采用访谈、检查和测试等方法进行，并与国家相关规范及标准的要求相符。</w:t>
            </w:r>
          </w:p>
          <w:p w14:paraId="45B6F176">
            <w:pPr>
              <w:pStyle w:val="4"/>
              <w:pageBreakBefore w:val="0"/>
              <w:widowControl w:val="0"/>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四、服务成果</w:t>
            </w:r>
          </w:p>
          <w:p w14:paraId="6494B95E">
            <w:pPr>
              <w:pStyle w:val="4"/>
              <w:pageBreakBefore w:val="0"/>
              <w:widowControl w:val="0"/>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测评完成后，出具经过数据梳理识别后的《重要数据梳理识别情况汇总表》（电子版）、《数据资产清单》（电子版）、《数据分类分级报告》（电子版和纸质版一份），内容包括数据基本情况、责任主体情况、数据处理情况、数据安全情况等。</w:t>
            </w:r>
          </w:p>
        </w:tc>
      </w:tr>
      <w:tr w14:paraId="47C516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68" w:type="dxa"/>
            <w:vAlign w:val="top"/>
          </w:tcPr>
          <w:p w14:paraId="683592F1">
            <w:pPr>
              <w:pStyle w:val="4"/>
              <w:spacing w:after="0" w:line="312" w:lineRule="auto"/>
              <w:jc w:val="center"/>
              <w:rPr>
                <w:rFonts w:hint="eastAsia" w:ascii="宋体" w:hAnsi="宋体" w:eastAsia="宋体" w:cs="宋体"/>
                <w:color w:val="auto"/>
                <w:sz w:val="24"/>
                <w:lang w:val="en-US" w:eastAsia="zh-CN"/>
              </w:rPr>
            </w:pPr>
            <w:r>
              <w:rPr>
                <w:rFonts w:hint="eastAsia" w:ascii="宋体" w:hAnsi="宋体" w:eastAsia="宋体" w:cs="宋体"/>
                <w:sz w:val="24"/>
                <w:lang w:val="en-US" w:eastAsia="zh-CN"/>
              </w:rPr>
              <w:t>4</w:t>
            </w:r>
          </w:p>
        </w:tc>
        <w:tc>
          <w:tcPr>
            <w:tcW w:w="1393" w:type="dxa"/>
            <w:tcBorders>
              <w:right w:val="single" w:color="auto" w:sz="4" w:space="0"/>
            </w:tcBorders>
            <w:vAlign w:val="top"/>
          </w:tcPr>
          <w:p w14:paraId="28638D2F">
            <w:pPr>
              <w:pStyle w:val="4"/>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深度合成算法及大模型备案安全评估</w:t>
            </w:r>
          </w:p>
        </w:tc>
        <w:tc>
          <w:tcPr>
            <w:tcW w:w="7429" w:type="dxa"/>
            <w:vAlign w:val="top"/>
          </w:tcPr>
          <w:p w14:paraId="34DBB322">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一、总体要求</w:t>
            </w:r>
          </w:p>
          <w:p w14:paraId="0D2CEE9B">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依照《生成式人工智能服务管理暂行办法》、《‌网络安全技术 生成式人工智能服务安全基本要求‌》、《中华人民共和国网络安全法》等相关法律法规要求，对柳州市工人医院拟上线或已上线的大模型应用进行一次全方位、多维度测评。测评范围包括但不限于模型的内容安全性、模型安全性、数据安全性及拒答能力。初次测评完成后，需指导我院制定详细的大模型安全问题整改方案，并协助开展整改工作，最终出具符合国家信息安全主管部门及行业规范要求的大模型安全评估报告。</w:t>
            </w:r>
          </w:p>
          <w:p w14:paraId="7FDF5B00">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二、法律法规及标准依据</w:t>
            </w:r>
          </w:p>
          <w:p w14:paraId="66400E44">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《生成式人工智能服务管理暂行办法》</w:t>
            </w:r>
          </w:p>
          <w:p w14:paraId="5EE207A4">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《‌网络安全技术 生成式人工智能服务安全基本要求‌》</w:t>
            </w:r>
          </w:p>
          <w:p w14:paraId="70D1BA0E">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《中华人民共和国网络安全法》</w:t>
            </w:r>
          </w:p>
          <w:p w14:paraId="5EA03AA3">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《中华人民共和国数据安全法》</w:t>
            </w:r>
          </w:p>
          <w:p w14:paraId="17BF7931">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《中华人民共和国个人信息保护法》</w:t>
            </w:r>
          </w:p>
          <w:p w14:paraId="6C0E9356">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 42888-2023 信息安全技术 机器学习算法安全评估规范》</w:t>
            </w:r>
          </w:p>
          <w:p w14:paraId="07E4FB68">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三、测评内容</w:t>
            </w:r>
          </w:p>
          <w:p w14:paraId="712F2348">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本次测评需覆盖以下四大类核心维度，并采用专业的自动化测评工具与人工专家研判相结合的方式开展：</w:t>
            </w:r>
          </w:p>
          <w:p w14:paraId="34A7FBAA">
            <w:pPr>
              <w:pStyle w:val="4"/>
              <w:pageBreakBefore w:val="0"/>
              <w:widowControl w:val="0"/>
              <w:kinsoku/>
              <w:wordWrap/>
              <w:overflowPunct/>
              <w:topLinePunct w:val="0"/>
              <w:autoSpaceDE/>
              <w:autoSpaceDN/>
              <w:bidi w:val="0"/>
              <w:adjustRightInd/>
              <w:snapToGrid/>
              <w:spacing w:after="0" w:line="312" w:lineRule="auto"/>
              <w:ind w:left="239" w:leftChars="114" w:firstLine="240" w:firstLineChars="1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1.内容安全性</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（1）违反社会主义核心价值观；</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（2）歧视性内容；</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（3）商业违法违规；</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（4）侵犯他人合法权益；</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（5）无法满足特定服务类型的合规需求。</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 xml:space="preserve">  2. 模型安全性</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（1）提示词注入；</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（2）后门攻击防护；</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（3）越狱攻击防护；</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（4）不当输出处理；</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（5）对抗攻击防护；</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（6）幻觉攻击防护；</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（7）过度代理。</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 xml:space="preserve">  3. 数据安全性</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（1）训练数据投毒；</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（2）敏感信息披露；</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（3）交互内容隐私性；</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（4）输出可溯源性；</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（5）逻辑合理性；</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（6）事实准确性。</w:t>
            </w:r>
          </w:p>
          <w:p w14:paraId="0ADF8847">
            <w:pPr>
              <w:pStyle w:val="4"/>
              <w:pageBreakBefore w:val="0"/>
              <w:widowControl w:val="0"/>
              <w:kinsoku/>
              <w:wordWrap/>
              <w:overflowPunct/>
              <w:topLinePunct w:val="0"/>
              <w:autoSpaceDE/>
              <w:autoSpaceDN/>
              <w:bidi w:val="0"/>
              <w:adjustRightInd/>
              <w:snapToGrid/>
              <w:spacing w:after="0" w:line="312" w:lineRule="auto"/>
              <w:ind w:left="239" w:leftChars="114" w:firstLine="240" w:firstLineChars="1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拒答能力</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（1）应拒答题库：模型对明确违规问题（如违法方法、隐私窃取等）应100%拒绝回答；</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（2）非拒答题库：模型对合法合规问题应正常准确回答，避免过度拒绝。</w:t>
            </w:r>
          </w:p>
          <w:p w14:paraId="39D5D5D9">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四、测评流程及方法</w:t>
            </w:r>
          </w:p>
          <w:p w14:paraId="6B2EB0D6">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在测评实施过程中，应采用自动化工具测试与人工专家审核相结合的测评方法：</w:t>
            </w:r>
          </w:p>
          <w:p w14:paraId="661A55BA">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 自动化测试：使用专业的大模型测评工具，自动化批量调用待测模型API，对上述四大维度进行大规模、高覆盖率的攻击与测试用例运行。系统自动记录并分析模型的输出结果，生成初步风险清单。</w:t>
            </w:r>
          </w:p>
          <w:p w14:paraId="1834AEC1">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 人工专家审核：由具备丰富安全经验的专家对自动化检测出的高风险项及模糊项进行人工研判与复测。</w:t>
            </w:r>
          </w:p>
          <w:p w14:paraId="7984A95A">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 结果分析与报告：结合自动化工具输出与专家分析，形成详细的《大模型安全测评报告》。</w:t>
            </w:r>
          </w:p>
          <w:p w14:paraId="345BDD09">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五、服务成果</w:t>
            </w:r>
          </w:p>
          <w:p w14:paraId="7A1FFA33">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测评完成后，服务方需提供以下成果物：</w:t>
            </w:r>
          </w:p>
          <w:p w14:paraId="0F04F957">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 一份完整的《大模型安全问题整改建议书》，明确列出所有已发现问题的严重等级、复现步骤及对应修改建议；</w:t>
            </w:r>
          </w:p>
          <w:p w14:paraId="14283E5C">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FF0000"/>
                <w:sz w:val="24"/>
                <w:lang w:val="en-US" w:eastAsia="zh-CN"/>
              </w:rPr>
            </w:pPr>
            <w:r>
              <w:rPr>
                <w:rFonts w:hint="eastAsia" w:ascii="宋体" w:hAnsi="宋体" w:eastAsia="宋体" w:cs="宋体"/>
                <w:color w:val="auto"/>
                <w:sz w:val="24"/>
                <w:lang w:val="en-US" w:eastAsia="zh-CN"/>
              </w:rPr>
              <w:t>2.符合国家及行业规范要求的《大模型安全测评报告》电子版和纸质版一份；</w:t>
            </w:r>
          </w:p>
          <w:p w14:paraId="7E23CF9D">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3.服务提供方应辅助我院完成生成式人工智能（大语言模型）上线备案工作，提供并填写《生成式人工智能（大语言模型）上线备案表》中需要提交的材料。</w:t>
            </w:r>
          </w:p>
        </w:tc>
      </w:tr>
    </w:tbl>
    <w:p w14:paraId="29848C26">
      <w:pPr>
        <w:pStyle w:val="5"/>
        <w:numPr>
          <w:ilvl w:val="0"/>
          <w:numId w:val="0"/>
        </w:numPr>
        <w:spacing w:before="0" w:after="0" w:line="312" w:lineRule="auto"/>
        <w:rPr>
          <w:rFonts w:ascii="宋体" w:hAnsi="宋体"/>
          <w:bCs w:val="0"/>
          <w:sz w:val="32"/>
          <w:szCs w:val="32"/>
        </w:rPr>
      </w:pPr>
      <w:r>
        <w:rPr>
          <w:rFonts w:hint="eastAsia" w:ascii="宋体" w:hAnsi="宋体"/>
          <w:bCs w:val="0"/>
          <w:sz w:val="32"/>
          <w:szCs w:val="32"/>
        </w:rPr>
        <w:t>四、资质要求</w:t>
      </w:r>
    </w:p>
    <w:p w14:paraId="302FBF45">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 网络安全等级保护测评资质：参加本项目必须具备公安部第三研究所颁发的《网络安全等级测评与检测评估机构服务认证证书》，并在询价时出示相关资料复印件证明。</w:t>
      </w:r>
    </w:p>
    <w:p w14:paraId="0AB9615B">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4.2 商用密码应用安全性评估资质：参加本项目必需满足以下要求的其中之一：（一）是国家密码管理局《商用密码应用安全性评估试点机构目录》内的供应商或获得机构目录供应商授权参与项目响应的供应商，实施单位需为试点机构目录内的机构；（二）在国家密码管理局“可在本地区、本行业（领域）开展密评试点工作的机构名单”中所列的具备在广西开展密评业务资质的机构。</w:t>
      </w:r>
    </w:p>
    <w:p w14:paraId="14CD71D9">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4.3 服务提供方应具备健康医疗数据安全或相关领域的数据分类分级服务能力，并提供近三年相关业绩证明（如合同或验收报告）。</w:t>
      </w:r>
    </w:p>
    <w:p w14:paraId="07C9245E">
      <w:pPr>
        <w:ind w:firstLine="420" w:firstLineChars="0"/>
        <w:rPr>
          <w:rFonts w:hint="eastAsia"/>
          <w:lang w:val="en-US" w:eastAsia="zh-CN"/>
        </w:rPr>
      </w:pPr>
      <w:r>
        <w:rPr>
          <w:rFonts w:hint="eastAsia" w:ascii="宋体" w:hAnsi="宋体" w:eastAsia="宋体" w:cs="宋体"/>
          <w:color w:val="auto"/>
          <w:sz w:val="24"/>
          <w:lang w:val="en-US" w:eastAsia="zh-CN"/>
        </w:rPr>
        <w:t>4.3 服务提供方应具备健康医疗数据安全或相关领域的深度合成算法及大模型备案安全评估能力，并提供近三年相关业绩证明（如合同或验收报告）。</w:t>
      </w:r>
    </w:p>
    <w:p w14:paraId="28954C81">
      <w:pPr>
        <w:pStyle w:val="5"/>
        <w:numPr>
          <w:ilvl w:val="0"/>
          <w:numId w:val="0"/>
        </w:numPr>
        <w:spacing w:before="0" w:after="0" w:line="312" w:lineRule="auto"/>
        <w:rPr>
          <w:rFonts w:ascii="宋体" w:hAnsi="宋体"/>
          <w:bCs w:val="0"/>
          <w:sz w:val="32"/>
          <w:szCs w:val="32"/>
        </w:rPr>
      </w:pPr>
      <w:r>
        <w:rPr>
          <w:rFonts w:hint="eastAsia" w:ascii="宋体" w:hAnsi="宋体"/>
          <w:bCs w:val="0"/>
          <w:sz w:val="32"/>
          <w:szCs w:val="32"/>
        </w:rPr>
        <w:t>五、服务保障与交付成果要求</w:t>
      </w:r>
    </w:p>
    <w:p w14:paraId="4E300F8A">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bookmarkStart w:id="1" w:name="_Toc507405798"/>
      <w:r>
        <w:rPr>
          <w:rFonts w:hint="eastAsia" w:ascii="宋体" w:hAnsi="宋体" w:eastAsia="宋体" w:cs="宋体"/>
          <w:color w:val="auto"/>
          <w:sz w:val="24"/>
          <w:lang w:val="en-US" w:eastAsia="zh-CN"/>
        </w:rPr>
        <w:t>5.1 服务保障承诺</w:t>
      </w:r>
    </w:p>
    <w:p w14:paraId="4D0C1813">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提供方应指定经验丰富的测评师、评估师及数据安全专家为我单位提供技术、实施、售后服务，且在未来一年内提供信息安全建设、等保合规、密改及数据安全相关的咨询服务和持续的技术建议，含电话支持、现场沟通、线上咨询等多种方式服务，应做到工作日期间电话或微信等常用联系方式及时响应。</w:t>
      </w:r>
    </w:p>
    <w:p w14:paraId="576827C7">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 报告出具阶段性要求</w:t>
      </w:r>
    </w:p>
    <w:p w14:paraId="6D21D2D2">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所有服务项目均需按以下两个阶段出具成果：</w:t>
      </w:r>
    </w:p>
    <w:p w14:paraId="6BBBEE91">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第一阶段——初评/预评估报告：</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ab/>
      </w:r>
      <w:r>
        <w:rPr>
          <w:rFonts w:hint="eastAsia" w:ascii="宋体" w:hAnsi="宋体" w:eastAsia="宋体" w:cs="宋体"/>
          <w:color w:val="auto"/>
          <w:sz w:val="24"/>
          <w:lang w:val="en-US" w:eastAsia="zh-CN"/>
        </w:rPr>
        <w:t>服务提供方在完成初步现场测评、评估或数据梳理后，需向我院出具包含现状描述、差距分析及详细整改建议的初评/预评估报告。该报告作为我院开展整改工作的依据。</w:t>
      </w:r>
    </w:p>
    <w:p w14:paraId="697A60CC">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第二阶段——最终报告：</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ab/>
      </w:r>
      <w:r>
        <w:rPr>
          <w:rFonts w:hint="eastAsia" w:ascii="宋体" w:hAnsi="宋体" w:eastAsia="宋体" w:cs="宋体"/>
          <w:color w:val="auto"/>
          <w:sz w:val="24"/>
          <w:lang w:val="en-US" w:eastAsia="zh-CN"/>
        </w:rPr>
        <w:t>在整改合格并通过我院确认后，服务提供方需出具符合届时现行标准及主管部门要求的最终版报告。包括：</w:t>
      </w:r>
    </w:p>
    <w:p w14:paraId="648DB035">
      <w:pPr>
        <w:pStyle w:val="4"/>
        <w:pageBreakBefore w:val="0"/>
        <w:widowControl w:val="0"/>
        <w:numPr>
          <w:ilvl w:val="0"/>
          <w:numId w:val="4"/>
        </w:numPr>
        <w:kinsoku/>
        <w:wordWrap/>
        <w:overflowPunct/>
        <w:topLinePunct w:val="0"/>
        <w:autoSpaceDE/>
        <w:autoSpaceDN/>
        <w:bidi w:val="0"/>
        <w:adjustRightInd/>
        <w:snapToGrid/>
        <w:spacing w:after="0" w:line="312" w:lineRule="auto"/>
        <w:ind w:left="845" w:leftChars="0" w:hanging="425" w:firstLineChars="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网络安全等级保护测评报告（纸质版四份及电子版）；</w:t>
      </w:r>
    </w:p>
    <w:p w14:paraId="6ED91B08">
      <w:pPr>
        <w:pStyle w:val="4"/>
        <w:pageBreakBefore w:val="0"/>
        <w:widowControl w:val="0"/>
        <w:numPr>
          <w:ilvl w:val="0"/>
          <w:numId w:val="4"/>
        </w:numPr>
        <w:kinsoku/>
        <w:wordWrap/>
        <w:overflowPunct/>
        <w:topLinePunct w:val="0"/>
        <w:autoSpaceDE/>
        <w:autoSpaceDN/>
        <w:bidi w:val="0"/>
        <w:adjustRightInd/>
        <w:snapToGrid/>
        <w:spacing w:after="0" w:line="312" w:lineRule="auto"/>
        <w:ind w:left="845" w:leftChars="0" w:hanging="425" w:firstLineChars="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商用密码应用安全性评估报告（纸质版四份及电子版）；</w:t>
      </w:r>
    </w:p>
    <w:p w14:paraId="5D041FAF">
      <w:pPr>
        <w:pStyle w:val="4"/>
        <w:pageBreakBefore w:val="0"/>
        <w:widowControl w:val="0"/>
        <w:numPr>
          <w:ilvl w:val="0"/>
          <w:numId w:val="4"/>
        </w:numPr>
        <w:kinsoku/>
        <w:wordWrap/>
        <w:overflowPunct/>
        <w:topLinePunct w:val="0"/>
        <w:autoSpaceDE/>
        <w:autoSpaceDN/>
        <w:bidi w:val="0"/>
        <w:adjustRightInd/>
        <w:snapToGrid/>
        <w:spacing w:after="0" w:line="312" w:lineRule="auto"/>
        <w:ind w:left="845" w:leftChars="0" w:hanging="425"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健康医疗数据《重要数据梳理识别情况汇总表》（电子版）、《数据资产清单》（电子版）、《数据分类分级报告》（电子版）、《数据安全风险评估报告》（纸质版一份及电子版）；</w:t>
      </w:r>
    </w:p>
    <w:p w14:paraId="2C54EB16">
      <w:pPr>
        <w:pStyle w:val="4"/>
        <w:pageBreakBefore w:val="0"/>
        <w:widowControl w:val="0"/>
        <w:numPr>
          <w:ilvl w:val="0"/>
          <w:numId w:val="4"/>
        </w:numPr>
        <w:kinsoku/>
        <w:wordWrap/>
        <w:overflowPunct/>
        <w:topLinePunct w:val="0"/>
        <w:autoSpaceDE/>
        <w:autoSpaceDN/>
        <w:bidi w:val="0"/>
        <w:adjustRightInd/>
        <w:snapToGrid/>
        <w:spacing w:after="0" w:line="312" w:lineRule="auto"/>
        <w:ind w:left="845" w:leftChars="0" w:hanging="425"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《大模型安全测评报告》（纸质版</w:t>
      </w:r>
      <w:bookmarkStart w:id="4" w:name="_GoBack"/>
      <w:r>
        <w:rPr>
          <w:rFonts w:hint="eastAsia" w:ascii="宋体" w:hAnsi="宋体" w:eastAsia="宋体" w:cs="宋体"/>
          <w:color w:val="auto"/>
          <w:sz w:val="24"/>
          <w:highlight w:val="none"/>
          <w:lang w:val="en-US" w:eastAsia="zh-CN"/>
        </w:rPr>
        <w:t>一份</w:t>
      </w:r>
      <w:bookmarkEnd w:id="4"/>
      <w:r>
        <w:rPr>
          <w:rFonts w:hint="eastAsia" w:ascii="宋体" w:hAnsi="宋体" w:eastAsia="宋体" w:cs="宋体"/>
          <w:color w:val="auto"/>
          <w:sz w:val="24"/>
          <w:highlight w:val="none"/>
          <w:lang w:val="en-US" w:eastAsia="zh-CN"/>
        </w:rPr>
        <w:t>及电子版）、《生成式人工智能（大语言模型）上线备案表》中要求提供的其他材料。</w:t>
      </w:r>
    </w:p>
    <w:p w14:paraId="7687D50D">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5.3测评时限要求：我院出具项目进场通知书之日起10个工作日内到场开展当年的现场测评工作；现场测评结束且我院确定整改完成后，30个工作日内提供该阶段相应成果。</w:t>
      </w:r>
    </w:p>
    <w:p w14:paraId="213A7A3D">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5.4标准合规性与动态更新</w:t>
      </w:r>
    </w:p>
    <w:p w14:paraId="3A4D1731">
      <w:pPr>
        <w:pStyle w:val="4"/>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服务提供方应严格遵循国家与行业现行有效的技术标准，本着实事求是的原则，如实出具完全符合测评实施时点现行有效法律法规、标准规范（包括但不限于等保2.0系列标准及其后续修订版本、GB/T 39786-2021及其后续修订版本、国家密码管理局最新评估框架要求）的测评/评估报告。</w:t>
      </w:r>
    </w:p>
    <w:p w14:paraId="028C0069">
      <w:pPr>
        <w:pStyle w:val="4"/>
        <w:pageBreakBefore w:val="0"/>
        <w:widowControl w:val="0"/>
        <w:kinsoku/>
        <w:wordWrap/>
        <w:overflowPunct/>
        <w:topLinePunct w:val="0"/>
        <w:autoSpaceDE/>
        <w:autoSpaceDN/>
        <w:bidi w:val="0"/>
        <w:adjustRightInd/>
        <w:snapToGrid/>
        <w:spacing w:after="0" w:line="312" w:lineRule="auto"/>
        <w:ind w:firstLine="420"/>
        <w:textAlignment w:val="auto"/>
        <w:rPr>
          <w:lang w:val="en-US"/>
        </w:rPr>
      </w:pPr>
      <w:r>
        <w:rPr>
          <w:rFonts w:hint="eastAsia" w:ascii="宋体" w:hAnsi="宋体" w:eastAsia="宋体" w:cs="宋体"/>
          <w:color w:val="auto"/>
          <w:sz w:val="24"/>
          <w:lang w:val="en-US" w:eastAsia="zh-CN"/>
        </w:rPr>
        <w:t>特别约定：若在本合同服务期内，国家或行业主管部门发布新的标准或报告模板，中标方应无条件按照最新有效版本执行测评、评估与报告编制，确保交付成果的时效性与合规性，且不因此额外增加甲方费用。双方确认，以最终报告正式出具之日有效的标准版本作为验收依据。</w:t>
      </w:r>
    </w:p>
    <w:p w14:paraId="4FF8619C">
      <w:pPr>
        <w:pStyle w:val="4"/>
        <w:spacing w:after="0" w:line="312" w:lineRule="auto"/>
        <w:rPr>
          <w:rFonts w:hint="eastAsia" w:ascii="宋体" w:hAnsi="宋体" w:eastAsiaTheme="minorEastAsia" w:cstheme="minorBidi"/>
          <w:b/>
          <w:bCs w:val="0"/>
          <w:kern w:val="44"/>
          <w:sz w:val="32"/>
          <w:szCs w:val="32"/>
          <w:lang w:val="en-US" w:eastAsia="zh-CN" w:bidi="ar-SA"/>
        </w:rPr>
      </w:pPr>
      <w:r>
        <w:rPr>
          <w:rFonts w:hint="eastAsia" w:ascii="宋体" w:hAnsi="宋体" w:eastAsiaTheme="minorEastAsia" w:cstheme="minorBidi"/>
          <w:b/>
          <w:bCs w:val="0"/>
          <w:kern w:val="44"/>
          <w:sz w:val="32"/>
          <w:szCs w:val="32"/>
          <w:lang w:val="en-US" w:eastAsia="zh-CN" w:bidi="ar-SA"/>
        </w:rPr>
        <w:t>六、违约责任</w:t>
      </w:r>
    </w:p>
    <w:p w14:paraId="06C5879F">
      <w:pPr>
        <w:spacing w:line="312"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6.1</w:t>
      </w:r>
      <w:r>
        <w:rPr>
          <w:rFonts w:hint="eastAsia" w:ascii="宋体" w:hAnsi="宋体" w:eastAsia="宋体" w:cs="宋体"/>
          <w:sz w:val="24"/>
          <w:szCs w:val="24"/>
          <w:lang w:val="en-US" w:eastAsia="zh-CN"/>
        </w:rPr>
        <w:t>服务提供方</w:t>
      </w:r>
      <w:r>
        <w:rPr>
          <w:rFonts w:hint="eastAsia" w:ascii="宋体" w:hAnsi="宋体" w:eastAsia="宋体" w:cs="宋体"/>
          <w:sz w:val="24"/>
          <w:szCs w:val="24"/>
        </w:rPr>
        <w:t>逾期提交服务成果的，</w:t>
      </w:r>
      <w:r>
        <w:rPr>
          <w:rFonts w:hint="eastAsia" w:ascii="宋体" w:hAnsi="宋体" w:eastAsia="宋体" w:cs="宋体"/>
          <w:color w:val="auto"/>
          <w:sz w:val="24"/>
        </w:rPr>
        <w:t>每天向</w:t>
      </w:r>
      <w:r>
        <w:rPr>
          <w:rFonts w:hint="eastAsia" w:ascii="宋体" w:hAnsi="宋体" w:eastAsia="宋体" w:cs="宋体"/>
          <w:color w:val="auto"/>
          <w:sz w:val="24"/>
          <w:lang w:eastAsia="zh-CN"/>
        </w:rPr>
        <w:t>甲方</w:t>
      </w:r>
      <w:r>
        <w:rPr>
          <w:rFonts w:hint="eastAsia" w:ascii="宋体" w:hAnsi="宋体" w:eastAsia="宋体" w:cs="宋体"/>
          <w:color w:val="auto"/>
          <w:sz w:val="24"/>
        </w:rPr>
        <w:t>偿付违约货款额3‰违约金，但违约金累计不得超过违约货款额 5% ，超过30天对方有权解除合同，违约方承担因此给对方造成的经济损失</w:t>
      </w:r>
      <w:r>
        <w:rPr>
          <w:rFonts w:hint="eastAsia" w:ascii="宋体" w:hAnsi="宋体" w:eastAsia="宋体" w:cs="宋体"/>
          <w:color w:val="auto"/>
          <w:sz w:val="24"/>
          <w:lang w:eastAsia="zh-CN"/>
        </w:rPr>
        <w:t>。</w:t>
      </w:r>
    </w:p>
    <w:p w14:paraId="62F08473">
      <w:pPr>
        <w:spacing w:line="312" w:lineRule="auto"/>
        <w:ind w:firstLine="480" w:firstLineChars="200"/>
        <w:jc w:val="left"/>
        <w:rPr>
          <w:rFonts w:ascii="宋体" w:hAnsi="宋体" w:eastAsia="宋体" w:cs="宋体"/>
          <w:sz w:val="24"/>
          <w:szCs w:val="24"/>
        </w:rPr>
      </w:pPr>
      <w:r>
        <w:rPr>
          <w:rFonts w:hint="eastAsia" w:ascii="宋体" w:hAnsi="宋体" w:eastAsia="宋体" w:cs="宋体"/>
          <w:sz w:val="24"/>
          <w:szCs w:val="24"/>
        </w:rPr>
        <w:t>6.2若</w:t>
      </w:r>
      <w:r>
        <w:rPr>
          <w:rFonts w:hint="eastAsia" w:ascii="宋体" w:hAnsi="宋体" w:eastAsia="宋体" w:cs="宋体"/>
          <w:sz w:val="24"/>
          <w:szCs w:val="24"/>
          <w:lang w:val="en-US" w:eastAsia="zh-CN"/>
        </w:rPr>
        <w:t>服务提供方</w:t>
      </w:r>
      <w:r>
        <w:rPr>
          <w:rFonts w:hint="eastAsia" w:ascii="宋体" w:hAnsi="宋体" w:eastAsia="宋体" w:cs="宋体"/>
          <w:sz w:val="24"/>
          <w:szCs w:val="24"/>
        </w:rPr>
        <w:t>提供的产品或软件侵犯了第三方合法权益而引发的任何纠纷或诉讼，均由</w:t>
      </w:r>
      <w:r>
        <w:rPr>
          <w:rFonts w:hint="eastAsia" w:ascii="宋体" w:hAnsi="宋体" w:eastAsia="宋体" w:cs="宋体"/>
          <w:sz w:val="24"/>
          <w:szCs w:val="24"/>
          <w:lang w:val="en-US" w:eastAsia="zh-CN"/>
        </w:rPr>
        <w:t>服务提供方</w:t>
      </w:r>
      <w:r>
        <w:rPr>
          <w:rFonts w:hint="eastAsia" w:ascii="宋体" w:hAnsi="宋体" w:eastAsia="宋体" w:cs="宋体"/>
          <w:sz w:val="24"/>
          <w:szCs w:val="24"/>
        </w:rPr>
        <w:t>负责交涉并承担全部责任。</w:t>
      </w:r>
    </w:p>
    <w:p w14:paraId="401617A1">
      <w:pPr>
        <w:spacing w:line="312" w:lineRule="auto"/>
        <w:ind w:firstLine="420"/>
        <w:jc w:val="left"/>
        <w:rPr>
          <w:rFonts w:ascii="宋体" w:hAnsi="宋体" w:eastAsia="宋体" w:cs="宋体"/>
          <w:sz w:val="24"/>
        </w:rPr>
      </w:pPr>
      <w:r>
        <w:rPr>
          <w:rFonts w:hint="eastAsia" w:ascii="宋体" w:hAnsi="宋体" w:eastAsia="宋体" w:cs="宋体"/>
          <w:sz w:val="24"/>
          <w:szCs w:val="24"/>
        </w:rPr>
        <w:t>6.3</w:t>
      </w:r>
      <w:r>
        <w:rPr>
          <w:rFonts w:hint="eastAsia" w:ascii="宋体" w:hAnsi="宋体" w:eastAsia="宋体" w:cs="宋体"/>
          <w:sz w:val="24"/>
          <w:lang w:val="en-US" w:eastAsia="zh-CN"/>
        </w:rPr>
        <w:t>服务提供方</w:t>
      </w:r>
      <w:r>
        <w:rPr>
          <w:rFonts w:hint="eastAsia" w:ascii="宋体" w:hAnsi="宋体" w:eastAsia="宋体" w:cs="宋体"/>
          <w:sz w:val="24"/>
        </w:rPr>
        <w:t>未按本技术要求和响应文件中规定的其他服务承诺提供售后服务的，每次投标方应按合同合计金额的5% 向甲方支付违约金。</w:t>
      </w:r>
    </w:p>
    <w:p w14:paraId="0C17719B">
      <w:pPr>
        <w:pStyle w:val="4"/>
        <w:spacing w:after="0" w:line="312" w:lineRule="auto"/>
        <w:ind w:firstLine="420"/>
        <w:rPr>
          <w:rFonts w:hint="eastAsia" w:ascii="宋体" w:hAnsi="宋体" w:eastAsia="宋体" w:cs="宋体"/>
          <w:sz w:val="24"/>
          <w:lang w:val="en-US"/>
        </w:rPr>
      </w:pPr>
      <w:r>
        <w:rPr>
          <w:rFonts w:hint="eastAsia" w:ascii="宋体" w:hAnsi="宋体" w:eastAsia="宋体" w:cs="宋体"/>
          <w:sz w:val="24"/>
          <w:lang w:val="en-US"/>
        </w:rPr>
        <w:t>6.4任何一方违反本技术要求中“保密、廉洁条款”要求的，应承担相应的违约责任并赔偿由此造成的损失，损失累计金额超过总合同款项的5%的，损失方同时有权终止合同并收回已付款项。</w:t>
      </w:r>
    </w:p>
    <w:p w14:paraId="6B8284AF">
      <w:pPr>
        <w:pStyle w:val="4"/>
        <w:spacing w:after="0" w:line="312" w:lineRule="auto"/>
        <w:ind w:firstLine="420"/>
        <w:rPr>
          <w:rFonts w:hint="default" w:ascii="宋体" w:hAnsi="宋体" w:eastAsia="宋体" w:cs="宋体"/>
          <w:sz w:val="24"/>
          <w:lang w:val="en-US" w:eastAsia="zh-CN"/>
        </w:rPr>
      </w:pPr>
      <w:r>
        <w:rPr>
          <w:rFonts w:hint="eastAsia" w:ascii="宋体" w:hAnsi="宋体" w:eastAsia="宋体" w:cs="宋体"/>
          <w:sz w:val="24"/>
          <w:lang w:val="en-US" w:eastAsia="zh-CN"/>
        </w:rPr>
        <w:t>6.5服务提供方未按本技术要求和响应文件中规定的其他服务承诺提供售后服务的，按损失情况，每次应按合同合计金额的0.1‰-0.1%由服务提供方向甲方支付违约金，损失累计金额超过合同款项的5%的，损失方同时有权终止合同并收回已付款项。</w:t>
      </w:r>
    </w:p>
    <w:bookmarkEnd w:id="1"/>
    <w:p w14:paraId="7A6E0CB0">
      <w:pPr>
        <w:pStyle w:val="4"/>
        <w:numPr>
          <w:ilvl w:val="0"/>
          <w:numId w:val="5"/>
        </w:numPr>
        <w:spacing w:after="0" w:line="312" w:lineRule="auto"/>
        <w:rPr>
          <w:rFonts w:hint="eastAsia" w:ascii="宋体" w:hAnsi="宋体" w:eastAsiaTheme="minorEastAsia" w:cstheme="minorBidi"/>
          <w:b/>
          <w:bCs w:val="0"/>
          <w:kern w:val="44"/>
          <w:sz w:val="32"/>
          <w:szCs w:val="32"/>
          <w:lang w:val="en-US" w:eastAsia="zh-CN" w:bidi="ar-SA"/>
        </w:rPr>
      </w:pPr>
      <w:bookmarkStart w:id="2" w:name="_Toc507405799"/>
      <w:bookmarkStart w:id="3" w:name="_Toc507405800"/>
      <w:r>
        <w:rPr>
          <w:rFonts w:hint="eastAsia" w:ascii="宋体" w:hAnsi="宋体" w:eastAsiaTheme="minorEastAsia" w:cstheme="minorBidi"/>
          <w:b/>
          <w:bCs w:val="0"/>
          <w:kern w:val="44"/>
          <w:sz w:val="32"/>
          <w:szCs w:val="32"/>
          <w:lang w:val="en-US" w:eastAsia="zh-CN" w:bidi="ar-SA"/>
        </w:rPr>
        <w:t>保密、廉洁协议</w:t>
      </w:r>
    </w:p>
    <w:p w14:paraId="007D69DF">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605C7A5C">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双方不得以任何方式向第三方泄露本项目的软件技术、设计方案以及功能配置等内容。</w:t>
      </w:r>
    </w:p>
    <w:p w14:paraId="285A14AA">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7.3不以任何方式向第三方泄露在本协议开发实施过程中获取的经济、技术、数据以及双方其他非公开的信息。</w:t>
      </w:r>
    </w:p>
    <w:p w14:paraId="21C04B9F">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20B27FF8">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Theme="minorEastAsia" w:cstheme="minorBidi"/>
          <w:b/>
          <w:bCs w:val="0"/>
          <w:kern w:val="44"/>
          <w:sz w:val="32"/>
          <w:szCs w:val="32"/>
          <w:lang w:val="en-US" w:eastAsia="zh-CN" w:bidi="ar-SA"/>
        </w:rPr>
      </w:pPr>
      <w:r>
        <w:rPr>
          <w:rFonts w:hint="eastAsia" w:ascii="宋体" w:hAnsi="宋体" w:eastAsia="宋体" w:cs="宋体"/>
          <w:color w:val="auto"/>
          <w:sz w:val="24"/>
          <w:szCs w:val="24"/>
        </w:rPr>
        <w:t>7.5保密期限自本合同生效之日起永久有效，如乙方需解除保密协议需向甲方提出书面申请，双方协商同意签字确认后方可解除。</w:t>
      </w:r>
    </w:p>
    <w:p w14:paraId="4D8351CB">
      <w:pPr>
        <w:pStyle w:val="4"/>
        <w:spacing w:after="0" w:line="312" w:lineRule="auto"/>
        <w:rPr>
          <w:rFonts w:hint="eastAsia" w:ascii="宋体" w:hAnsi="宋体" w:eastAsiaTheme="minorEastAsia" w:cstheme="minorBidi"/>
          <w:b/>
          <w:bCs w:val="0"/>
          <w:kern w:val="44"/>
          <w:sz w:val="32"/>
          <w:szCs w:val="32"/>
          <w:lang w:val="en-US" w:eastAsia="zh-CN" w:bidi="ar-SA"/>
        </w:rPr>
      </w:pPr>
      <w:r>
        <w:rPr>
          <w:rFonts w:hint="eastAsia" w:ascii="宋体" w:hAnsi="宋体" w:eastAsiaTheme="minorEastAsia" w:cstheme="minorBidi"/>
          <w:b/>
          <w:bCs w:val="0"/>
          <w:kern w:val="44"/>
          <w:sz w:val="32"/>
          <w:szCs w:val="32"/>
          <w:lang w:val="en-US" w:eastAsia="zh-CN" w:bidi="ar-SA"/>
        </w:rPr>
        <w:t>八、报价</w:t>
      </w:r>
    </w:p>
    <w:p w14:paraId="3C63233D">
      <w:pPr>
        <w:pStyle w:val="4"/>
        <w:spacing w:after="0" w:line="312" w:lineRule="auto"/>
        <w:ind w:firstLine="420"/>
        <w:rPr>
          <w:lang w:val="en-US"/>
        </w:rPr>
      </w:pPr>
      <w:r>
        <w:rPr>
          <w:rFonts w:hint="eastAsia" w:ascii="宋体" w:hAnsi="宋体" w:eastAsia="宋体" w:cs="宋体"/>
          <w:sz w:val="24"/>
        </w:rPr>
        <w:t>竞标文件提供技术偏离表、服务偏离表，并标明详细的技术和服务内容。竞标文件按系统模块报价，报价表价格包含</w:t>
      </w:r>
      <w:r>
        <w:rPr>
          <w:rFonts w:hint="eastAsia" w:ascii="宋体" w:hAnsi="宋体" w:eastAsia="宋体" w:cs="宋体"/>
          <w:sz w:val="24"/>
          <w:lang w:val="en-US" w:eastAsia="zh-CN"/>
        </w:rPr>
        <w:t>所必须的</w:t>
      </w:r>
      <w:r>
        <w:rPr>
          <w:rFonts w:hint="eastAsia" w:ascii="宋体" w:hAnsi="宋体" w:eastAsia="宋体" w:cs="宋体"/>
          <w:sz w:val="24"/>
        </w:rPr>
        <w:t>软件费用、服务费用、差旅费、咨询费、培训费</w:t>
      </w:r>
      <w:r>
        <w:rPr>
          <w:rFonts w:hint="eastAsia" w:ascii="宋体" w:hAnsi="宋体" w:eastAsia="宋体"/>
          <w:sz w:val="24"/>
        </w:rPr>
        <w:t>等</w:t>
      </w:r>
      <w:r>
        <w:rPr>
          <w:rFonts w:hint="eastAsia" w:ascii="宋体" w:hAnsi="宋体" w:eastAsia="宋体"/>
          <w:sz w:val="24"/>
          <w:lang w:val="en-US" w:eastAsia="zh-CN"/>
        </w:rPr>
        <w:t>相关</w:t>
      </w:r>
      <w:r>
        <w:rPr>
          <w:rFonts w:hint="eastAsia" w:ascii="宋体" w:hAnsi="宋体" w:eastAsia="宋体"/>
          <w:sz w:val="24"/>
        </w:rPr>
        <w:t>费用</w:t>
      </w:r>
      <w:r>
        <w:rPr>
          <w:rFonts w:hint="eastAsia" w:ascii="宋体" w:hAnsi="宋体" w:eastAsia="宋体" w:cs="宋体"/>
          <w:sz w:val="24"/>
        </w:rPr>
        <w:t>，以及明示所有责任、义务和一切风险。</w:t>
      </w:r>
    </w:p>
    <w:p w14:paraId="424BC004">
      <w:pPr>
        <w:pStyle w:val="4"/>
        <w:spacing w:after="0" w:line="312" w:lineRule="auto"/>
        <w:rPr>
          <w:rFonts w:hint="eastAsia" w:ascii="宋体" w:hAnsi="宋体" w:eastAsiaTheme="minorEastAsia" w:cstheme="minorBidi"/>
          <w:b/>
          <w:bCs w:val="0"/>
          <w:kern w:val="44"/>
          <w:sz w:val="32"/>
          <w:szCs w:val="32"/>
          <w:lang w:val="en-US" w:eastAsia="zh-CN" w:bidi="ar-SA"/>
        </w:rPr>
      </w:pPr>
      <w:r>
        <w:rPr>
          <w:rFonts w:hint="eastAsia" w:ascii="宋体" w:hAnsi="宋体" w:eastAsiaTheme="minorEastAsia" w:cstheme="minorBidi"/>
          <w:b/>
          <w:bCs w:val="0"/>
          <w:kern w:val="44"/>
          <w:sz w:val="32"/>
          <w:szCs w:val="32"/>
          <w:lang w:val="en-US" w:eastAsia="zh-CN" w:bidi="ar-SA"/>
        </w:rPr>
        <w:t>九、付款方式</w:t>
      </w:r>
      <w:bookmarkEnd w:id="2"/>
    </w:p>
    <w:bookmarkEnd w:id="3"/>
    <w:p w14:paraId="3E2F3AC3">
      <w:pPr>
        <w:pStyle w:val="17"/>
        <w:spacing w:line="360" w:lineRule="auto"/>
        <w:ind w:firstLine="614" w:firstLineChars="256"/>
        <w:rPr>
          <w:sz w:val="24"/>
        </w:rPr>
      </w:pPr>
      <w:r>
        <w:rPr>
          <w:rFonts w:hint="eastAsia" w:ascii="宋体" w:hAnsi="宋体" w:eastAsia="宋体" w:cs="微软雅黑"/>
          <w:sz w:val="24"/>
          <w:szCs w:val="24"/>
        </w:rPr>
        <w:t>合同签订后，所有项目完成</w:t>
      </w:r>
      <w:r>
        <w:rPr>
          <w:rFonts w:hint="eastAsia" w:ascii="宋体" w:hAnsi="宋体" w:eastAsia="宋体" w:cs="微软雅黑"/>
          <w:sz w:val="24"/>
          <w:szCs w:val="24"/>
          <w:lang w:val="en-US" w:eastAsia="zh-CN"/>
        </w:rPr>
        <w:t>第一阶段的</w:t>
      </w:r>
      <w:r>
        <w:rPr>
          <w:rFonts w:hint="eastAsia" w:ascii="宋体" w:hAnsi="宋体" w:eastAsia="宋体" w:cs="微软雅黑"/>
          <w:sz w:val="24"/>
          <w:szCs w:val="24"/>
        </w:rPr>
        <w:t>初评工作，并出具初评报告，经甲方确认后，支付合同总金额的30%。在所有项目终验合格，交付所有纸质版和电子版</w:t>
      </w:r>
      <w:r>
        <w:rPr>
          <w:rFonts w:hint="eastAsia" w:ascii="宋体" w:hAnsi="宋体" w:eastAsia="宋体" w:cs="微软雅黑"/>
          <w:sz w:val="24"/>
          <w:szCs w:val="24"/>
          <w:lang w:val="en-US" w:eastAsia="zh-CN"/>
        </w:rPr>
        <w:t>的</w:t>
      </w:r>
      <w:r>
        <w:rPr>
          <w:rFonts w:hint="eastAsia" w:ascii="宋体" w:hAnsi="宋体" w:eastAsia="宋体" w:cs="微软雅黑"/>
          <w:sz w:val="24"/>
          <w:szCs w:val="24"/>
        </w:rPr>
        <w:t>最终测评报告、评估报告及数据分类分级成果文件后，支付剩余70%的尾款。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9364D"/>
    <w:multiLevelType w:val="singleLevel"/>
    <w:tmpl w:val="F8B9364D"/>
    <w:lvl w:ilvl="0" w:tentative="0">
      <w:start w:val="1"/>
      <w:numFmt w:val="decimal"/>
      <w:lvlText w:val="(%1)"/>
      <w:lvlJc w:val="left"/>
      <w:pPr>
        <w:ind w:left="425" w:hanging="425"/>
      </w:pPr>
      <w:rPr>
        <w:rFonts w:hint="default"/>
      </w:rPr>
    </w:lvl>
  </w:abstractNum>
  <w:abstractNum w:abstractNumId="1">
    <w:nsid w:val="02A0FA43"/>
    <w:multiLevelType w:val="singleLevel"/>
    <w:tmpl w:val="02A0FA43"/>
    <w:lvl w:ilvl="0" w:tentative="0">
      <w:start w:val="1"/>
      <w:numFmt w:val="chineseCounting"/>
      <w:suff w:val="nothing"/>
      <w:lvlText w:val="%1、"/>
      <w:lvlJc w:val="left"/>
      <w:rPr>
        <w:rFonts w:hint="eastAsia"/>
      </w:rPr>
    </w:lvl>
  </w:abstractNum>
  <w:abstractNum w:abstractNumId="2">
    <w:nsid w:val="14D84B87"/>
    <w:multiLevelType w:val="multilevel"/>
    <w:tmpl w:val="14D84B87"/>
    <w:lvl w:ilvl="0" w:tentative="0">
      <w:start w:val="1"/>
      <w:numFmt w:val="chineseCountingThousand"/>
      <w:pStyle w:val="5"/>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3">
    <w:nsid w:val="23CADB49"/>
    <w:multiLevelType w:val="singleLevel"/>
    <w:tmpl w:val="23CADB49"/>
    <w:lvl w:ilvl="0" w:tentative="0">
      <w:start w:val="7"/>
      <w:numFmt w:val="chineseCounting"/>
      <w:suff w:val="nothing"/>
      <w:lvlText w:val="%1、"/>
      <w:lvlJc w:val="left"/>
      <w:rPr>
        <w:rFonts w:hint="eastAsia"/>
      </w:rPr>
    </w:lvl>
  </w:abstractNum>
  <w:abstractNum w:abstractNumId="4">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OWE0M2Y5OWYwZTYyYWYwNmUzNWIwNzlhMjAzZWIifQ=="/>
  </w:docVars>
  <w:rsids>
    <w:rsidRoot w:val="003E62DF"/>
    <w:rsid w:val="000263E5"/>
    <w:rsid w:val="00041A59"/>
    <w:rsid w:val="000E2410"/>
    <w:rsid w:val="001068A0"/>
    <w:rsid w:val="0014199D"/>
    <w:rsid w:val="001949D2"/>
    <w:rsid w:val="001A11FC"/>
    <w:rsid w:val="001A1C12"/>
    <w:rsid w:val="002164DE"/>
    <w:rsid w:val="00227340"/>
    <w:rsid w:val="00277363"/>
    <w:rsid w:val="002A29C0"/>
    <w:rsid w:val="002B65E5"/>
    <w:rsid w:val="00306E6E"/>
    <w:rsid w:val="00313679"/>
    <w:rsid w:val="003336DD"/>
    <w:rsid w:val="003A6B37"/>
    <w:rsid w:val="003E62DF"/>
    <w:rsid w:val="00435C7C"/>
    <w:rsid w:val="00477C6A"/>
    <w:rsid w:val="00481560"/>
    <w:rsid w:val="00491534"/>
    <w:rsid w:val="004D3BA6"/>
    <w:rsid w:val="005A540A"/>
    <w:rsid w:val="005D449A"/>
    <w:rsid w:val="006244B1"/>
    <w:rsid w:val="006638C1"/>
    <w:rsid w:val="006A3CAE"/>
    <w:rsid w:val="006C202C"/>
    <w:rsid w:val="006E12DA"/>
    <w:rsid w:val="006E634D"/>
    <w:rsid w:val="007B099F"/>
    <w:rsid w:val="007C04DE"/>
    <w:rsid w:val="007D2245"/>
    <w:rsid w:val="0085271B"/>
    <w:rsid w:val="008A1BF4"/>
    <w:rsid w:val="008C322F"/>
    <w:rsid w:val="009506AF"/>
    <w:rsid w:val="00964580"/>
    <w:rsid w:val="00A06C84"/>
    <w:rsid w:val="00A140D3"/>
    <w:rsid w:val="00A430A7"/>
    <w:rsid w:val="00A80E77"/>
    <w:rsid w:val="00AA22E6"/>
    <w:rsid w:val="00AB2123"/>
    <w:rsid w:val="00B405EC"/>
    <w:rsid w:val="00B759E0"/>
    <w:rsid w:val="00BA5221"/>
    <w:rsid w:val="00D355EF"/>
    <w:rsid w:val="00D373AA"/>
    <w:rsid w:val="00D5380E"/>
    <w:rsid w:val="00DC1FBB"/>
    <w:rsid w:val="00E61AD4"/>
    <w:rsid w:val="00EA04B2"/>
    <w:rsid w:val="00EE0D63"/>
    <w:rsid w:val="00EF0761"/>
    <w:rsid w:val="00F13AA1"/>
    <w:rsid w:val="00FC6869"/>
    <w:rsid w:val="02F1679D"/>
    <w:rsid w:val="038608DA"/>
    <w:rsid w:val="045A2635"/>
    <w:rsid w:val="053E15A9"/>
    <w:rsid w:val="0578335C"/>
    <w:rsid w:val="057F32C4"/>
    <w:rsid w:val="066241F2"/>
    <w:rsid w:val="06DF14B2"/>
    <w:rsid w:val="072E01FC"/>
    <w:rsid w:val="08741252"/>
    <w:rsid w:val="08DB4E5B"/>
    <w:rsid w:val="09444D40"/>
    <w:rsid w:val="09880F5F"/>
    <w:rsid w:val="09A20C6B"/>
    <w:rsid w:val="09A47EE1"/>
    <w:rsid w:val="09D01669"/>
    <w:rsid w:val="0A791D80"/>
    <w:rsid w:val="0D995B1B"/>
    <w:rsid w:val="0D9B051A"/>
    <w:rsid w:val="0E356120"/>
    <w:rsid w:val="0E6E5B52"/>
    <w:rsid w:val="0EED71B0"/>
    <w:rsid w:val="0F2A1F3D"/>
    <w:rsid w:val="109B068D"/>
    <w:rsid w:val="115F3764"/>
    <w:rsid w:val="11BF171F"/>
    <w:rsid w:val="131C5060"/>
    <w:rsid w:val="14782DB8"/>
    <w:rsid w:val="14AF00BD"/>
    <w:rsid w:val="14B25854"/>
    <w:rsid w:val="153D4F2B"/>
    <w:rsid w:val="165C1DAE"/>
    <w:rsid w:val="16ED2D59"/>
    <w:rsid w:val="174D1CA9"/>
    <w:rsid w:val="17536FF6"/>
    <w:rsid w:val="17541870"/>
    <w:rsid w:val="182B52BA"/>
    <w:rsid w:val="19151124"/>
    <w:rsid w:val="19A82017"/>
    <w:rsid w:val="1A251034"/>
    <w:rsid w:val="1A75011D"/>
    <w:rsid w:val="1AA944D3"/>
    <w:rsid w:val="1B5C436C"/>
    <w:rsid w:val="1B6F375A"/>
    <w:rsid w:val="1B91509A"/>
    <w:rsid w:val="1BEC7FA6"/>
    <w:rsid w:val="1C6C31F4"/>
    <w:rsid w:val="1CA653B3"/>
    <w:rsid w:val="1CB2219C"/>
    <w:rsid w:val="1D3B6C78"/>
    <w:rsid w:val="1D9262D5"/>
    <w:rsid w:val="1F9D1312"/>
    <w:rsid w:val="20581155"/>
    <w:rsid w:val="22293C01"/>
    <w:rsid w:val="224243ED"/>
    <w:rsid w:val="24A8657A"/>
    <w:rsid w:val="24DA1462"/>
    <w:rsid w:val="251F0377"/>
    <w:rsid w:val="25AD118C"/>
    <w:rsid w:val="25D43FBF"/>
    <w:rsid w:val="263952BC"/>
    <w:rsid w:val="26630A0A"/>
    <w:rsid w:val="26AA16D4"/>
    <w:rsid w:val="26D02C45"/>
    <w:rsid w:val="277A654A"/>
    <w:rsid w:val="283E2055"/>
    <w:rsid w:val="284C2F0D"/>
    <w:rsid w:val="290632D5"/>
    <w:rsid w:val="29631412"/>
    <w:rsid w:val="2AD73080"/>
    <w:rsid w:val="2C3332EA"/>
    <w:rsid w:val="2C6E439E"/>
    <w:rsid w:val="2CA67011"/>
    <w:rsid w:val="2DC34F4D"/>
    <w:rsid w:val="2DDF0A87"/>
    <w:rsid w:val="2E55261B"/>
    <w:rsid w:val="2E963A1B"/>
    <w:rsid w:val="303E5F52"/>
    <w:rsid w:val="30C17E66"/>
    <w:rsid w:val="32CE1057"/>
    <w:rsid w:val="332D2530"/>
    <w:rsid w:val="34906983"/>
    <w:rsid w:val="34A02F04"/>
    <w:rsid w:val="356078D0"/>
    <w:rsid w:val="35EA0E10"/>
    <w:rsid w:val="367D4F11"/>
    <w:rsid w:val="39C4425A"/>
    <w:rsid w:val="3A1E4C72"/>
    <w:rsid w:val="3A6B617C"/>
    <w:rsid w:val="3A965B44"/>
    <w:rsid w:val="3B4E2EEA"/>
    <w:rsid w:val="3B4F3BCB"/>
    <w:rsid w:val="3D655CAD"/>
    <w:rsid w:val="3D852DCD"/>
    <w:rsid w:val="3DCF123E"/>
    <w:rsid w:val="3E843743"/>
    <w:rsid w:val="3FFE146B"/>
    <w:rsid w:val="41971DBD"/>
    <w:rsid w:val="41E20B9A"/>
    <w:rsid w:val="436274D2"/>
    <w:rsid w:val="44511123"/>
    <w:rsid w:val="455A3219"/>
    <w:rsid w:val="457173F8"/>
    <w:rsid w:val="475913EB"/>
    <w:rsid w:val="47DA245A"/>
    <w:rsid w:val="47FA24B7"/>
    <w:rsid w:val="48003261"/>
    <w:rsid w:val="480C0CC5"/>
    <w:rsid w:val="481A666F"/>
    <w:rsid w:val="48A16554"/>
    <w:rsid w:val="49C017DB"/>
    <w:rsid w:val="4A7B61D6"/>
    <w:rsid w:val="4BF413EA"/>
    <w:rsid w:val="4F640350"/>
    <w:rsid w:val="4FA20E4B"/>
    <w:rsid w:val="507D710A"/>
    <w:rsid w:val="50844495"/>
    <w:rsid w:val="508670F0"/>
    <w:rsid w:val="50A873B9"/>
    <w:rsid w:val="513A5C54"/>
    <w:rsid w:val="52094823"/>
    <w:rsid w:val="52BA143A"/>
    <w:rsid w:val="52C84CF5"/>
    <w:rsid w:val="53E37F6D"/>
    <w:rsid w:val="5403206C"/>
    <w:rsid w:val="54361EC0"/>
    <w:rsid w:val="54E82BB7"/>
    <w:rsid w:val="55B43D13"/>
    <w:rsid w:val="562C3FA0"/>
    <w:rsid w:val="56864135"/>
    <w:rsid w:val="58090325"/>
    <w:rsid w:val="585573E7"/>
    <w:rsid w:val="58B51F19"/>
    <w:rsid w:val="5A157FB4"/>
    <w:rsid w:val="5A334C18"/>
    <w:rsid w:val="5B08601D"/>
    <w:rsid w:val="5C2974BB"/>
    <w:rsid w:val="5C4B79F0"/>
    <w:rsid w:val="5C6164F3"/>
    <w:rsid w:val="5C922B13"/>
    <w:rsid w:val="5E40706E"/>
    <w:rsid w:val="5EEF047E"/>
    <w:rsid w:val="606A2F3D"/>
    <w:rsid w:val="607B2E53"/>
    <w:rsid w:val="61113353"/>
    <w:rsid w:val="62042EF6"/>
    <w:rsid w:val="63C102CD"/>
    <w:rsid w:val="63EF6D4C"/>
    <w:rsid w:val="65EF576E"/>
    <w:rsid w:val="67234BE8"/>
    <w:rsid w:val="67C37F93"/>
    <w:rsid w:val="680403B6"/>
    <w:rsid w:val="68B72934"/>
    <w:rsid w:val="68E649B6"/>
    <w:rsid w:val="692916EB"/>
    <w:rsid w:val="69A9737D"/>
    <w:rsid w:val="69AD796E"/>
    <w:rsid w:val="6A5B6461"/>
    <w:rsid w:val="6B8E4A80"/>
    <w:rsid w:val="6B9E401E"/>
    <w:rsid w:val="6BC71D79"/>
    <w:rsid w:val="6C1A6998"/>
    <w:rsid w:val="6CD62255"/>
    <w:rsid w:val="6D42543E"/>
    <w:rsid w:val="6E1C2A86"/>
    <w:rsid w:val="705D5CEB"/>
    <w:rsid w:val="70955AC1"/>
    <w:rsid w:val="70CF56E5"/>
    <w:rsid w:val="70FF2AA0"/>
    <w:rsid w:val="711C77D0"/>
    <w:rsid w:val="72613DD0"/>
    <w:rsid w:val="73051406"/>
    <w:rsid w:val="73F71B2F"/>
    <w:rsid w:val="7524075C"/>
    <w:rsid w:val="757C1E2E"/>
    <w:rsid w:val="76C64F98"/>
    <w:rsid w:val="78BD3464"/>
    <w:rsid w:val="79792DFF"/>
    <w:rsid w:val="7AB427B8"/>
    <w:rsid w:val="7CD06851"/>
    <w:rsid w:val="7ED45A9B"/>
    <w:rsid w:val="7EEF7C51"/>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uiPriority w:val="0"/>
    <w:pPr>
      <w:spacing w:line="360" w:lineRule="auto"/>
      <w:ind w:firstLine="0"/>
    </w:pPr>
    <w:rPr>
      <w:sz w:val="24"/>
    </w:r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rPr>
      <w:rFonts w:ascii="Times New Roman" w:hAnsi="Times New Roman"/>
      <w:kern w:val="0"/>
      <w:sz w:val="20"/>
      <w:szCs w:val="24"/>
      <w:lang w:val="zh-CN"/>
    </w:rPr>
  </w:style>
  <w:style w:type="paragraph" w:styleId="7">
    <w:name w:val="Normal Indent"/>
    <w:basedOn w:val="1"/>
    <w:qFormat/>
    <w:uiPriority w:val="99"/>
    <w:pPr>
      <w:ind w:firstLine="420"/>
    </w:pPr>
    <w:rPr>
      <w:szCs w:val="20"/>
    </w:rPr>
  </w:style>
  <w:style w:type="paragraph" w:styleId="8">
    <w:name w:val="Body Text Indent 2"/>
    <w:basedOn w:val="1"/>
    <w:qFormat/>
    <w:uiPriority w:val="0"/>
    <w:pPr>
      <w:ind w:firstLine="630"/>
    </w:pPr>
    <w:rPr>
      <w:sz w:val="32"/>
      <w:szCs w:val="20"/>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1"/>
    <w:basedOn w:val="7"/>
    <w:qFormat/>
    <w:uiPriority w:val="0"/>
    <w:pPr>
      <w:jc w:val="both"/>
    </w:pPr>
    <w:rPr>
      <w:kern w:val="2"/>
      <w:sz w:val="21"/>
      <w:szCs w:val="21"/>
      <w:lang w:val="en-US" w:eastAsia="zh-CN" w:bidi="ar-SA"/>
    </w:rPr>
  </w:style>
  <w:style w:type="paragraph" w:styleId="17">
    <w:name w:val="List Paragraph"/>
    <w:basedOn w:val="1"/>
    <w:qFormat/>
    <w:uiPriority w:val="34"/>
    <w:pPr>
      <w:ind w:firstLine="420" w:firstLineChars="200"/>
    </w:pPr>
  </w:style>
  <w:style w:type="paragraph" w:customStyle="1" w:styleId="18">
    <w:name w:val="p15"/>
    <w:basedOn w:val="1"/>
    <w:qFormat/>
    <w:uiPriority w:val="0"/>
    <w:pPr>
      <w:widowControl/>
      <w:ind w:firstLine="420"/>
    </w:pPr>
    <w:rPr>
      <w:kern w:val="0"/>
      <w:szCs w:val="21"/>
    </w:rPr>
  </w:style>
  <w:style w:type="character" w:customStyle="1" w:styleId="19">
    <w:name w:val="页眉 字符"/>
    <w:basedOn w:val="14"/>
    <w:link w:val="10"/>
    <w:qFormat/>
    <w:uiPriority w:val="0"/>
    <w:rPr>
      <w:rFonts w:asciiTheme="minorHAnsi" w:hAnsiTheme="minorHAnsi" w:eastAsiaTheme="minorEastAsia" w:cstheme="minorBidi"/>
      <w:kern w:val="2"/>
      <w:sz w:val="18"/>
      <w:szCs w:val="18"/>
    </w:rPr>
  </w:style>
  <w:style w:type="character" w:customStyle="1" w:styleId="20">
    <w:name w:val="页脚 字符"/>
    <w:basedOn w:val="14"/>
    <w:link w:val="9"/>
    <w:qFormat/>
    <w:uiPriority w:val="0"/>
    <w:rPr>
      <w:rFonts w:asciiTheme="minorHAnsi" w:hAnsiTheme="minorHAnsi" w:eastAsiaTheme="minorEastAsia" w:cstheme="minorBidi"/>
      <w:kern w:val="2"/>
      <w:sz w:val="18"/>
      <w:szCs w:val="18"/>
    </w:rPr>
  </w:style>
  <w:style w:type="paragraph" w:customStyle="1" w:styleId="21">
    <w:name w:val="KSERT"/>
    <w:basedOn w:val="1"/>
    <w:qFormat/>
    <w:uiPriority w:val="0"/>
    <w:pPr>
      <w:spacing w:line="360" w:lineRule="auto"/>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5736</Words>
  <Characters>6036</Characters>
  <Lines>13</Lines>
  <Paragraphs>3</Paragraphs>
  <TotalTime>14</TotalTime>
  <ScaleCrop>false</ScaleCrop>
  <LinksUpToDate>false</LinksUpToDate>
  <CharactersWithSpaces>6095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天空</cp:lastModifiedBy>
  <dcterms:modified xsi:type="dcterms:W3CDTF">2026-07-13T03:47:48Z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F2162A6D950F4E3C9AECC1A79D322A11_13</vt:lpwstr>
  </property>
  <property fmtid="{D5CDD505-2E9C-101B-9397-08002B2CF9AE}" pid="4" name="KSOTemplateDocerSaveRecord">
    <vt:lpwstr>eyJoZGlkIjoiYTRiMjI1NTRjYTU0YzUyY2Y5NGVkYmZjOTNkMWE4NWIiLCJ1c2VySWQiOiIxMTU2NzgxMTU1In0=</vt:lpwstr>
  </property>
</Properties>
</file>