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702E28">
      <w:pPr>
        <w:keepNext/>
        <w:keepLines/>
        <w:pageBreakBefore w:val="0"/>
        <w:widowControl w:val="0"/>
        <w:kinsoku/>
        <w:wordWrap/>
        <w:overflowPunct/>
        <w:topLinePunct w:val="0"/>
        <w:autoSpaceDE/>
        <w:autoSpaceDN/>
        <w:bidi w:val="0"/>
        <w:adjustRightInd/>
        <w:snapToGrid/>
        <w:spacing w:line="600" w:lineRule="exact"/>
        <w:ind w:left="420" w:leftChars="200"/>
        <w:jc w:val="center"/>
        <w:textAlignment w:val="auto"/>
        <w:rPr>
          <w:rFonts w:hint="eastAsia" w:ascii="方正小标宋简体" w:hAnsi="方正小标宋简体" w:eastAsia="方正小标宋简体" w:cs="方正小标宋简体"/>
          <w:b/>
          <w:bCs/>
          <w:kern w:val="44"/>
          <w:sz w:val="36"/>
          <w:szCs w:val="36"/>
        </w:rPr>
      </w:pPr>
      <w:bookmarkStart w:id="0" w:name="_Toc344816509"/>
      <w:r>
        <w:rPr>
          <w:rFonts w:hint="eastAsia" w:ascii="方正小标宋简体" w:hAnsi="方正小标宋简体" w:eastAsia="方正小标宋简体" w:cs="方正小标宋简体"/>
          <w:b/>
          <w:bCs/>
          <w:kern w:val="44"/>
          <w:sz w:val="36"/>
          <w:szCs w:val="36"/>
        </w:rPr>
        <w:t>柳州市工人医院采购窜天系统TKA模块测量参数定制开发服务的技术参数要求</w:t>
      </w:r>
    </w:p>
    <w:bookmarkEnd w:id="0"/>
    <w:p w14:paraId="14702E29">
      <w:pPr>
        <w:pStyle w:val="8"/>
        <w:pageBreakBefore w:val="0"/>
        <w:widowControl w:val="0"/>
        <w:numPr>
          <w:ilvl w:val="0"/>
          <w:numId w:val="2"/>
        </w:numPr>
        <w:kinsoku/>
        <w:wordWrap/>
        <w:overflowPunct/>
        <w:topLinePunct w:val="0"/>
        <w:autoSpaceDE/>
        <w:autoSpaceDN/>
        <w:bidi w:val="0"/>
        <w:adjustRightInd/>
        <w:snapToGrid/>
        <w:spacing w:line="600" w:lineRule="exact"/>
        <w:ind w:firstLineChars="0"/>
        <w:textAlignment w:val="auto"/>
        <w:rPr>
          <w:rFonts w:hint="eastAsia" w:ascii="仿宋_GB2312" w:hAnsi="仿宋_GB2312" w:eastAsia="仿宋_GB2312" w:cs="仿宋_GB2312"/>
          <w:sz w:val="30"/>
          <w:szCs w:val="30"/>
        </w:rPr>
      </w:pPr>
      <w:r>
        <w:rPr>
          <w:rFonts w:hint="eastAsia" w:ascii="仿宋_GB2312" w:hAnsi="仿宋_GB2312" w:eastAsia="仿宋_GB2312" w:cs="仿宋_GB2312"/>
          <w:b/>
          <w:sz w:val="30"/>
          <w:szCs w:val="30"/>
        </w:rPr>
        <w:t>项目背景</w:t>
      </w:r>
    </w:p>
    <w:p w14:paraId="14702E2A">
      <w:pPr>
        <w:pStyle w:val="2"/>
        <w:pageBreakBefore w:val="0"/>
        <w:widowControl w:val="0"/>
        <w:kinsoku/>
        <w:wordWrap/>
        <w:overflowPunct/>
        <w:topLinePunct w:val="0"/>
        <w:autoSpaceDE/>
        <w:autoSpaceDN/>
        <w:bidi w:val="0"/>
        <w:adjustRightInd/>
        <w:snapToGrid/>
        <w:spacing w:after="0" w:line="600" w:lineRule="exact"/>
        <w:ind w:firstLine="420"/>
        <w:textAlignment w:val="auto"/>
        <w:rPr>
          <w:rFonts w:hint="eastAsia" w:ascii="仿宋_GB2312" w:hAnsi="仿宋_GB2312" w:eastAsia="仿宋_GB2312" w:cs="仿宋_GB2312"/>
          <w:sz w:val="30"/>
          <w:szCs w:val="30"/>
          <w:lang w:val="en-US"/>
        </w:rPr>
      </w:pPr>
      <w:r>
        <w:rPr>
          <w:rFonts w:hint="eastAsia" w:ascii="仿宋_GB2312" w:hAnsi="仿宋_GB2312" w:eastAsia="仿宋_GB2312" w:cs="仿宋_GB2312"/>
          <w:sz w:val="30"/>
          <w:szCs w:val="30"/>
          <w:lang w:val="en-US"/>
        </w:rPr>
        <w:t>我院</w:t>
      </w:r>
      <w:r>
        <w:rPr>
          <w:rFonts w:hint="eastAsia" w:ascii="仿宋_GB2312" w:hAnsi="仿宋_GB2312" w:eastAsia="仿宋_GB2312" w:cs="仿宋_GB2312"/>
          <w:sz w:val="30"/>
          <w:szCs w:val="30"/>
          <w:lang w:val="en-US" w:eastAsia="zh-CN"/>
        </w:rPr>
        <w:t>现使用的</w:t>
      </w:r>
      <w:r>
        <w:rPr>
          <w:rFonts w:hint="eastAsia" w:ascii="仿宋_GB2312" w:hAnsi="仿宋_GB2312" w:eastAsia="仿宋_GB2312" w:cs="仿宋_GB2312"/>
          <w:sz w:val="30"/>
          <w:szCs w:val="30"/>
          <w:lang w:val="en-US"/>
        </w:rPr>
        <w:t>窜天系统TKA模块报告功能存在短板，缺少术前必需的 4 项下肢关键解剖测量数据，无法满足精准手术规划需求。为适配临床诊疗、提升服务质量，亟需对模块进行定制开发，补充数据生成功能并申请软著。</w:t>
      </w:r>
    </w:p>
    <w:p w14:paraId="14702E2B">
      <w:pPr>
        <w:pStyle w:val="8"/>
        <w:pageBreakBefore w:val="0"/>
        <w:widowControl w:val="0"/>
        <w:numPr>
          <w:ilvl w:val="0"/>
          <w:numId w:val="2"/>
        </w:numPr>
        <w:kinsoku/>
        <w:wordWrap/>
        <w:overflowPunct/>
        <w:topLinePunct w:val="0"/>
        <w:autoSpaceDE/>
        <w:autoSpaceDN/>
        <w:bidi w:val="0"/>
        <w:adjustRightInd/>
        <w:snapToGrid/>
        <w:spacing w:line="600" w:lineRule="exact"/>
        <w:ind w:firstLineChars="0"/>
        <w:textAlignment w:val="auto"/>
        <w:rPr>
          <w:rFonts w:hint="eastAsia" w:ascii="仿宋_GB2312" w:hAnsi="仿宋_GB2312" w:eastAsia="仿宋_GB2312" w:cs="仿宋_GB2312"/>
          <w:b/>
          <w:sz w:val="30"/>
          <w:szCs w:val="30"/>
        </w:rPr>
      </w:pPr>
      <w:r>
        <w:rPr>
          <w:rFonts w:hint="eastAsia" w:ascii="仿宋_GB2312" w:hAnsi="仿宋_GB2312" w:eastAsia="仿宋_GB2312" w:cs="仿宋_GB2312"/>
          <w:b/>
          <w:sz w:val="30"/>
          <w:szCs w:val="30"/>
          <w:lang w:val="en-US" w:eastAsia="zh-CN"/>
        </w:rPr>
        <w:t>服务</w:t>
      </w:r>
      <w:r>
        <w:rPr>
          <w:rFonts w:hint="eastAsia" w:ascii="仿宋_GB2312" w:hAnsi="仿宋_GB2312" w:eastAsia="仿宋_GB2312" w:cs="仿宋_GB2312"/>
          <w:b/>
          <w:sz w:val="30"/>
          <w:szCs w:val="30"/>
        </w:rPr>
        <w:t>内容及要求</w:t>
      </w:r>
    </w:p>
    <w:tbl>
      <w:tblPr>
        <w:tblStyle w:val="6"/>
        <w:tblW w:w="88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4"/>
        <w:gridCol w:w="1166"/>
        <w:gridCol w:w="1522"/>
        <w:gridCol w:w="2141"/>
        <w:gridCol w:w="3369"/>
      </w:tblGrid>
      <w:tr w14:paraId="16380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54" w:type="dxa"/>
            <w:vAlign w:val="center"/>
          </w:tcPr>
          <w:p w14:paraId="492AEBC5">
            <w:pPr>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序号</w:t>
            </w:r>
          </w:p>
        </w:tc>
        <w:tc>
          <w:tcPr>
            <w:tcW w:w="1166" w:type="dxa"/>
            <w:vAlign w:val="center"/>
          </w:tcPr>
          <w:p w14:paraId="0EA3AF93">
            <w:pPr>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名称</w:t>
            </w:r>
          </w:p>
        </w:tc>
        <w:tc>
          <w:tcPr>
            <w:tcW w:w="1522" w:type="dxa"/>
            <w:vAlign w:val="center"/>
          </w:tcPr>
          <w:p w14:paraId="2E0D4849">
            <w:pPr>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模块</w:t>
            </w:r>
          </w:p>
        </w:tc>
        <w:tc>
          <w:tcPr>
            <w:tcW w:w="2141" w:type="dxa"/>
            <w:vAlign w:val="center"/>
          </w:tcPr>
          <w:p w14:paraId="0519EE2F">
            <w:pPr>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功能</w:t>
            </w:r>
          </w:p>
        </w:tc>
        <w:tc>
          <w:tcPr>
            <w:tcW w:w="3369" w:type="dxa"/>
            <w:vAlign w:val="center"/>
          </w:tcPr>
          <w:p w14:paraId="3C4B3964">
            <w:pPr>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详情描述</w:t>
            </w:r>
          </w:p>
        </w:tc>
      </w:tr>
      <w:tr w14:paraId="0322A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4" w:type="dxa"/>
            <w:vMerge w:val="restart"/>
            <w:vAlign w:val="center"/>
          </w:tcPr>
          <w:p w14:paraId="72716300">
            <w:pPr>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1</w:t>
            </w:r>
          </w:p>
        </w:tc>
        <w:tc>
          <w:tcPr>
            <w:tcW w:w="1166" w:type="dxa"/>
            <w:vMerge w:val="restart"/>
            <w:vAlign w:val="center"/>
          </w:tcPr>
          <w:p w14:paraId="1C89BE25">
            <w:pPr>
              <w:pageBreakBefore w:val="0"/>
              <w:widowControl w:val="0"/>
              <w:kinsoku/>
              <w:wordWrap/>
              <w:overflowPunct/>
              <w:topLinePunct w:val="0"/>
              <w:autoSpaceDE/>
              <w:autoSpaceDN/>
              <w:bidi w:val="0"/>
              <w:adjustRightInd/>
              <w:snapToGrid/>
              <w:spacing w:line="600" w:lineRule="exact"/>
              <w:jc w:val="center"/>
              <w:textAlignment w:val="auto"/>
              <w:rPr>
                <w:rFonts w:hint="default" w:ascii="仿宋_GB2312" w:hAnsi="仿宋_GB2312" w:eastAsia="仿宋_GB2312" w:cs="仿宋_GB2312"/>
                <w:color w:val="auto"/>
                <w:sz w:val="30"/>
                <w:szCs w:val="30"/>
                <w:lang w:val="en-US" w:eastAsia="zh-CN"/>
              </w:rPr>
            </w:pPr>
            <w:r>
              <w:rPr>
                <w:rFonts w:hint="eastAsia" w:ascii="仿宋_GB2312" w:hAnsi="仿宋_GB2312" w:eastAsia="仿宋_GB2312" w:cs="仿宋_GB2312"/>
                <w:sz w:val="30"/>
                <w:szCs w:val="30"/>
                <w:lang w:val="en-US"/>
              </w:rPr>
              <w:t>窜天系统TKA模块测量参数定制开发服务</w:t>
            </w:r>
          </w:p>
        </w:tc>
        <w:tc>
          <w:tcPr>
            <w:tcW w:w="1522" w:type="dxa"/>
            <w:vAlign w:val="center"/>
          </w:tcPr>
          <w:p w14:paraId="6DDDADAA">
            <w:pPr>
              <w:pageBreakBefore w:val="0"/>
              <w:widowControl w:val="0"/>
              <w:kinsoku/>
              <w:wordWrap/>
              <w:overflowPunct/>
              <w:topLinePunct w:val="0"/>
              <w:autoSpaceDE/>
              <w:autoSpaceDN/>
              <w:bidi w:val="0"/>
              <w:adjustRightInd/>
              <w:snapToGrid/>
              <w:spacing w:line="600" w:lineRule="exact"/>
              <w:jc w:val="center"/>
              <w:textAlignment w:val="auto"/>
              <w:rPr>
                <w:rFonts w:hint="default"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TKA模块</w:t>
            </w:r>
          </w:p>
        </w:tc>
        <w:tc>
          <w:tcPr>
            <w:tcW w:w="2141" w:type="dxa"/>
            <w:vAlign w:val="center"/>
          </w:tcPr>
          <w:p w14:paraId="1EAD5E15">
            <w:pPr>
              <w:pageBreakBefore w:val="0"/>
              <w:widowControl w:val="0"/>
              <w:kinsoku/>
              <w:wordWrap/>
              <w:overflowPunct/>
              <w:topLinePunct w:val="0"/>
              <w:autoSpaceDE/>
              <w:autoSpaceDN/>
              <w:bidi w:val="0"/>
              <w:adjustRightInd/>
              <w:snapToGrid/>
              <w:spacing w:line="600" w:lineRule="exact"/>
              <w:jc w:val="center"/>
              <w:textAlignment w:val="auto"/>
              <w:rPr>
                <w:rFonts w:hint="default"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rPr>
              <w:t>新增</w:t>
            </w:r>
            <w:r>
              <w:rPr>
                <w:rFonts w:hint="eastAsia" w:ascii="仿宋_GB2312" w:hAnsi="仿宋_GB2312" w:eastAsia="仿宋_GB2312" w:cs="仿宋_GB2312"/>
                <w:color w:val="auto"/>
                <w:sz w:val="30"/>
                <w:szCs w:val="30"/>
                <w:lang w:val="en-US" w:eastAsia="zh-CN"/>
              </w:rPr>
              <w:t>测量数据及报告生成</w:t>
            </w:r>
          </w:p>
        </w:tc>
        <w:tc>
          <w:tcPr>
            <w:tcW w:w="3369" w:type="dxa"/>
            <w:vAlign w:val="center"/>
          </w:tcPr>
          <w:p w14:paraId="616499B9">
            <w:pPr>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髌骨上极上 10cm 大腿周径、股骨头中心至踝穴中心下肢长度、股骨头中心至股骨髁间窝顶点股骨长度、胫骨平台中心至踝穴中心胫骨长度，实现数据自动计算与报告展示</w:t>
            </w:r>
          </w:p>
        </w:tc>
      </w:tr>
      <w:tr w14:paraId="657E6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4" w:type="dxa"/>
            <w:vMerge w:val="continue"/>
            <w:vAlign w:val="center"/>
          </w:tcPr>
          <w:p w14:paraId="125424FF">
            <w:pPr>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color w:val="auto"/>
                <w:sz w:val="30"/>
                <w:szCs w:val="30"/>
              </w:rPr>
            </w:pPr>
          </w:p>
        </w:tc>
        <w:tc>
          <w:tcPr>
            <w:tcW w:w="1166" w:type="dxa"/>
            <w:vMerge w:val="continue"/>
            <w:vAlign w:val="center"/>
          </w:tcPr>
          <w:p w14:paraId="1F985B21">
            <w:pPr>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color w:val="auto"/>
                <w:sz w:val="30"/>
                <w:szCs w:val="30"/>
              </w:rPr>
            </w:pPr>
          </w:p>
        </w:tc>
        <w:tc>
          <w:tcPr>
            <w:tcW w:w="1522" w:type="dxa"/>
            <w:vAlign w:val="center"/>
          </w:tcPr>
          <w:p w14:paraId="58CADE3B">
            <w:pPr>
              <w:pageBreakBefore w:val="0"/>
              <w:widowControl w:val="0"/>
              <w:kinsoku/>
              <w:wordWrap/>
              <w:overflowPunct/>
              <w:topLinePunct w:val="0"/>
              <w:autoSpaceDE/>
              <w:autoSpaceDN/>
              <w:bidi w:val="0"/>
              <w:adjustRightInd/>
              <w:snapToGrid/>
              <w:spacing w:line="600" w:lineRule="exact"/>
              <w:jc w:val="center"/>
              <w:textAlignment w:val="auto"/>
              <w:rPr>
                <w:rFonts w:hint="default"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配套服务</w:t>
            </w:r>
          </w:p>
        </w:tc>
        <w:tc>
          <w:tcPr>
            <w:tcW w:w="2141" w:type="dxa"/>
            <w:vAlign w:val="center"/>
          </w:tcPr>
          <w:p w14:paraId="5D54C1E8">
            <w:pPr>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lang w:val="en-US" w:eastAsia="zh-CN"/>
              </w:rPr>
              <w:t>软件著作权申报</w:t>
            </w:r>
          </w:p>
        </w:tc>
        <w:tc>
          <w:tcPr>
            <w:tcW w:w="3369" w:type="dxa"/>
            <w:vAlign w:val="center"/>
          </w:tcPr>
          <w:p w14:paraId="5A0ADA42">
            <w:pPr>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整理开发文档、技术说明等材料，配合完成软件著作权证书的申请办理</w:t>
            </w:r>
          </w:p>
        </w:tc>
      </w:tr>
    </w:tbl>
    <w:p w14:paraId="14702E9A">
      <w:pPr>
        <w:pStyle w:val="3"/>
        <w:pageBreakBefore w:val="0"/>
        <w:widowControl w:val="0"/>
        <w:numPr>
          <w:ilvl w:val="0"/>
          <w:numId w:val="0"/>
        </w:numPr>
        <w:kinsoku/>
        <w:wordWrap/>
        <w:overflowPunct/>
        <w:topLinePunct w:val="0"/>
        <w:autoSpaceDE/>
        <w:autoSpaceDN/>
        <w:bidi w:val="0"/>
        <w:adjustRightInd/>
        <w:snapToGrid/>
        <w:spacing w:before="0" w:after="0" w:line="600" w:lineRule="exact"/>
        <w:textAlignment w:val="auto"/>
        <w:rPr>
          <w:rFonts w:hint="eastAsia" w:ascii="仿宋_GB2312" w:hAnsi="仿宋_GB2312" w:eastAsia="仿宋_GB2312" w:cs="仿宋_GB2312"/>
          <w:bCs w:val="0"/>
          <w:sz w:val="30"/>
          <w:szCs w:val="30"/>
        </w:rPr>
      </w:pPr>
      <w:r>
        <w:rPr>
          <w:rFonts w:hint="eastAsia" w:ascii="仿宋_GB2312" w:hAnsi="仿宋_GB2312" w:eastAsia="仿宋_GB2312" w:cs="仿宋_GB2312"/>
          <w:bCs w:val="0"/>
          <w:sz w:val="30"/>
          <w:szCs w:val="30"/>
          <w:lang w:val="en-US" w:eastAsia="zh-CN"/>
        </w:rPr>
        <w:t>三</w:t>
      </w:r>
      <w:r>
        <w:rPr>
          <w:rFonts w:hint="eastAsia" w:ascii="仿宋_GB2312" w:hAnsi="仿宋_GB2312" w:eastAsia="仿宋_GB2312" w:cs="仿宋_GB2312"/>
          <w:bCs w:val="0"/>
          <w:sz w:val="30"/>
          <w:szCs w:val="30"/>
        </w:rPr>
        <w:t>、售后服务及其他要求</w:t>
      </w:r>
    </w:p>
    <w:p w14:paraId="14702E9B">
      <w:pPr>
        <w:pageBreakBefore w:val="0"/>
        <w:widowControl w:val="0"/>
        <w:kinsoku/>
        <w:wordWrap/>
        <w:overflowPunct/>
        <w:topLinePunct w:val="0"/>
        <w:autoSpaceDE/>
        <w:autoSpaceDN/>
        <w:bidi w:val="0"/>
        <w:adjustRightInd/>
        <w:snapToGrid/>
        <w:spacing w:line="600" w:lineRule="exact"/>
        <w:ind w:firstLine="42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3</w:t>
      </w:r>
      <w:r>
        <w:rPr>
          <w:rFonts w:hint="eastAsia" w:ascii="仿宋_GB2312" w:hAnsi="仿宋_GB2312" w:eastAsia="仿宋_GB2312" w:cs="仿宋_GB2312"/>
          <w:sz w:val="30"/>
          <w:szCs w:val="30"/>
        </w:rPr>
        <w:t>.1乙方对甲方提供含软件维护</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技术支持服务、系统管理及操作培训</w:t>
      </w:r>
      <w:r>
        <w:rPr>
          <w:rFonts w:hint="eastAsia" w:ascii="仿宋_GB2312" w:hAnsi="仿宋_GB2312" w:eastAsia="仿宋_GB2312" w:cs="仿宋_GB2312"/>
          <w:sz w:val="30"/>
          <w:szCs w:val="30"/>
          <w:lang w:val="en-US" w:eastAsia="zh-CN"/>
        </w:rPr>
        <w:t>的服务</w:t>
      </w:r>
      <w:r>
        <w:rPr>
          <w:rFonts w:hint="eastAsia" w:ascii="仿宋_GB2312" w:hAnsi="仿宋_GB2312" w:eastAsia="仿宋_GB2312" w:cs="仿宋_GB2312"/>
          <w:sz w:val="30"/>
          <w:szCs w:val="30"/>
        </w:rPr>
        <w:t>。</w:t>
      </w:r>
    </w:p>
    <w:p w14:paraId="3BD2329E">
      <w:pPr>
        <w:pageBreakBefore w:val="0"/>
        <w:widowControl w:val="0"/>
        <w:kinsoku/>
        <w:wordWrap/>
        <w:overflowPunct/>
        <w:topLinePunct w:val="0"/>
        <w:autoSpaceDE/>
        <w:autoSpaceDN/>
        <w:bidi w:val="0"/>
        <w:adjustRightInd/>
        <w:snapToGrid/>
        <w:spacing w:line="600" w:lineRule="exact"/>
        <w:ind w:firstLine="420"/>
        <w:jc w:val="lef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3</w:t>
      </w:r>
      <w:r>
        <w:rPr>
          <w:rFonts w:hint="eastAsia" w:ascii="仿宋_GB2312" w:hAnsi="仿宋_GB2312" w:eastAsia="仿宋_GB2312" w:cs="仿宋_GB2312"/>
          <w:sz w:val="30"/>
          <w:szCs w:val="30"/>
        </w:rPr>
        <w:t>.</w:t>
      </w:r>
      <w:r>
        <w:rPr>
          <w:rFonts w:hint="eastAsia" w:ascii="仿宋_GB2312" w:hAnsi="仿宋_GB2312" w:eastAsia="仿宋_GB2312" w:cs="仿宋_GB2312"/>
          <w:sz w:val="30"/>
          <w:szCs w:val="30"/>
          <w:lang w:val="en-US" w:eastAsia="zh-CN"/>
        </w:rPr>
        <w:t>2</w:t>
      </w:r>
      <w:r>
        <w:rPr>
          <w:rFonts w:hint="eastAsia" w:ascii="仿宋_GB2312" w:hAnsi="仿宋_GB2312" w:eastAsia="仿宋_GB2312" w:cs="仿宋_GB2312"/>
          <w:sz w:val="30"/>
          <w:szCs w:val="30"/>
        </w:rPr>
        <w:t>原厂技术人员免费提供售后服务</w:t>
      </w:r>
      <w:r>
        <w:rPr>
          <w:rFonts w:hint="eastAsia" w:ascii="仿宋_GB2312" w:hAnsi="仿宋_GB2312" w:eastAsia="仿宋_GB2312" w:cs="仿宋_GB2312"/>
          <w:sz w:val="30"/>
          <w:szCs w:val="30"/>
          <w:lang w:eastAsia="zh-CN"/>
        </w:rPr>
        <w:t>，包</w:t>
      </w:r>
      <w:r>
        <w:rPr>
          <w:rFonts w:hint="eastAsia" w:ascii="仿宋_GB2312" w:hAnsi="仿宋_GB2312" w:eastAsia="仿宋_GB2312" w:cs="仿宋_GB2312"/>
          <w:sz w:val="30"/>
          <w:szCs w:val="30"/>
        </w:rPr>
        <w:t>含电话支持、现场响应、远程操作、网上客服中心等多种方式服务，应做到7×24小时全天候电话或微信等常用联系方式响应。</w:t>
      </w:r>
      <w:bookmarkStart w:id="1" w:name="_Toc507405798"/>
      <w:r>
        <w:rPr>
          <w:rFonts w:hint="eastAsia" w:ascii="仿宋_GB2312" w:hAnsi="仿宋_GB2312" w:eastAsia="仿宋_GB2312" w:cs="仿宋_GB2312"/>
          <w:sz w:val="30"/>
          <w:szCs w:val="30"/>
        </w:rPr>
        <w:br w:type="textWrapping"/>
      </w:r>
      <w:r>
        <w:rPr>
          <w:rFonts w:hint="eastAsia" w:ascii="仿宋_GB2312" w:hAnsi="仿宋_GB2312" w:eastAsia="仿宋_GB2312" w:cs="仿宋_GB2312"/>
          <w:sz w:val="30"/>
          <w:szCs w:val="30"/>
          <w:lang w:val="en-US" w:eastAsia="zh-CN"/>
        </w:rPr>
        <w:tab/>
      </w:r>
      <w:r>
        <w:rPr>
          <w:rFonts w:hint="eastAsia" w:ascii="仿宋_GB2312" w:hAnsi="仿宋_GB2312" w:eastAsia="仿宋_GB2312" w:cs="仿宋_GB2312"/>
          <w:sz w:val="30"/>
          <w:szCs w:val="30"/>
          <w:lang w:val="en-US" w:eastAsia="zh-CN"/>
        </w:rPr>
        <w:t>3.3 乙方提供原厂技术人员免费定期回访服务，定期通过电话或其他方式访问用户了解产品使用情况及网络安全情况。</w:t>
      </w:r>
    </w:p>
    <w:p w14:paraId="545D6537">
      <w:pPr>
        <w:pStyle w:val="2"/>
        <w:ind w:firstLine="420" w:firstLineChars="0"/>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3.4 培训要求:对甲方使用部门进行软件使用、操作、日常维护等技术培训，所有培训涉及的费用均由乙方承担。</w:t>
      </w:r>
    </w:p>
    <w:p w14:paraId="29860835">
      <w:pPr>
        <w:pStyle w:val="3"/>
        <w:pageBreakBefore w:val="0"/>
        <w:widowControl w:val="0"/>
        <w:numPr>
          <w:ilvl w:val="0"/>
          <w:numId w:val="0"/>
        </w:numPr>
        <w:kinsoku/>
        <w:wordWrap/>
        <w:overflowPunct/>
        <w:topLinePunct w:val="0"/>
        <w:autoSpaceDE/>
        <w:autoSpaceDN/>
        <w:bidi w:val="0"/>
        <w:adjustRightInd/>
        <w:snapToGrid/>
        <w:spacing w:before="0" w:after="0" w:line="600" w:lineRule="exact"/>
        <w:textAlignment w:val="auto"/>
        <w:rPr>
          <w:rFonts w:hint="eastAsia" w:ascii="仿宋_GB2312" w:hAnsi="仿宋_GB2312" w:eastAsia="仿宋_GB2312" w:cs="仿宋_GB2312"/>
          <w:bCs w:val="0"/>
          <w:sz w:val="30"/>
          <w:szCs w:val="30"/>
          <w:lang w:val="en-US" w:eastAsia="zh-CN"/>
        </w:rPr>
      </w:pPr>
      <w:r>
        <w:rPr>
          <w:rFonts w:hint="eastAsia" w:ascii="仿宋_GB2312" w:hAnsi="仿宋_GB2312" w:eastAsia="仿宋_GB2312" w:cs="仿宋_GB2312"/>
          <w:bCs w:val="0"/>
          <w:sz w:val="30"/>
          <w:szCs w:val="30"/>
          <w:lang w:val="en-US" w:eastAsia="zh-CN"/>
        </w:rPr>
        <w:t>四、项目实施要求</w:t>
      </w:r>
    </w:p>
    <w:p w14:paraId="3037B9FF">
      <w:pPr>
        <w:pageBreakBefore w:val="0"/>
        <w:widowControl w:val="0"/>
        <w:kinsoku/>
        <w:wordWrap/>
        <w:overflowPunct/>
        <w:topLinePunct w:val="0"/>
        <w:autoSpaceDE/>
        <w:autoSpaceDN/>
        <w:bidi w:val="0"/>
        <w:adjustRightInd/>
        <w:snapToGrid/>
        <w:spacing w:line="600" w:lineRule="exact"/>
        <w:ind w:firstLine="420"/>
        <w:jc w:val="left"/>
        <w:textAlignment w:val="auto"/>
        <w:rPr>
          <w:rFonts w:hint="default" w:ascii="仿宋_GB2312" w:hAnsi="仿宋_GB2312" w:eastAsia="仿宋_GB2312" w:cs="仿宋_GB2312"/>
          <w:sz w:val="30"/>
          <w:szCs w:val="30"/>
          <w:lang w:val="en-US" w:eastAsia="zh-CN"/>
        </w:rPr>
      </w:pPr>
      <w:r>
        <w:rPr>
          <w:rFonts w:hint="default" w:ascii="仿宋_GB2312" w:hAnsi="仿宋_GB2312" w:eastAsia="仿宋_GB2312" w:cs="仿宋_GB2312"/>
          <w:sz w:val="30"/>
          <w:szCs w:val="30"/>
          <w:lang w:val="en-US" w:eastAsia="zh-CN"/>
        </w:rPr>
        <w:t>4.1实施工期要求：合同签订后，</w:t>
      </w:r>
      <w:r>
        <w:rPr>
          <w:rFonts w:hint="eastAsia" w:ascii="仿宋_GB2312" w:hAnsi="仿宋_GB2312" w:eastAsia="仿宋_GB2312" w:cs="仿宋_GB2312"/>
          <w:sz w:val="30"/>
          <w:szCs w:val="30"/>
          <w:lang w:val="en-US" w:eastAsia="zh-CN"/>
        </w:rPr>
        <w:t>开发服务</w:t>
      </w:r>
      <w:r>
        <w:rPr>
          <w:rFonts w:hint="default" w:ascii="仿宋_GB2312" w:hAnsi="仿宋_GB2312" w:eastAsia="仿宋_GB2312" w:cs="仿宋_GB2312"/>
          <w:sz w:val="30"/>
          <w:szCs w:val="30"/>
          <w:lang w:val="en-US" w:eastAsia="zh-CN"/>
        </w:rPr>
        <w:t>需在45天内完成，请分别列出每个</w:t>
      </w:r>
      <w:r>
        <w:rPr>
          <w:rFonts w:hint="eastAsia" w:ascii="仿宋_GB2312" w:hAnsi="仿宋_GB2312" w:eastAsia="仿宋_GB2312" w:cs="仿宋_GB2312"/>
          <w:sz w:val="30"/>
          <w:szCs w:val="30"/>
          <w:lang w:val="en-US" w:eastAsia="zh-CN"/>
        </w:rPr>
        <w:t>开发服务</w:t>
      </w:r>
      <w:r>
        <w:rPr>
          <w:rFonts w:hint="default" w:ascii="仿宋_GB2312" w:hAnsi="仿宋_GB2312" w:eastAsia="仿宋_GB2312" w:cs="仿宋_GB2312"/>
          <w:sz w:val="30"/>
          <w:szCs w:val="30"/>
          <w:lang w:val="en-US" w:eastAsia="zh-CN"/>
        </w:rPr>
        <w:t>实施的工作计划及周期。</w:t>
      </w:r>
    </w:p>
    <w:p w14:paraId="28C8AB59">
      <w:pPr>
        <w:pageBreakBefore w:val="0"/>
        <w:widowControl w:val="0"/>
        <w:kinsoku/>
        <w:wordWrap/>
        <w:overflowPunct/>
        <w:topLinePunct w:val="0"/>
        <w:autoSpaceDE/>
        <w:autoSpaceDN/>
        <w:bidi w:val="0"/>
        <w:adjustRightInd/>
        <w:snapToGrid/>
        <w:spacing w:line="600" w:lineRule="exact"/>
        <w:ind w:firstLine="420"/>
        <w:jc w:val="left"/>
        <w:textAlignment w:val="auto"/>
        <w:rPr>
          <w:rFonts w:hint="default" w:ascii="仿宋_GB2312" w:hAnsi="仿宋_GB2312" w:eastAsia="仿宋_GB2312" w:cs="仿宋_GB2312"/>
          <w:sz w:val="30"/>
          <w:szCs w:val="30"/>
          <w:lang w:val="en-US" w:eastAsia="zh-CN"/>
        </w:rPr>
      </w:pPr>
      <w:r>
        <w:rPr>
          <w:rFonts w:hint="default" w:ascii="仿宋_GB2312" w:hAnsi="仿宋_GB2312" w:eastAsia="仿宋_GB2312" w:cs="仿宋_GB2312"/>
          <w:sz w:val="30"/>
          <w:szCs w:val="30"/>
          <w:lang w:val="en-US" w:eastAsia="zh-CN"/>
        </w:rPr>
        <w:t>4.</w:t>
      </w:r>
      <w:r>
        <w:rPr>
          <w:rFonts w:hint="eastAsia" w:ascii="仿宋_GB2312" w:hAnsi="仿宋_GB2312" w:eastAsia="仿宋_GB2312" w:cs="仿宋_GB2312"/>
          <w:sz w:val="30"/>
          <w:szCs w:val="30"/>
          <w:lang w:val="en-US" w:eastAsia="zh-CN"/>
        </w:rPr>
        <w:t>2</w:t>
      </w:r>
      <w:r>
        <w:rPr>
          <w:rFonts w:hint="default" w:ascii="仿宋_GB2312" w:hAnsi="仿宋_GB2312" w:eastAsia="仿宋_GB2312" w:cs="仿宋_GB2312"/>
          <w:sz w:val="30"/>
          <w:szCs w:val="30"/>
          <w:lang w:val="en-US" w:eastAsia="zh-CN"/>
        </w:rPr>
        <w:t>因厂商与院方存在对需求理解有差异的可能性，要求所有软件功能需求的响应以院方意见为准。</w:t>
      </w:r>
    </w:p>
    <w:p w14:paraId="21B62768">
      <w:pPr>
        <w:pageBreakBefore w:val="0"/>
        <w:widowControl w:val="0"/>
        <w:kinsoku/>
        <w:wordWrap/>
        <w:overflowPunct/>
        <w:topLinePunct w:val="0"/>
        <w:autoSpaceDE/>
        <w:autoSpaceDN/>
        <w:bidi w:val="0"/>
        <w:adjustRightInd/>
        <w:snapToGrid/>
        <w:spacing w:line="600" w:lineRule="exact"/>
        <w:ind w:firstLine="420"/>
        <w:jc w:val="left"/>
        <w:textAlignment w:val="auto"/>
        <w:rPr>
          <w:rFonts w:hint="default" w:ascii="仿宋_GB2312" w:hAnsi="仿宋_GB2312" w:eastAsia="仿宋_GB2312" w:cs="仿宋_GB2312"/>
          <w:sz w:val="30"/>
          <w:szCs w:val="30"/>
          <w:lang w:val="en-US" w:eastAsia="zh-CN"/>
        </w:rPr>
      </w:pPr>
      <w:r>
        <w:rPr>
          <w:rFonts w:hint="default" w:ascii="仿宋_GB2312" w:hAnsi="仿宋_GB2312" w:eastAsia="仿宋_GB2312" w:cs="仿宋_GB2312"/>
          <w:sz w:val="30"/>
          <w:szCs w:val="30"/>
          <w:lang w:val="en-US" w:eastAsia="zh-CN"/>
        </w:rPr>
        <w:t>4.</w:t>
      </w:r>
      <w:r>
        <w:rPr>
          <w:rFonts w:hint="eastAsia" w:ascii="仿宋_GB2312" w:hAnsi="仿宋_GB2312" w:eastAsia="仿宋_GB2312" w:cs="仿宋_GB2312"/>
          <w:sz w:val="30"/>
          <w:szCs w:val="30"/>
          <w:lang w:val="en-US" w:eastAsia="zh-CN"/>
        </w:rPr>
        <w:t>3</w:t>
      </w:r>
      <w:r>
        <w:rPr>
          <w:rFonts w:hint="default" w:ascii="仿宋_GB2312" w:hAnsi="仿宋_GB2312" w:eastAsia="仿宋_GB2312" w:cs="仿宋_GB2312"/>
          <w:sz w:val="30"/>
          <w:szCs w:val="30"/>
          <w:lang w:val="en-US" w:eastAsia="zh-CN"/>
        </w:rPr>
        <w:t>培训要求：</w:t>
      </w:r>
    </w:p>
    <w:p w14:paraId="38F17AEF">
      <w:pPr>
        <w:pageBreakBefore w:val="0"/>
        <w:widowControl w:val="0"/>
        <w:kinsoku/>
        <w:wordWrap/>
        <w:overflowPunct/>
        <w:topLinePunct w:val="0"/>
        <w:autoSpaceDE/>
        <w:autoSpaceDN/>
        <w:bidi w:val="0"/>
        <w:adjustRightInd/>
        <w:snapToGrid/>
        <w:spacing w:line="600" w:lineRule="exact"/>
        <w:ind w:firstLine="420"/>
        <w:jc w:val="left"/>
        <w:textAlignment w:val="auto"/>
        <w:rPr>
          <w:rFonts w:hint="default" w:ascii="仿宋_GB2312" w:hAnsi="仿宋_GB2312" w:eastAsia="仿宋_GB2312" w:cs="仿宋_GB2312"/>
          <w:sz w:val="30"/>
          <w:szCs w:val="30"/>
          <w:lang w:val="en-US" w:eastAsia="zh-CN"/>
        </w:rPr>
      </w:pPr>
      <w:r>
        <w:rPr>
          <w:rFonts w:hint="default" w:ascii="仿宋_GB2312" w:hAnsi="仿宋_GB2312" w:eastAsia="仿宋_GB2312" w:cs="仿宋_GB2312"/>
          <w:sz w:val="30"/>
          <w:szCs w:val="30"/>
          <w:lang w:val="en-US" w:eastAsia="zh-CN"/>
        </w:rPr>
        <w:t>培训应至少包括但不限于：软硬件系统的安装、部署、维护方法、系统的功能使用培训</w:t>
      </w:r>
      <w:r>
        <w:rPr>
          <w:rFonts w:hint="eastAsia" w:ascii="仿宋_GB2312" w:hAnsi="仿宋_GB2312" w:eastAsia="仿宋_GB2312" w:cs="仿宋_GB2312"/>
          <w:sz w:val="30"/>
          <w:szCs w:val="30"/>
          <w:lang w:val="en-US" w:eastAsia="zh-CN"/>
        </w:rPr>
        <w:t>。</w:t>
      </w:r>
    </w:p>
    <w:p w14:paraId="14702EA0">
      <w:pPr>
        <w:pStyle w:val="2"/>
        <w:pageBreakBefore w:val="0"/>
        <w:widowControl w:val="0"/>
        <w:kinsoku/>
        <w:wordWrap/>
        <w:overflowPunct/>
        <w:topLinePunct w:val="0"/>
        <w:autoSpaceDE/>
        <w:autoSpaceDN/>
        <w:bidi w:val="0"/>
        <w:adjustRightInd/>
        <w:snapToGrid/>
        <w:spacing w:after="0" w:line="600" w:lineRule="exact"/>
        <w:textAlignment w:val="auto"/>
        <w:rPr>
          <w:rFonts w:hint="eastAsia" w:ascii="仿宋_GB2312" w:hAnsi="仿宋_GB2312" w:eastAsia="仿宋_GB2312" w:cs="仿宋_GB2312"/>
          <w:b/>
          <w:bCs/>
          <w:sz w:val="30"/>
          <w:szCs w:val="30"/>
          <w:lang w:val="en-US"/>
        </w:rPr>
      </w:pPr>
      <w:r>
        <w:rPr>
          <w:rFonts w:hint="eastAsia" w:ascii="仿宋_GB2312" w:hAnsi="仿宋_GB2312" w:eastAsia="仿宋_GB2312" w:cs="仿宋_GB2312"/>
          <w:b/>
          <w:bCs/>
          <w:sz w:val="30"/>
          <w:szCs w:val="30"/>
          <w:lang w:val="en-US" w:eastAsia="zh-CN"/>
        </w:rPr>
        <w:t>五</w:t>
      </w:r>
      <w:r>
        <w:rPr>
          <w:rFonts w:hint="eastAsia" w:ascii="仿宋_GB2312" w:hAnsi="仿宋_GB2312" w:eastAsia="仿宋_GB2312" w:cs="仿宋_GB2312"/>
          <w:b/>
          <w:bCs/>
          <w:sz w:val="30"/>
          <w:szCs w:val="30"/>
          <w:lang w:val="en-US"/>
        </w:rPr>
        <w:t>、违约责任</w:t>
      </w:r>
    </w:p>
    <w:p w14:paraId="14702EA1">
      <w:pPr>
        <w:pageBreakBefore w:val="0"/>
        <w:widowControl w:val="0"/>
        <w:kinsoku/>
        <w:wordWrap/>
        <w:overflowPunct/>
        <w:topLinePunct w:val="0"/>
        <w:autoSpaceDE/>
        <w:autoSpaceDN/>
        <w:bidi w:val="0"/>
        <w:adjustRightInd/>
        <w:snapToGrid/>
        <w:spacing w:line="600" w:lineRule="exact"/>
        <w:ind w:firstLine="600" w:firstLineChars="20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5</w:t>
      </w:r>
      <w:r>
        <w:rPr>
          <w:rFonts w:hint="eastAsia" w:ascii="仿宋_GB2312" w:hAnsi="仿宋_GB2312" w:eastAsia="仿宋_GB2312" w:cs="仿宋_GB2312"/>
          <w:sz w:val="30"/>
          <w:szCs w:val="30"/>
        </w:rPr>
        <w:t>.1投标方所提供的</w:t>
      </w:r>
      <w:r>
        <w:rPr>
          <w:rFonts w:hint="eastAsia" w:ascii="仿宋_GB2312" w:hAnsi="仿宋_GB2312" w:eastAsia="仿宋_GB2312" w:cs="仿宋_GB2312"/>
          <w:sz w:val="30"/>
          <w:szCs w:val="30"/>
          <w:lang w:val="en-US" w:eastAsia="zh-CN"/>
        </w:rPr>
        <w:t>服务</w:t>
      </w:r>
      <w:r>
        <w:rPr>
          <w:rFonts w:hint="eastAsia" w:ascii="仿宋_GB2312" w:hAnsi="仿宋_GB2312" w:eastAsia="仿宋_GB2312" w:cs="仿宋_GB2312"/>
          <w:sz w:val="30"/>
          <w:szCs w:val="30"/>
        </w:rPr>
        <w:t>提供的服务未达到合同要求，投标方应向我院支付违约货款额5%违约金并赔偿我院经济损失。</w:t>
      </w:r>
    </w:p>
    <w:p w14:paraId="14702EA2">
      <w:pPr>
        <w:pageBreakBefore w:val="0"/>
        <w:widowControl w:val="0"/>
        <w:kinsoku/>
        <w:wordWrap/>
        <w:overflowPunct/>
        <w:topLinePunct w:val="0"/>
        <w:autoSpaceDE/>
        <w:autoSpaceDN/>
        <w:bidi w:val="0"/>
        <w:adjustRightInd/>
        <w:snapToGrid/>
        <w:spacing w:line="600" w:lineRule="exact"/>
        <w:ind w:firstLine="600" w:firstLineChars="20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5</w:t>
      </w:r>
      <w:r>
        <w:rPr>
          <w:rFonts w:hint="eastAsia" w:ascii="仿宋_GB2312" w:hAnsi="仿宋_GB2312" w:eastAsia="仿宋_GB2312" w:cs="仿宋_GB2312"/>
          <w:sz w:val="30"/>
          <w:szCs w:val="30"/>
        </w:rPr>
        <w:t>.2若投标方提供的产品或软件侵犯了第三方合法权益而引发的任何纠纷或诉讼，均由投标方负责交涉并承担全部责任。</w:t>
      </w:r>
    </w:p>
    <w:p w14:paraId="14702EA8">
      <w:pPr>
        <w:pStyle w:val="2"/>
        <w:pageBreakBefore w:val="0"/>
        <w:widowControl w:val="0"/>
        <w:kinsoku/>
        <w:wordWrap/>
        <w:overflowPunct/>
        <w:topLinePunct w:val="0"/>
        <w:autoSpaceDE/>
        <w:autoSpaceDN/>
        <w:bidi w:val="0"/>
        <w:adjustRightInd/>
        <w:snapToGrid/>
        <w:spacing w:after="0" w:line="600" w:lineRule="exact"/>
        <w:ind w:firstLine="600" w:firstLineChars="200"/>
        <w:textAlignment w:val="auto"/>
        <w:rPr>
          <w:rFonts w:hint="eastAsia" w:ascii="仿宋_GB2312" w:hAnsi="仿宋_GB2312" w:eastAsia="仿宋_GB2312" w:cs="仿宋_GB2312"/>
          <w:sz w:val="30"/>
          <w:szCs w:val="30"/>
          <w:lang w:val="en-US"/>
        </w:rPr>
      </w:pPr>
      <w:r>
        <w:rPr>
          <w:rFonts w:hint="eastAsia" w:ascii="仿宋_GB2312" w:hAnsi="仿宋_GB2312" w:eastAsia="仿宋_GB2312" w:cs="仿宋_GB2312"/>
          <w:sz w:val="30"/>
          <w:szCs w:val="30"/>
          <w:lang w:val="en-US" w:eastAsia="zh-CN"/>
        </w:rPr>
        <w:t>5</w:t>
      </w:r>
      <w:r>
        <w:rPr>
          <w:rFonts w:hint="eastAsia" w:ascii="仿宋_GB2312" w:hAnsi="仿宋_GB2312" w:eastAsia="仿宋_GB2312" w:cs="仿宋_GB2312"/>
          <w:sz w:val="30"/>
          <w:szCs w:val="30"/>
          <w:lang w:val="en-US"/>
        </w:rPr>
        <w:t>.</w:t>
      </w:r>
      <w:r>
        <w:rPr>
          <w:rFonts w:hint="eastAsia" w:ascii="仿宋_GB2312" w:hAnsi="仿宋_GB2312" w:eastAsia="仿宋_GB2312" w:cs="仿宋_GB2312"/>
          <w:sz w:val="30"/>
          <w:szCs w:val="30"/>
          <w:lang w:val="en-US" w:eastAsia="zh-CN"/>
        </w:rPr>
        <w:t>3</w:t>
      </w:r>
      <w:r>
        <w:rPr>
          <w:rFonts w:hint="eastAsia" w:ascii="仿宋_GB2312" w:hAnsi="仿宋_GB2312" w:eastAsia="仿宋_GB2312" w:cs="仿宋_GB2312"/>
          <w:sz w:val="30"/>
          <w:szCs w:val="30"/>
          <w:lang w:val="en-US"/>
        </w:rPr>
        <w:t>任何一方违反本技术要求中“保密、廉洁条款”要求的，应承担相应的违约责任并赔偿由此造成的损失，损失累计金额超过合同款项的5%的，损失方同时有权终止合同并收回已付款项。</w:t>
      </w:r>
    </w:p>
    <w:p w14:paraId="14702EA9">
      <w:pPr>
        <w:pStyle w:val="2"/>
        <w:pageBreakBefore w:val="0"/>
        <w:widowControl w:val="0"/>
        <w:kinsoku/>
        <w:wordWrap/>
        <w:overflowPunct/>
        <w:topLinePunct w:val="0"/>
        <w:autoSpaceDE/>
        <w:autoSpaceDN/>
        <w:bidi w:val="0"/>
        <w:adjustRightInd/>
        <w:snapToGrid/>
        <w:spacing w:after="0" w:line="600" w:lineRule="exact"/>
        <w:ind w:firstLine="600" w:firstLineChars="200"/>
        <w:textAlignment w:val="auto"/>
        <w:rPr>
          <w:rFonts w:hint="eastAsia" w:ascii="仿宋_GB2312" w:hAnsi="仿宋_GB2312" w:eastAsia="仿宋_GB2312" w:cs="仿宋_GB2312"/>
          <w:sz w:val="30"/>
          <w:szCs w:val="30"/>
          <w:lang w:val="en-US"/>
        </w:rPr>
      </w:pPr>
      <w:r>
        <w:rPr>
          <w:rFonts w:hint="eastAsia" w:ascii="仿宋_GB2312" w:hAnsi="仿宋_GB2312" w:eastAsia="仿宋_GB2312" w:cs="仿宋_GB2312"/>
          <w:sz w:val="30"/>
          <w:szCs w:val="30"/>
          <w:lang w:val="en-US" w:eastAsia="zh-CN"/>
        </w:rPr>
        <w:t>5.4</w:t>
      </w:r>
      <w:r>
        <w:rPr>
          <w:rFonts w:hint="eastAsia" w:ascii="仿宋_GB2312" w:hAnsi="仿宋_GB2312" w:eastAsia="仿宋_GB2312" w:cs="仿宋_GB2312"/>
          <w:sz w:val="30"/>
          <w:szCs w:val="30"/>
          <w:lang w:val="en-US"/>
        </w:rPr>
        <w:t>厂商方未按本技术要求和响应文件中规定的其他服务承诺提供售后服务的，按损失情况，每次应按合同合计金额的0.1‰-0.1%由乙方向甲方支付违约金，损失累计金额超过合同款项的5%的，损失方同时有权终止合同并收回已付款项。</w:t>
      </w:r>
    </w:p>
    <w:p w14:paraId="14702EAA">
      <w:pPr>
        <w:pStyle w:val="2"/>
        <w:pageBreakBefore w:val="0"/>
        <w:widowControl w:val="0"/>
        <w:kinsoku/>
        <w:wordWrap/>
        <w:overflowPunct/>
        <w:topLinePunct w:val="0"/>
        <w:autoSpaceDE/>
        <w:autoSpaceDN/>
        <w:bidi w:val="0"/>
        <w:adjustRightInd/>
        <w:snapToGrid/>
        <w:spacing w:after="0" w:line="600" w:lineRule="exact"/>
        <w:ind w:firstLine="600" w:firstLineChars="200"/>
        <w:textAlignment w:val="auto"/>
        <w:rPr>
          <w:rFonts w:hint="eastAsia" w:ascii="仿宋_GB2312" w:hAnsi="仿宋_GB2312" w:eastAsia="仿宋_GB2312" w:cs="仿宋_GB2312"/>
          <w:kern w:val="2"/>
          <w:sz w:val="30"/>
          <w:szCs w:val="30"/>
          <w:lang w:val="en-US"/>
        </w:rPr>
      </w:pPr>
      <w:r>
        <w:rPr>
          <w:rFonts w:hint="eastAsia" w:ascii="仿宋_GB2312" w:hAnsi="仿宋_GB2312" w:eastAsia="仿宋_GB2312" w:cs="仿宋_GB2312"/>
          <w:kern w:val="2"/>
          <w:sz w:val="30"/>
          <w:szCs w:val="30"/>
          <w:lang w:val="en-US" w:eastAsia="zh-CN"/>
        </w:rPr>
        <w:t>5</w:t>
      </w:r>
      <w:r>
        <w:rPr>
          <w:rFonts w:hint="eastAsia" w:ascii="仿宋_GB2312" w:hAnsi="仿宋_GB2312" w:eastAsia="仿宋_GB2312" w:cs="仿宋_GB2312"/>
          <w:kern w:val="2"/>
          <w:sz w:val="30"/>
          <w:szCs w:val="30"/>
          <w:lang w:val="en-US"/>
        </w:rPr>
        <w:t>.</w:t>
      </w:r>
      <w:r>
        <w:rPr>
          <w:rFonts w:hint="eastAsia" w:ascii="仿宋_GB2312" w:hAnsi="仿宋_GB2312" w:eastAsia="仿宋_GB2312" w:cs="仿宋_GB2312"/>
          <w:kern w:val="2"/>
          <w:sz w:val="30"/>
          <w:szCs w:val="30"/>
          <w:lang w:val="en-US" w:eastAsia="zh-CN"/>
        </w:rPr>
        <w:t>5</w:t>
      </w:r>
      <w:r>
        <w:rPr>
          <w:rFonts w:hint="eastAsia" w:ascii="仿宋_GB2312" w:hAnsi="仿宋_GB2312" w:eastAsia="仿宋_GB2312" w:cs="仿宋_GB2312"/>
          <w:kern w:val="2"/>
          <w:sz w:val="30"/>
          <w:szCs w:val="30"/>
          <w:lang w:val="en-US"/>
        </w:rPr>
        <w:t>厂商不得在提供的硬件及软件系统中设置包括且不限于如：软硬件加密狗、加密软件、时间锁、授权码等限制硬件及软件系统正常运行的措施，如有特殊需要必须提交纸质文件说明，经过我院签字同意才可设置，否则视为乙方违约，乙方需要支付医院违约金</w:t>
      </w:r>
      <w:r>
        <w:rPr>
          <w:rFonts w:hint="eastAsia" w:ascii="仿宋_GB2312" w:hAnsi="仿宋_GB2312" w:eastAsia="仿宋_GB2312" w:cs="仿宋_GB2312"/>
          <w:color w:val="auto"/>
          <w:kern w:val="2"/>
          <w:sz w:val="30"/>
          <w:szCs w:val="30"/>
          <w:lang w:val="en-US" w:eastAsia="zh-CN"/>
        </w:rPr>
        <w:t>5</w:t>
      </w:r>
      <w:r>
        <w:rPr>
          <w:rFonts w:hint="eastAsia" w:ascii="仿宋_GB2312" w:hAnsi="仿宋_GB2312" w:eastAsia="仿宋_GB2312" w:cs="仿宋_GB2312"/>
          <w:color w:val="auto"/>
          <w:kern w:val="2"/>
          <w:sz w:val="30"/>
          <w:szCs w:val="30"/>
          <w:lang w:val="en-US"/>
        </w:rPr>
        <w:t>000元（</w:t>
      </w:r>
      <w:r>
        <w:rPr>
          <w:rFonts w:hint="eastAsia" w:ascii="仿宋_GB2312" w:hAnsi="仿宋_GB2312" w:eastAsia="仿宋_GB2312" w:cs="仿宋_GB2312"/>
          <w:color w:val="auto"/>
          <w:kern w:val="2"/>
          <w:sz w:val="30"/>
          <w:szCs w:val="30"/>
          <w:lang w:val="en-US" w:eastAsia="zh-CN"/>
        </w:rPr>
        <w:t>伍仟</w:t>
      </w:r>
      <w:r>
        <w:rPr>
          <w:rFonts w:hint="eastAsia" w:ascii="仿宋_GB2312" w:hAnsi="仿宋_GB2312" w:eastAsia="仿宋_GB2312" w:cs="仿宋_GB2312"/>
          <w:color w:val="auto"/>
          <w:kern w:val="2"/>
          <w:sz w:val="30"/>
          <w:szCs w:val="30"/>
          <w:lang w:val="en-US"/>
        </w:rPr>
        <w:t>元</w:t>
      </w:r>
      <w:r>
        <w:rPr>
          <w:rFonts w:hint="eastAsia" w:ascii="仿宋_GB2312" w:hAnsi="仿宋_GB2312" w:eastAsia="仿宋_GB2312" w:cs="仿宋_GB2312"/>
          <w:kern w:val="2"/>
          <w:sz w:val="30"/>
          <w:szCs w:val="30"/>
          <w:lang w:val="en-US"/>
        </w:rPr>
        <w:t>），在此基础上医院有权要求乙方退回甲方已支付的所有款项。如对医院造成损失的，甲方有权要求乙方赔偿。</w:t>
      </w:r>
    </w:p>
    <w:bookmarkEnd w:id="1"/>
    <w:p w14:paraId="14702EAD">
      <w:pPr>
        <w:pStyle w:val="2"/>
        <w:pageBreakBefore w:val="0"/>
        <w:widowControl w:val="0"/>
        <w:kinsoku/>
        <w:wordWrap/>
        <w:overflowPunct/>
        <w:topLinePunct w:val="0"/>
        <w:autoSpaceDE/>
        <w:autoSpaceDN/>
        <w:bidi w:val="0"/>
        <w:adjustRightInd/>
        <w:snapToGrid/>
        <w:spacing w:after="0" w:line="600" w:lineRule="exact"/>
        <w:textAlignment w:val="auto"/>
        <w:rPr>
          <w:rFonts w:hint="eastAsia" w:ascii="仿宋_GB2312" w:hAnsi="仿宋_GB2312" w:eastAsia="仿宋_GB2312" w:cs="仿宋_GB2312"/>
          <w:b/>
          <w:bCs/>
          <w:sz w:val="30"/>
          <w:szCs w:val="30"/>
          <w:lang w:val="en-US"/>
        </w:rPr>
      </w:pPr>
      <w:bookmarkStart w:id="2" w:name="_Toc507405799"/>
      <w:bookmarkStart w:id="3" w:name="_Toc507405800"/>
      <w:r>
        <w:rPr>
          <w:rFonts w:hint="eastAsia" w:ascii="仿宋_GB2312" w:hAnsi="仿宋_GB2312" w:eastAsia="仿宋_GB2312" w:cs="仿宋_GB2312"/>
          <w:b/>
          <w:bCs/>
          <w:sz w:val="30"/>
          <w:szCs w:val="30"/>
          <w:lang w:val="en-US" w:eastAsia="zh-CN"/>
        </w:rPr>
        <w:t>六</w:t>
      </w:r>
      <w:r>
        <w:rPr>
          <w:rFonts w:hint="eastAsia" w:ascii="仿宋_GB2312" w:hAnsi="仿宋_GB2312" w:eastAsia="仿宋_GB2312" w:cs="仿宋_GB2312"/>
          <w:b/>
          <w:bCs/>
          <w:sz w:val="30"/>
          <w:szCs w:val="30"/>
          <w:lang w:val="en-US"/>
        </w:rPr>
        <w:t>、保密、廉洁协议</w:t>
      </w:r>
    </w:p>
    <w:p w14:paraId="14702EAE">
      <w:pPr>
        <w:pageBreakBefore w:val="0"/>
        <w:widowControl w:val="0"/>
        <w:kinsoku/>
        <w:wordWrap/>
        <w:overflowPunct/>
        <w:topLinePunct w:val="0"/>
        <w:autoSpaceDE/>
        <w:autoSpaceDN/>
        <w:bidi w:val="0"/>
        <w:adjustRightInd/>
        <w:snapToGrid/>
        <w:spacing w:line="600" w:lineRule="exact"/>
        <w:ind w:firstLine="600" w:firstLineChars="20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6</w:t>
      </w:r>
      <w:r>
        <w:rPr>
          <w:rFonts w:hint="eastAsia" w:ascii="仿宋_GB2312" w:hAnsi="仿宋_GB2312" w:eastAsia="仿宋_GB2312" w:cs="仿宋_GB2312"/>
          <w:sz w:val="30"/>
          <w:szCs w:val="30"/>
        </w:rPr>
        <w:t>.1 双方保证对从另一方取得且无法自公开渠道获得的商业秘密(技术信息、经营信息及其他商业秘密)予以保密。未经该商业秘密的提供方同意，一方不得向任何第三方泄露该商业秘密的全部或部分内容，但法律、法规另有规定或双方另有约定的除外。任何一方违反保密义务的，应承担相应的违约责任并赔偿由此造成的损失。</w:t>
      </w:r>
    </w:p>
    <w:p w14:paraId="14702EAF">
      <w:pPr>
        <w:pageBreakBefore w:val="0"/>
        <w:widowControl w:val="0"/>
        <w:kinsoku/>
        <w:wordWrap/>
        <w:overflowPunct/>
        <w:topLinePunct w:val="0"/>
        <w:autoSpaceDE/>
        <w:autoSpaceDN/>
        <w:bidi w:val="0"/>
        <w:adjustRightInd/>
        <w:snapToGrid/>
        <w:spacing w:line="600" w:lineRule="exact"/>
        <w:ind w:firstLine="600" w:firstLineChars="20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6</w:t>
      </w:r>
      <w:r>
        <w:rPr>
          <w:rFonts w:hint="eastAsia" w:ascii="仿宋_GB2312" w:hAnsi="仿宋_GB2312" w:eastAsia="仿宋_GB2312" w:cs="仿宋_GB2312"/>
          <w:sz w:val="30"/>
          <w:szCs w:val="30"/>
        </w:rPr>
        <w:t>.2 双方不得以任何方式向第三方泄露本项目的软件技术、设计方案以及功能配置等内容。</w:t>
      </w:r>
    </w:p>
    <w:p w14:paraId="14702EB0">
      <w:pPr>
        <w:pageBreakBefore w:val="0"/>
        <w:widowControl w:val="0"/>
        <w:kinsoku/>
        <w:wordWrap/>
        <w:overflowPunct/>
        <w:topLinePunct w:val="0"/>
        <w:autoSpaceDE/>
        <w:autoSpaceDN/>
        <w:bidi w:val="0"/>
        <w:adjustRightInd/>
        <w:snapToGrid/>
        <w:spacing w:line="600" w:lineRule="exact"/>
        <w:ind w:firstLine="600" w:firstLineChars="20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6</w:t>
      </w:r>
      <w:r>
        <w:rPr>
          <w:rFonts w:hint="eastAsia" w:ascii="仿宋_GB2312" w:hAnsi="仿宋_GB2312" w:eastAsia="仿宋_GB2312" w:cs="仿宋_GB2312"/>
          <w:sz w:val="30"/>
          <w:szCs w:val="30"/>
        </w:rPr>
        <w:t>.3不以任何方式向第三方泄露在本协议开发实施过程中获取的经济、技术、数据以及双方其他非公开的信息。</w:t>
      </w:r>
    </w:p>
    <w:p w14:paraId="14702EB1">
      <w:pPr>
        <w:pageBreakBefore w:val="0"/>
        <w:widowControl w:val="0"/>
        <w:kinsoku/>
        <w:wordWrap/>
        <w:overflowPunct/>
        <w:topLinePunct w:val="0"/>
        <w:autoSpaceDE/>
        <w:autoSpaceDN/>
        <w:bidi w:val="0"/>
        <w:adjustRightInd/>
        <w:snapToGrid/>
        <w:spacing w:line="600" w:lineRule="exact"/>
        <w:ind w:firstLine="600" w:firstLineChars="20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6</w:t>
      </w:r>
      <w:r>
        <w:rPr>
          <w:rFonts w:hint="eastAsia" w:ascii="仿宋_GB2312" w:hAnsi="仿宋_GB2312" w:eastAsia="仿宋_GB2312" w:cs="仿宋_GB2312"/>
          <w:sz w:val="30"/>
          <w:szCs w:val="30"/>
        </w:rPr>
        <w:t>.4 不从事商业贿赂行为，遵守廉洁协议或相关规定。甲方发现乙方有违反廉洁协议或相关规定采用不正当手段进行不正当竞争行为的，或被有关部门生效文书认定有行贿或者受贿行为的，甲方有权解除该业务合同，由此给甲方造成的损失以及发生的一切费用均由乙方承担，甲方有权对乙方实施商业贿赂不良记录，列入“黑名单”，并三年内取消其业务往来资格。</w:t>
      </w:r>
    </w:p>
    <w:p w14:paraId="14702EB3">
      <w:pPr>
        <w:pageBreakBefore w:val="0"/>
        <w:widowControl w:val="0"/>
        <w:kinsoku/>
        <w:wordWrap/>
        <w:overflowPunct/>
        <w:topLinePunct w:val="0"/>
        <w:autoSpaceDE/>
        <w:autoSpaceDN/>
        <w:bidi w:val="0"/>
        <w:adjustRightInd/>
        <w:snapToGrid/>
        <w:spacing w:line="600" w:lineRule="exact"/>
        <w:ind w:firstLine="600" w:firstLineChars="200"/>
        <w:jc w:val="left"/>
        <w:textAlignment w:val="auto"/>
        <w:rPr>
          <w:rFonts w:hint="eastAsia" w:ascii="仿宋_GB2312" w:hAnsi="仿宋_GB2312" w:eastAsia="仿宋_GB2312" w:cs="仿宋_GB2312"/>
          <w:sz w:val="30"/>
          <w:szCs w:val="30"/>
          <w:lang w:val="en-US"/>
        </w:rPr>
      </w:pPr>
      <w:r>
        <w:rPr>
          <w:rFonts w:hint="eastAsia" w:ascii="仿宋_GB2312" w:hAnsi="仿宋_GB2312" w:eastAsia="仿宋_GB2312" w:cs="仿宋_GB2312"/>
          <w:sz w:val="30"/>
          <w:szCs w:val="30"/>
          <w:lang w:val="en-US" w:eastAsia="zh-CN"/>
        </w:rPr>
        <w:t>6</w:t>
      </w:r>
      <w:r>
        <w:rPr>
          <w:rFonts w:hint="eastAsia" w:ascii="仿宋_GB2312" w:hAnsi="仿宋_GB2312" w:eastAsia="仿宋_GB2312" w:cs="仿宋_GB2312"/>
          <w:sz w:val="30"/>
          <w:szCs w:val="30"/>
        </w:rPr>
        <w:t>.5保密期限自本合同生效之日起永久有效，如乙方需解除保密协议需向甲方提出书面申请，双方协商同意签字确认后方可解除。</w:t>
      </w:r>
    </w:p>
    <w:p w14:paraId="14702EB4">
      <w:pPr>
        <w:pStyle w:val="2"/>
        <w:pageBreakBefore w:val="0"/>
        <w:widowControl w:val="0"/>
        <w:kinsoku/>
        <w:wordWrap/>
        <w:overflowPunct/>
        <w:topLinePunct w:val="0"/>
        <w:autoSpaceDE/>
        <w:autoSpaceDN/>
        <w:bidi w:val="0"/>
        <w:adjustRightInd/>
        <w:snapToGrid/>
        <w:spacing w:after="0" w:line="600" w:lineRule="exact"/>
        <w:textAlignment w:val="auto"/>
        <w:rPr>
          <w:rFonts w:hint="eastAsia" w:ascii="仿宋_GB2312" w:hAnsi="仿宋_GB2312" w:eastAsia="仿宋_GB2312" w:cs="仿宋_GB2312"/>
          <w:b/>
          <w:bCs/>
          <w:sz w:val="30"/>
          <w:szCs w:val="30"/>
          <w:lang w:val="en-US"/>
        </w:rPr>
      </w:pPr>
      <w:r>
        <w:rPr>
          <w:rFonts w:hint="eastAsia" w:ascii="仿宋_GB2312" w:hAnsi="仿宋_GB2312" w:eastAsia="仿宋_GB2312" w:cs="仿宋_GB2312"/>
          <w:b/>
          <w:bCs/>
          <w:sz w:val="30"/>
          <w:szCs w:val="30"/>
          <w:lang w:val="en-US" w:eastAsia="zh-CN"/>
        </w:rPr>
        <w:t>七</w:t>
      </w:r>
      <w:r>
        <w:rPr>
          <w:rFonts w:hint="eastAsia" w:ascii="仿宋_GB2312" w:hAnsi="仿宋_GB2312" w:eastAsia="仿宋_GB2312" w:cs="仿宋_GB2312"/>
          <w:b/>
          <w:bCs/>
          <w:sz w:val="30"/>
          <w:szCs w:val="30"/>
          <w:lang w:val="en-US"/>
        </w:rPr>
        <w:t>、报价</w:t>
      </w:r>
    </w:p>
    <w:p w14:paraId="14702EB6">
      <w:pPr>
        <w:pStyle w:val="2"/>
        <w:pageBreakBefore w:val="0"/>
        <w:widowControl w:val="0"/>
        <w:kinsoku/>
        <w:wordWrap/>
        <w:overflowPunct/>
        <w:topLinePunct w:val="0"/>
        <w:autoSpaceDE/>
        <w:autoSpaceDN/>
        <w:bidi w:val="0"/>
        <w:adjustRightInd/>
        <w:snapToGrid/>
        <w:spacing w:after="0" w:line="60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7</w:t>
      </w:r>
      <w:r>
        <w:rPr>
          <w:rFonts w:hint="eastAsia" w:ascii="仿宋_GB2312" w:hAnsi="仿宋_GB2312" w:eastAsia="仿宋_GB2312" w:cs="仿宋_GB2312"/>
          <w:sz w:val="30"/>
          <w:szCs w:val="30"/>
          <w:lang w:val="en-US"/>
        </w:rPr>
        <w:t>.1</w:t>
      </w:r>
      <w:r>
        <w:rPr>
          <w:rFonts w:hint="eastAsia" w:ascii="仿宋_GB2312" w:hAnsi="仿宋_GB2312" w:eastAsia="仿宋_GB2312" w:cs="仿宋_GB2312"/>
          <w:sz w:val="30"/>
          <w:szCs w:val="30"/>
        </w:rPr>
        <w:t>竞标文件提供技术偏离表、服务偏离表，并标明详细的技术和服务内容。竞标文件按系统模块报价，报价表价格包含产品安装、调试实施、培训费用、产品升级费用等费用，以及明示所有责任、义务和一切风险。</w:t>
      </w:r>
    </w:p>
    <w:p w14:paraId="14702EB9">
      <w:pPr>
        <w:pStyle w:val="3"/>
        <w:pageBreakBefore w:val="0"/>
        <w:widowControl w:val="0"/>
        <w:numPr>
          <w:ilvl w:val="0"/>
          <w:numId w:val="0"/>
        </w:numPr>
        <w:kinsoku/>
        <w:wordWrap/>
        <w:overflowPunct/>
        <w:topLinePunct w:val="0"/>
        <w:autoSpaceDE/>
        <w:autoSpaceDN/>
        <w:bidi w:val="0"/>
        <w:adjustRightInd/>
        <w:snapToGrid/>
        <w:spacing w:before="0" w:after="0" w:line="600" w:lineRule="exact"/>
        <w:textAlignment w:val="auto"/>
        <w:rPr>
          <w:rFonts w:hint="eastAsia" w:ascii="仿宋_GB2312" w:hAnsi="仿宋_GB2312" w:eastAsia="仿宋_GB2312" w:cs="仿宋_GB2312"/>
          <w:bCs w:val="0"/>
          <w:sz w:val="30"/>
          <w:szCs w:val="30"/>
        </w:rPr>
      </w:pPr>
      <w:r>
        <w:rPr>
          <w:rFonts w:hint="eastAsia" w:ascii="仿宋_GB2312" w:hAnsi="仿宋_GB2312" w:eastAsia="仿宋_GB2312" w:cs="仿宋_GB2312"/>
          <w:bCs w:val="0"/>
          <w:sz w:val="30"/>
          <w:szCs w:val="30"/>
          <w:lang w:val="en-US" w:eastAsia="zh-CN"/>
        </w:rPr>
        <w:t>八</w:t>
      </w:r>
      <w:r>
        <w:rPr>
          <w:rFonts w:hint="eastAsia" w:ascii="仿宋_GB2312" w:hAnsi="仿宋_GB2312" w:eastAsia="仿宋_GB2312" w:cs="仿宋_GB2312"/>
          <w:bCs w:val="0"/>
          <w:sz w:val="30"/>
          <w:szCs w:val="30"/>
        </w:rPr>
        <w:t>、付款方式</w:t>
      </w:r>
      <w:bookmarkEnd w:id="2"/>
    </w:p>
    <w:bookmarkEnd w:id="3"/>
    <w:p w14:paraId="37F8DFCF">
      <w:pPr>
        <w:pageBreakBefore w:val="0"/>
        <w:widowControl w:val="0"/>
        <w:kinsoku/>
        <w:wordWrap/>
        <w:overflowPunct/>
        <w:topLinePunct w:val="0"/>
        <w:autoSpaceDE/>
        <w:autoSpaceDN/>
        <w:bidi w:val="0"/>
        <w:adjustRightInd/>
        <w:snapToGrid/>
        <w:spacing w:line="600" w:lineRule="exact"/>
        <w:ind w:firstLine="600" w:firstLineChars="200"/>
        <w:textAlignment w:val="auto"/>
      </w:pPr>
      <w:r>
        <w:rPr>
          <w:rFonts w:hint="eastAsia" w:ascii="仿宋_GB2312" w:hAnsi="仿宋_GB2312" w:eastAsia="仿宋_GB2312" w:cs="仿宋_GB2312"/>
          <w:sz w:val="30"/>
          <w:szCs w:val="30"/>
        </w:rPr>
        <w:t>项目双方签订合同，</w:t>
      </w:r>
      <w:bookmarkStart w:id="4" w:name="_GoBack"/>
      <w:bookmarkEnd w:id="4"/>
      <w:r>
        <w:rPr>
          <w:rFonts w:hint="eastAsia" w:ascii="仿宋_GB2312" w:hAnsi="仿宋_GB2312" w:eastAsia="仿宋_GB2312" w:cs="仿宋_GB2312"/>
          <w:sz w:val="30"/>
          <w:szCs w:val="30"/>
        </w:rPr>
        <w:t>合同中所有</w:t>
      </w:r>
      <w:r>
        <w:rPr>
          <w:rFonts w:hint="eastAsia" w:ascii="仿宋_GB2312" w:hAnsi="仿宋_GB2312" w:eastAsia="仿宋_GB2312" w:cs="仿宋_GB2312"/>
          <w:sz w:val="30"/>
          <w:szCs w:val="30"/>
          <w:lang w:val="en-US" w:eastAsia="zh-CN"/>
        </w:rPr>
        <w:t>服务</w:t>
      </w:r>
      <w:r>
        <w:rPr>
          <w:rFonts w:hint="eastAsia" w:ascii="仿宋_GB2312" w:hAnsi="仿宋_GB2312" w:eastAsia="仿宋_GB2312" w:cs="仿宋_GB2312"/>
          <w:sz w:val="30"/>
          <w:szCs w:val="30"/>
        </w:rPr>
        <w:t>实施完毕，启动项目验收，验收合格后</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乙方开具全额发票</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lang w:val="en-US" w:eastAsia="zh-CN"/>
        </w:rPr>
        <w:t>甲方一次性向乙方支付</w:t>
      </w:r>
      <w:r>
        <w:rPr>
          <w:rFonts w:hint="eastAsia" w:ascii="仿宋_GB2312" w:hAnsi="仿宋_GB2312" w:eastAsia="仿宋_GB2312" w:cs="仿宋_GB2312"/>
          <w:sz w:val="30"/>
          <w:szCs w:val="30"/>
        </w:rPr>
        <w:t>合同款项的</w:t>
      </w:r>
      <w:r>
        <w:rPr>
          <w:rFonts w:hint="eastAsia" w:ascii="仿宋_GB2312" w:hAnsi="仿宋_GB2312" w:eastAsia="仿宋_GB2312" w:cs="仿宋_GB2312"/>
          <w:sz w:val="30"/>
          <w:szCs w:val="30"/>
          <w:lang w:val="en-US" w:eastAsia="zh-CN"/>
        </w:rPr>
        <w:t>100%</w:t>
      </w:r>
      <w:r>
        <w:rPr>
          <w:rFonts w:hint="eastAsia" w:ascii="仿宋_GB2312" w:hAnsi="仿宋_GB2312" w:eastAsia="仿宋_GB2312" w:cs="仿宋_GB2312"/>
          <w:sz w:val="30"/>
          <w:szCs w:val="30"/>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D84B87"/>
    <w:multiLevelType w:val="multilevel"/>
    <w:tmpl w:val="14D84B87"/>
    <w:lvl w:ilvl="0" w:tentative="0">
      <w:start w:val="1"/>
      <w:numFmt w:val="chineseCountingThousand"/>
      <w:pStyle w:val="3"/>
      <w:lvlText w:val="%1"/>
      <w:lvlJc w:val="left"/>
      <w:pPr>
        <w:ind w:left="425" w:hanging="425"/>
      </w:pPr>
      <w:rPr>
        <w:rFonts w:hint="eastAsia"/>
      </w:rPr>
    </w:lvl>
    <w:lvl w:ilvl="1" w:tentative="0">
      <w:start w:val="1"/>
      <w:numFmt w:val="chineseCountingThousand"/>
      <w:lvlText w:val="(%2)"/>
      <w:lvlJc w:val="left"/>
      <w:pPr>
        <w:ind w:left="850" w:hanging="567"/>
      </w:pPr>
      <w:rPr>
        <w:rFonts w:hint="eastAsia"/>
      </w:rPr>
    </w:lvl>
    <w:lvl w:ilvl="2" w:tentative="0">
      <w:start w:val="1"/>
      <w:numFmt w:val="decimal"/>
      <w:lvlText w:val="%3."/>
      <w:lvlJc w:val="left"/>
      <w:pPr>
        <w:ind w:left="1356" w:hanging="567"/>
      </w:pPr>
      <w:rPr>
        <w:rFonts w:hint="eastAsia"/>
      </w:rPr>
    </w:lvl>
    <w:lvl w:ilvl="3" w:tentative="0">
      <w:start w:val="1"/>
      <w:numFmt w:val="decimal"/>
      <w:isLgl/>
      <w:lvlText w:val="%1.%2.%3.%4"/>
      <w:lvlJc w:val="left"/>
      <w:pPr>
        <w:ind w:left="1984" w:hanging="708"/>
      </w:pPr>
      <w:rPr>
        <w:rFonts w:hint="eastAsia"/>
      </w:rPr>
    </w:lvl>
    <w:lvl w:ilvl="4" w:tentative="0">
      <w:start w:val="1"/>
      <w:numFmt w:val="decimal"/>
      <w:isLgl/>
      <w:lvlText w:val="%1.%2.%3.%4.%5"/>
      <w:lvlJc w:val="left"/>
      <w:pPr>
        <w:ind w:left="2551" w:hanging="850"/>
      </w:pPr>
      <w:rPr>
        <w:rFonts w:hint="eastAsia"/>
      </w:rPr>
    </w:lvl>
    <w:lvl w:ilvl="5" w:tentative="0">
      <w:start w:val="1"/>
      <w:numFmt w:val="decimal"/>
      <w:isLgl/>
      <w:lvlText w:val="%1.%2.%3.%4.%5.%6"/>
      <w:lvlJc w:val="left"/>
      <w:pPr>
        <w:ind w:left="3260" w:hanging="1134"/>
      </w:pPr>
      <w:rPr>
        <w:rFonts w:hint="eastAsia"/>
      </w:rPr>
    </w:lvl>
    <w:lvl w:ilvl="6" w:tentative="0">
      <w:start w:val="1"/>
      <w:numFmt w:val="decimal"/>
      <w:isLgl/>
      <w:lvlText w:val="%1.%2.%3.%4.%5.%6.%7"/>
      <w:lvlJc w:val="left"/>
      <w:pPr>
        <w:ind w:left="3827" w:hanging="1276"/>
      </w:pPr>
      <w:rPr>
        <w:rFonts w:hint="eastAsia"/>
      </w:rPr>
    </w:lvl>
    <w:lvl w:ilvl="7" w:tentative="0">
      <w:start w:val="1"/>
      <w:numFmt w:val="decimal"/>
      <w:isLgl/>
      <w:lvlText w:val="%1.%2.%3.%4.%5.%6.%7.%8"/>
      <w:lvlJc w:val="left"/>
      <w:pPr>
        <w:ind w:left="4394" w:hanging="1418"/>
      </w:pPr>
      <w:rPr>
        <w:rFonts w:hint="eastAsia"/>
      </w:rPr>
    </w:lvl>
    <w:lvl w:ilvl="8" w:tentative="0">
      <w:start w:val="1"/>
      <w:numFmt w:val="decimal"/>
      <w:isLgl/>
      <w:lvlText w:val="%1.%2.%3.%4.%5.%6.%7.%8.%9"/>
      <w:lvlJc w:val="left"/>
      <w:pPr>
        <w:ind w:left="5102" w:hanging="1700"/>
      </w:pPr>
      <w:rPr>
        <w:rFonts w:hint="eastAsia"/>
      </w:rPr>
    </w:lvl>
  </w:abstractNum>
  <w:abstractNum w:abstractNumId="1">
    <w:nsid w:val="23EC5C6F"/>
    <w:multiLevelType w:val="multilevel"/>
    <w:tmpl w:val="23EC5C6F"/>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F27441"/>
    <w:rsid w:val="01213882"/>
    <w:rsid w:val="018B7BC6"/>
    <w:rsid w:val="04073203"/>
    <w:rsid w:val="041B6CAE"/>
    <w:rsid w:val="04844854"/>
    <w:rsid w:val="048E715A"/>
    <w:rsid w:val="05034AA5"/>
    <w:rsid w:val="050B4F93"/>
    <w:rsid w:val="05322871"/>
    <w:rsid w:val="056F73C4"/>
    <w:rsid w:val="071D4ED9"/>
    <w:rsid w:val="07711E01"/>
    <w:rsid w:val="09063A89"/>
    <w:rsid w:val="099A5DD9"/>
    <w:rsid w:val="09FB568B"/>
    <w:rsid w:val="0A115D4C"/>
    <w:rsid w:val="0A1165D8"/>
    <w:rsid w:val="0B3D4484"/>
    <w:rsid w:val="0D311CBA"/>
    <w:rsid w:val="0D4C1C87"/>
    <w:rsid w:val="0D8062CF"/>
    <w:rsid w:val="0E4D5A58"/>
    <w:rsid w:val="0EF97BEC"/>
    <w:rsid w:val="105552F6"/>
    <w:rsid w:val="11B57423"/>
    <w:rsid w:val="12DF6A87"/>
    <w:rsid w:val="132A7F13"/>
    <w:rsid w:val="133D454B"/>
    <w:rsid w:val="138B5DD7"/>
    <w:rsid w:val="13AD63F3"/>
    <w:rsid w:val="14495172"/>
    <w:rsid w:val="1461426A"/>
    <w:rsid w:val="15440659"/>
    <w:rsid w:val="15702DAD"/>
    <w:rsid w:val="157D66F5"/>
    <w:rsid w:val="1583719E"/>
    <w:rsid w:val="15B91E83"/>
    <w:rsid w:val="18760C43"/>
    <w:rsid w:val="189270E7"/>
    <w:rsid w:val="18D76EF3"/>
    <w:rsid w:val="1A7A7E33"/>
    <w:rsid w:val="1A9829AF"/>
    <w:rsid w:val="1B4B27EC"/>
    <w:rsid w:val="1BCB41D7"/>
    <w:rsid w:val="1C4E77C9"/>
    <w:rsid w:val="1E4E521C"/>
    <w:rsid w:val="1E850E0C"/>
    <w:rsid w:val="1EDE3B19"/>
    <w:rsid w:val="1EE44195"/>
    <w:rsid w:val="1F3D58D3"/>
    <w:rsid w:val="1F5644EA"/>
    <w:rsid w:val="20DE6C42"/>
    <w:rsid w:val="2181419D"/>
    <w:rsid w:val="21C434AD"/>
    <w:rsid w:val="22325319"/>
    <w:rsid w:val="22C667F9"/>
    <w:rsid w:val="241624FB"/>
    <w:rsid w:val="24504F9C"/>
    <w:rsid w:val="24882976"/>
    <w:rsid w:val="24BE3012"/>
    <w:rsid w:val="255A78DA"/>
    <w:rsid w:val="25653B47"/>
    <w:rsid w:val="259F3EF0"/>
    <w:rsid w:val="25AE6883"/>
    <w:rsid w:val="29121B7F"/>
    <w:rsid w:val="2A834AE2"/>
    <w:rsid w:val="2A9F0F97"/>
    <w:rsid w:val="2BE7622A"/>
    <w:rsid w:val="2C5801F0"/>
    <w:rsid w:val="2CD17022"/>
    <w:rsid w:val="2D872B3B"/>
    <w:rsid w:val="2E045F3A"/>
    <w:rsid w:val="2E9B2706"/>
    <w:rsid w:val="2EA944D2"/>
    <w:rsid w:val="2ECA3355"/>
    <w:rsid w:val="2F4920C0"/>
    <w:rsid w:val="2FBE65BC"/>
    <w:rsid w:val="322A1E2D"/>
    <w:rsid w:val="335D2C02"/>
    <w:rsid w:val="33734FB2"/>
    <w:rsid w:val="34A301BF"/>
    <w:rsid w:val="34CF45B8"/>
    <w:rsid w:val="35A6162C"/>
    <w:rsid w:val="37C226B4"/>
    <w:rsid w:val="383A044D"/>
    <w:rsid w:val="38A2244C"/>
    <w:rsid w:val="38F117B0"/>
    <w:rsid w:val="3A0D26BE"/>
    <w:rsid w:val="3A127C30"/>
    <w:rsid w:val="3A913177"/>
    <w:rsid w:val="3AF831B7"/>
    <w:rsid w:val="3C7E335B"/>
    <w:rsid w:val="3D81408C"/>
    <w:rsid w:val="3E860224"/>
    <w:rsid w:val="3F402B4A"/>
    <w:rsid w:val="3FB51BAD"/>
    <w:rsid w:val="3FEB6F5A"/>
    <w:rsid w:val="41F30347"/>
    <w:rsid w:val="420662CD"/>
    <w:rsid w:val="42716A3C"/>
    <w:rsid w:val="42AB0C22"/>
    <w:rsid w:val="434B26CB"/>
    <w:rsid w:val="4427077C"/>
    <w:rsid w:val="451E56DB"/>
    <w:rsid w:val="45505AB1"/>
    <w:rsid w:val="455455A1"/>
    <w:rsid w:val="459C4F2F"/>
    <w:rsid w:val="45A51959"/>
    <w:rsid w:val="45A858ED"/>
    <w:rsid w:val="464B2C73"/>
    <w:rsid w:val="469C5730"/>
    <w:rsid w:val="48EA304A"/>
    <w:rsid w:val="49D61A36"/>
    <w:rsid w:val="4AA956FA"/>
    <w:rsid w:val="4AD23FBA"/>
    <w:rsid w:val="4B1B7E87"/>
    <w:rsid w:val="4BA257C5"/>
    <w:rsid w:val="4BA45DBB"/>
    <w:rsid w:val="4C162F74"/>
    <w:rsid w:val="4C3D6D8F"/>
    <w:rsid w:val="4D60283F"/>
    <w:rsid w:val="4ED16A53"/>
    <w:rsid w:val="4EFD01D6"/>
    <w:rsid w:val="4F411D33"/>
    <w:rsid w:val="4F4246BC"/>
    <w:rsid w:val="535763DF"/>
    <w:rsid w:val="541C3C19"/>
    <w:rsid w:val="553C395C"/>
    <w:rsid w:val="55A75279"/>
    <w:rsid w:val="56102B52"/>
    <w:rsid w:val="57BB331D"/>
    <w:rsid w:val="57D460CD"/>
    <w:rsid w:val="580D1F08"/>
    <w:rsid w:val="5937711B"/>
    <w:rsid w:val="5B514BC9"/>
    <w:rsid w:val="5B7E4D37"/>
    <w:rsid w:val="5BA863FD"/>
    <w:rsid w:val="5C34538D"/>
    <w:rsid w:val="5C3A6E47"/>
    <w:rsid w:val="5D267DAB"/>
    <w:rsid w:val="5DDB2B96"/>
    <w:rsid w:val="5E2F036C"/>
    <w:rsid w:val="5E782572"/>
    <w:rsid w:val="5E7E2FB5"/>
    <w:rsid w:val="60567FC7"/>
    <w:rsid w:val="612C30DB"/>
    <w:rsid w:val="622D678C"/>
    <w:rsid w:val="625807E9"/>
    <w:rsid w:val="62C07765"/>
    <w:rsid w:val="63FE5F4D"/>
    <w:rsid w:val="643E324C"/>
    <w:rsid w:val="64FE478A"/>
    <w:rsid w:val="66304E17"/>
    <w:rsid w:val="666845B1"/>
    <w:rsid w:val="67CC581F"/>
    <w:rsid w:val="698F23B5"/>
    <w:rsid w:val="69B0084D"/>
    <w:rsid w:val="6AE4295C"/>
    <w:rsid w:val="6B2B5474"/>
    <w:rsid w:val="6C4E5B53"/>
    <w:rsid w:val="6CBD4F2A"/>
    <w:rsid w:val="6CE44417"/>
    <w:rsid w:val="6DB13D15"/>
    <w:rsid w:val="6EB760D5"/>
    <w:rsid w:val="6F92269E"/>
    <w:rsid w:val="6F976BAF"/>
    <w:rsid w:val="6FC13D25"/>
    <w:rsid w:val="6FEA4288"/>
    <w:rsid w:val="70136361"/>
    <w:rsid w:val="72897D89"/>
    <w:rsid w:val="73353C08"/>
    <w:rsid w:val="75C01524"/>
    <w:rsid w:val="763A3FE7"/>
    <w:rsid w:val="777D6759"/>
    <w:rsid w:val="77AC1BC4"/>
    <w:rsid w:val="781E25CB"/>
    <w:rsid w:val="7874624B"/>
    <w:rsid w:val="796B625E"/>
    <w:rsid w:val="7AEA7905"/>
    <w:rsid w:val="7BD55DED"/>
    <w:rsid w:val="7C7962EB"/>
    <w:rsid w:val="7D6F401F"/>
    <w:rsid w:val="7D71658F"/>
    <w:rsid w:val="7F6556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9"/>
    <w:pPr>
      <w:keepNext/>
      <w:keepLines/>
      <w:numPr>
        <w:ilvl w:val="0"/>
        <w:numId w:val="1"/>
      </w:numPr>
      <w:spacing w:before="340" w:after="330" w:line="578" w:lineRule="auto"/>
      <w:outlineLvl w:val="0"/>
    </w:pPr>
    <w:rPr>
      <w:b/>
      <w:bCs/>
      <w:kern w:val="44"/>
      <w:sz w:val="44"/>
      <w:szCs w:val="44"/>
    </w:rPr>
  </w:style>
  <w:style w:type="paragraph" w:styleId="4">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rPr>
      <w:rFonts w:ascii="Times New Roman" w:hAnsi="Times New Roman"/>
      <w:kern w:val="0"/>
      <w:sz w:val="20"/>
      <w:szCs w:val="24"/>
      <w:lang w:val="zh-CN"/>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1743</Words>
  <Characters>1807</Characters>
  <Lines>0</Lines>
  <Paragraphs>0</Paragraphs>
  <TotalTime>1</TotalTime>
  <ScaleCrop>false</ScaleCrop>
  <LinksUpToDate>false</LinksUpToDate>
  <CharactersWithSpaces>1817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2026-03-19T03:27:00Z</dcterms:created>
  <dc:creator>Administrator</dc:creator>
  <cp:lastModifiedBy>不为什么</cp:lastModifiedBy>
  <dcterms:modified xsi:type="dcterms:W3CDTF">2026-06-08T03:47:41Z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eyJoZGlkIjoiYmRlNGQ1ZjU3MjI2Mjc5OGQyNmEwZjVkN2FlOTUyMGQiLCJ1c2VySWQiOiI4MjU2MjIwOTUifQ==</vt:lpwstr>
  </property>
  <property fmtid="{D5CDD505-2E9C-101B-9397-08002B2CF9AE}" pid="4" name="ICV">
    <vt:lpwstr>D150BE0B8B6348B4A85E3C870FBFAD79_12</vt:lpwstr>
  </property>
</Properties>
</file>