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702E28">
      <w:pPr>
        <w:keepNext/>
        <w:keepLines/>
        <w:spacing w:line="312" w:lineRule="auto"/>
        <w:ind w:left="420" w:leftChars="200"/>
        <w:jc w:val="center"/>
        <w:rPr>
          <w:rFonts w:hint="eastAsia" w:ascii="宋体" w:hAnsi="宋体" w:eastAsia="宋体" w:cs="微软雅黑"/>
          <w:b/>
          <w:bCs/>
          <w:kern w:val="44"/>
          <w:sz w:val="24"/>
          <w:szCs w:val="24"/>
        </w:rPr>
      </w:pPr>
      <w:bookmarkStart w:id="0" w:name="_Toc344816509"/>
      <w:r>
        <w:rPr>
          <w:rFonts w:hint="eastAsia" w:ascii="宋体" w:hAnsi="宋体" w:eastAsia="宋体" w:cs="微软雅黑"/>
          <w:b/>
          <w:bCs/>
          <w:kern w:val="44"/>
          <w:sz w:val="30"/>
          <w:szCs w:val="30"/>
        </w:rPr>
        <w:t>柳州市工人医院</w:t>
      </w:r>
      <w:bookmarkStart w:id="4" w:name="_GoBack"/>
      <w:bookmarkEnd w:id="4"/>
      <w:r>
        <w:rPr>
          <w:rFonts w:hint="eastAsia" w:ascii="宋体" w:hAnsi="宋体" w:eastAsia="宋体" w:cs="微软雅黑"/>
          <w:b/>
          <w:bCs/>
          <w:kern w:val="44"/>
          <w:sz w:val="30"/>
          <w:szCs w:val="30"/>
        </w:rPr>
        <w:t>人工智能放疗计划参数预测模型探索与应用</w:t>
      </w:r>
      <w:r>
        <w:rPr>
          <w:rFonts w:hint="eastAsia" w:ascii="宋体" w:hAnsi="宋体" w:eastAsia="宋体" w:cs="微软雅黑"/>
          <w:b/>
          <w:bCs/>
          <w:kern w:val="44"/>
          <w:sz w:val="30"/>
          <w:szCs w:val="30"/>
          <w:lang w:val="en-US" w:eastAsia="zh-CN"/>
        </w:rPr>
        <w:t>系统</w:t>
      </w:r>
      <w:r>
        <w:rPr>
          <w:rFonts w:hint="eastAsia" w:ascii="宋体" w:hAnsi="宋体" w:eastAsia="宋体" w:cs="微软雅黑"/>
          <w:b/>
          <w:bCs/>
          <w:kern w:val="44"/>
          <w:sz w:val="30"/>
          <w:szCs w:val="30"/>
        </w:rPr>
        <w:t>的技术参数</w:t>
      </w:r>
    </w:p>
    <w:bookmarkEnd w:id="0"/>
    <w:p w14:paraId="14702E29">
      <w:pPr>
        <w:pStyle w:val="10"/>
        <w:numPr>
          <w:ilvl w:val="0"/>
          <w:numId w:val="2"/>
        </w:numPr>
        <w:spacing w:line="312" w:lineRule="auto"/>
        <w:ind w:firstLineChars="0"/>
        <w:rPr>
          <w:rFonts w:hint="eastAsia" w:ascii="仿宋_GB2312" w:hAnsi="仿宋_GB2312" w:eastAsia="仿宋_GB2312" w:cs="仿宋_GB2312"/>
          <w:sz w:val="24"/>
          <w:szCs w:val="24"/>
        </w:rPr>
      </w:pPr>
      <w:r>
        <w:rPr>
          <w:rFonts w:hint="eastAsia" w:ascii="仿宋_GB2312" w:hAnsi="仿宋_GB2312" w:eastAsia="仿宋_GB2312" w:cs="仿宋_GB2312"/>
          <w:b/>
          <w:sz w:val="28"/>
          <w:szCs w:val="28"/>
        </w:rPr>
        <w:t>项目背景</w:t>
      </w:r>
    </w:p>
    <w:p w14:paraId="14702E2A">
      <w:pPr>
        <w:pStyle w:val="2"/>
        <w:spacing w:after="0" w:line="312" w:lineRule="auto"/>
        <w:ind w:firstLine="420"/>
        <w:rPr>
          <w:rFonts w:hint="eastAsia" w:ascii="仿宋_GB2312" w:hAnsi="仿宋_GB2312" w:eastAsia="仿宋_GB2312" w:cs="仿宋_GB2312"/>
          <w:sz w:val="24"/>
          <w:lang w:val="en-US"/>
        </w:rPr>
      </w:pPr>
      <w:r>
        <w:rPr>
          <w:rFonts w:hint="eastAsia" w:ascii="仿宋_GB2312" w:hAnsi="仿宋_GB2312" w:eastAsia="仿宋_GB2312" w:cs="仿宋_GB2312"/>
          <w:sz w:val="24"/>
          <w:lang w:val="en-US"/>
        </w:rPr>
        <w:t>前放疗计划设计存在标准化程度低、工作效率不足、过度依赖个人经验、技术发展不均衡等突出问题，严重影响临床诊疗质量与科室发展。目前不同物理师、不同时段设计的放疗计划质量差异较大，造成靶区剂量、危及器官受量控制不稳定，存在临床治疗风险；常规IMRT/VMAT计划设计耗时6-8小时，复杂病例耗时更长，不仅延长患者等待时间、降低医疗资源利用率，也加重物理师工作负荷，易诱发人为质量问题。同时，放疗计划质量高度依赖资深人员经验，新老员工技术差距明显，新人培养周期长达2-3年，优质临床经验难以固化传承，叠加新技术学习提升不均衡的问题，制约了科室规范化、均衡化发展。随着精准放疗技术快速发展，传统经验型计划设计模式已无法满足临床高质量诊疗需求。为此，本项目依托大数据智能分析技术，构建放疗计划参数智能预测模型，可有效整合沉淀科室临床经验，实现放疗计划标准化、规范化设计，大幅提升工作效率、降低经验依赖、缩短人才培养周期，既能切实解决临床痛点、稳定放疗治疗质量，也有助于打造科室特色技术优势、提升专科核心竞争力与学术影响力，助力国家级重点专科建设。</w:t>
      </w:r>
    </w:p>
    <w:p w14:paraId="14702E2B">
      <w:pPr>
        <w:pStyle w:val="10"/>
        <w:numPr>
          <w:ilvl w:val="0"/>
          <w:numId w:val="2"/>
        </w:numPr>
        <w:spacing w:line="312" w:lineRule="auto"/>
        <w:ind w:firstLineChars="0"/>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项目建设内容及要求</w:t>
      </w:r>
    </w:p>
    <w:tbl>
      <w:tblPr>
        <w:tblStyle w:val="8"/>
        <w:tblW w:w="88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4"/>
        <w:gridCol w:w="1354"/>
        <w:gridCol w:w="1047"/>
        <w:gridCol w:w="2005"/>
        <w:gridCol w:w="3792"/>
      </w:tblGrid>
      <w:tr w14:paraId="16380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4" w:type="dxa"/>
            <w:vAlign w:val="center"/>
          </w:tcPr>
          <w:p w14:paraId="492AEBC5">
            <w:pPr>
              <w:spacing w:line="312" w:lineRule="auto"/>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序号</w:t>
            </w:r>
          </w:p>
        </w:tc>
        <w:tc>
          <w:tcPr>
            <w:tcW w:w="1354" w:type="dxa"/>
            <w:vAlign w:val="center"/>
          </w:tcPr>
          <w:p w14:paraId="0EA3AF93">
            <w:pPr>
              <w:spacing w:line="312" w:lineRule="auto"/>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名称</w:t>
            </w:r>
          </w:p>
        </w:tc>
        <w:tc>
          <w:tcPr>
            <w:tcW w:w="1047" w:type="dxa"/>
            <w:vAlign w:val="center"/>
          </w:tcPr>
          <w:p w14:paraId="3893470F">
            <w:pPr>
              <w:spacing w:line="312" w:lineRule="auto"/>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模块</w:t>
            </w:r>
          </w:p>
        </w:tc>
        <w:tc>
          <w:tcPr>
            <w:tcW w:w="2005" w:type="dxa"/>
            <w:vAlign w:val="center"/>
          </w:tcPr>
          <w:p w14:paraId="0519EE2F">
            <w:pPr>
              <w:spacing w:line="312" w:lineRule="auto"/>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功能</w:t>
            </w:r>
          </w:p>
        </w:tc>
        <w:tc>
          <w:tcPr>
            <w:tcW w:w="3792" w:type="dxa"/>
            <w:vAlign w:val="center"/>
          </w:tcPr>
          <w:p w14:paraId="4ED32B7C">
            <w:pPr>
              <w:spacing w:line="312" w:lineRule="auto"/>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详情描述</w:t>
            </w:r>
          </w:p>
        </w:tc>
      </w:tr>
      <w:tr w14:paraId="0322A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4" w:type="dxa"/>
            <w:vAlign w:val="center"/>
          </w:tcPr>
          <w:p w14:paraId="62DE947A">
            <w:pPr>
              <w:spacing w:line="312" w:lineRule="auto"/>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1</w:t>
            </w:r>
          </w:p>
        </w:tc>
        <w:tc>
          <w:tcPr>
            <w:tcW w:w="1354" w:type="dxa"/>
            <w:vAlign w:val="center"/>
          </w:tcPr>
          <w:p w14:paraId="0FF302EF">
            <w:pPr>
              <w:spacing w:line="312" w:lineRule="auto"/>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放疗计划数据库建设</w:t>
            </w:r>
          </w:p>
        </w:tc>
        <w:tc>
          <w:tcPr>
            <w:tcW w:w="1047" w:type="dxa"/>
            <w:vAlign w:val="center"/>
          </w:tcPr>
          <w:p w14:paraId="78C452E7">
            <w:pPr>
              <w:spacing w:line="312" w:lineRule="auto"/>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数据建设模块</w:t>
            </w:r>
          </w:p>
        </w:tc>
        <w:tc>
          <w:tcPr>
            <w:tcW w:w="2005" w:type="dxa"/>
            <w:vAlign w:val="center"/>
          </w:tcPr>
          <w:p w14:paraId="1EAD5E15">
            <w:pPr>
              <w:spacing w:line="312" w:lineRule="auto"/>
              <w:jc w:val="left"/>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标准化放疗数据采集、清洗、质控与存储管理，病种数据库搭建与扩展</w:t>
            </w:r>
          </w:p>
        </w:tc>
        <w:tc>
          <w:tcPr>
            <w:tcW w:w="3792" w:type="dxa"/>
            <w:vAlign w:val="center"/>
          </w:tcPr>
          <w:p w14:paraId="7BFF1056">
            <w:pPr>
              <w:spacing w:line="312" w:lineRule="auto"/>
              <w:jc w:val="both"/>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采集CT影像、RTSTRUCT、RTPLAN、RTDOSE、DVH及计划评价等放疗核心数据，建立标准化的数据采集、清洗、质控流程。首期建设乳腺癌放疗数据库，后续拓展肺癌、鼻咽癌等实体肿瘤病种；建成不少于600例高质量放疗数据库，覆盖头颈、胸、腹盆腔肿瘤，搭建DICOM RT标准化数据管理体系，支持病种快速扩展。</w:t>
            </w:r>
          </w:p>
        </w:tc>
      </w:tr>
      <w:tr w14:paraId="04A1E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4" w:type="dxa"/>
            <w:vAlign w:val="center"/>
          </w:tcPr>
          <w:p w14:paraId="199A5D68">
            <w:pPr>
              <w:spacing w:line="312" w:lineRule="auto"/>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2</w:t>
            </w:r>
          </w:p>
        </w:tc>
        <w:tc>
          <w:tcPr>
            <w:tcW w:w="1354" w:type="dxa"/>
            <w:vAlign w:val="center"/>
          </w:tcPr>
          <w:p w14:paraId="51FE29C9">
            <w:pPr>
              <w:spacing w:line="312" w:lineRule="auto"/>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放疗计划参数预测模型建设</w:t>
            </w:r>
          </w:p>
        </w:tc>
        <w:tc>
          <w:tcPr>
            <w:tcW w:w="1047" w:type="dxa"/>
            <w:vAlign w:val="center"/>
          </w:tcPr>
          <w:p w14:paraId="1E95D70B">
            <w:pPr>
              <w:spacing w:line="312" w:lineRule="auto"/>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智能预测技术模块</w:t>
            </w:r>
          </w:p>
        </w:tc>
        <w:tc>
          <w:tcPr>
            <w:tcW w:w="2005" w:type="dxa"/>
            <w:vAlign w:val="center"/>
          </w:tcPr>
          <w:p w14:paraId="75677E5C">
            <w:pPr>
              <w:spacing w:line="312" w:lineRule="auto"/>
              <w:jc w:val="left"/>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基于高质量历史数据，实现放疗关键参数、剂量指标智能预测与优化参数推荐、临床辅助决策</w:t>
            </w:r>
          </w:p>
        </w:tc>
        <w:tc>
          <w:tcPr>
            <w:tcW w:w="3792" w:type="dxa"/>
            <w:vAlign w:val="center"/>
          </w:tcPr>
          <w:p w14:paraId="1E67868F">
            <w:pPr>
              <w:spacing w:line="312" w:lineRule="auto"/>
              <w:jc w:val="both"/>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基于高质量历史放疗数据训练智能预测模型，可预测靶区、危及器官剂量学指标及DVH关键参数，智能推荐优化目标参数，生成个体化计划参数方案，为临床放疗计划制定提供辅助决策。关键剂量学指标预测平均相对误差≤10%。</w:t>
            </w:r>
          </w:p>
        </w:tc>
      </w:tr>
      <w:tr w14:paraId="54504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4" w:type="dxa"/>
            <w:vAlign w:val="center"/>
          </w:tcPr>
          <w:p w14:paraId="14825758">
            <w:pPr>
              <w:spacing w:line="312" w:lineRule="auto"/>
              <w:jc w:val="center"/>
              <w:rPr>
                <w:rFonts w:hint="eastAsia" w:ascii="仿宋_GB2312" w:hAnsi="仿宋_GB2312" w:eastAsia="仿宋_GB2312" w:cs="仿宋_GB2312"/>
                <w:color w:val="auto"/>
                <w:szCs w:val="21"/>
                <w:lang w:val="en-US" w:eastAsia="zh-CN"/>
              </w:rPr>
            </w:pPr>
            <w:r>
              <w:rPr>
                <w:rFonts w:hint="eastAsia" w:ascii="仿宋_GB2312" w:hAnsi="仿宋_GB2312" w:eastAsia="仿宋_GB2312" w:cs="仿宋_GB2312"/>
                <w:color w:val="auto"/>
                <w:szCs w:val="21"/>
                <w:lang w:val="en-US" w:eastAsia="zh-CN"/>
              </w:rPr>
              <w:t>3</w:t>
            </w:r>
          </w:p>
        </w:tc>
        <w:tc>
          <w:tcPr>
            <w:tcW w:w="1354" w:type="dxa"/>
            <w:vAlign w:val="center"/>
          </w:tcPr>
          <w:p w14:paraId="4EF738A7">
            <w:pPr>
              <w:spacing w:line="312" w:lineRule="auto"/>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计划质量评价系统建设</w:t>
            </w:r>
          </w:p>
        </w:tc>
        <w:tc>
          <w:tcPr>
            <w:tcW w:w="1047" w:type="dxa"/>
            <w:vAlign w:val="center"/>
          </w:tcPr>
          <w:p w14:paraId="52BD3F58">
            <w:pPr>
              <w:spacing w:line="312" w:lineRule="auto"/>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智能评价技术模块</w:t>
            </w:r>
          </w:p>
        </w:tc>
        <w:tc>
          <w:tcPr>
            <w:tcW w:w="2005" w:type="dxa"/>
            <w:vAlign w:val="center"/>
          </w:tcPr>
          <w:p w14:paraId="75FD7242">
            <w:pPr>
              <w:spacing w:line="312" w:lineRule="auto"/>
              <w:jc w:val="left"/>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构建智能放疗计划评价体系，实现计划质量自动分析、评分、风险提示与可视化展示</w:t>
            </w:r>
          </w:p>
        </w:tc>
        <w:tc>
          <w:tcPr>
            <w:tcW w:w="3792" w:type="dxa"/>
            <w:vAlign w:val="center"/>
          </w:tcPr>
          <w:p w14:paraId="721A031C">
            <w:pPr>
              <w:spacing w:line="312" w:lineRule="auto"/>
              <w:jc w:val="both"/>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搭建放疗计划智能评价体系，支持靶区覆盖、危及器官受量、适形度（CI）、剂量均匀性（HI）多维度评价，可自动完成计划综合评分、风险提示及优化建议输出，实现评价结果可视化展示。有效提升计划质量一致性30%以上，计划一次通过率提升20%以上。</w:t>
            </w:r>
          </w:p>
        </w:tc>
      </w:tr>
      <w:tr w14:paraId="3B770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4" w:type="dxa"/>
            <w:vAlign w:val="center"/>
          </w:tcPr>
          <w:p w14:paraId="0E212CB3">
            <w:pPr>
              <w:spacing w:line="312" w:lineRule="auto"/>
              <w:jc w:val="center"/>
              <w:rPr>
                <w:rFonts w:hint="eastAsia" w:ascii="仿宋_GB2312" w:hAnsi="仿宋_GB2312" w:eastAsia="仿宋_GB2312" w:cs="仿宋_GB2312"/>
                <w:color w:val="auto"/>
                <w:szCs w:val="21"/>
                <w:lang w:val="en-US" w:eastAsia="zh-CN"/>
              </w:rPr>
            </w:pPr>
            <w:r>
              <w:rPr>
                <w:rFonts w:hint="eastAsia" w:ascii="仿宋_GB2312" w:hAnsi="仿宋_GB2312" w:eastAsia="仿宋_GB2312" w:cs="仿宋_GB2312"/>
                <w:color w:val="auto"/>
                <w:szCs w:val="21"/>
                <w:lang w:val="en-US" w:eastAsia="zh-CN"/>
              </w:rPr>
              <w:t>4</w:t>
            </w:r>
          </w:p>
        </w:tc>
        <w:tc>
          <w:tcPr>
            <w:tcW w:w="1354" w:type="dxa"/>
            <w:vAlign w:val="center"/>
          </w:tcPr>
          <w:p w14:paraId="1F5A0F5B">
            <w:pPr>
              <w:spacing w:line="312" w:lineRule="auto"/>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TPS辅助接口建设</w:t>
            </w:r>
          </w:p>
          <w:p w14:paraId="618F3394">
            <w:pPr>
              <w:spacing w:line="312" w:lineRule="auto"/>
              <w:jc w:val="center"/>
              <w:rPr>
                <w:rFonts w:hint="eastAsia" w:ascii="仿宋_GB2312" w:hAnsi="仿宋_GB2312" w:eastAsia="仿宋_GB2312" w:cs="仿宋_GB2312"/>
                <w:color w:val="auto"/>
                <w:szCs w:val="21"/>
              </w:rPr>
            </w:pPr>
          </w:p>
        </w:tc>
        <w:tc>
          <w:tcPr>
            <w:tcW w:w="1047" w:type="dxa"/>
            <w:vAlign w:val="center"/>
          </w:tcPr>
          <w:p w14:paraId="289889D6">
            <w:pPr>
              <w:spacing w:line="312" w:lineRule="auto"/>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数据交互模块</w:t>
            </w:r>
          </w:p>
        </w:tc>
        <w:tc>
          <w:tcPr>
            <w:tcW w:w="2005" w:type="dxa"/>
            <w:vAlign w:val="center"/>
          </w:tcPr>
          <w:p w14:paraId="7CDEDCAC">
            <w:pPr>
              <w:spacing w:line="312" w:lineRule="auto"/>
              <w:jc w:val="left"/>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对接现有TPS系统，实现标准数据解析、读取、提取与参数输出，完成数据交互管理</w:t>
            </w:r>
          </w:p>
        </w:tc>
        <w:tc>
          <w:tcPr>
            <w:tcW w:w="3792" w:type="dxa"/>
            <w:vAlign w:val="center"/>
          </w:tcPr>
          <w:p w14:paraId="1DCDFF39">
            <w:pPr>
              <w:spacing w:line="312" w:lineRule="auto"/>
              <w:jc w:val="both"/>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数据交互模块</w:t>
            </w:r>
            <w:r>
              <w:rPr>
                <w:rFonts w:hint="eastAsia" w:ascii="仿宋_GB2312" w:hAnsi="仿宋_GB2312" w:eastAsia="仿宋_GB2312" w:cs="仿宋_GB2312"/>
                <w:color w:val="auto"/>
                <w:szCs w:val="21"/>
              </w:rPr>
              <w:tab/>
            </w:r>
            <w:r>
              <w:rPr>
                <w:rFonts w:hint="eastAsia" w:ascii="仿宋_GB2312" w:hAnsi="仿宋_GB2312" w:eastAsia="仿宋_GB2312" w:cs="仿宋_GB2312"/>
                <w:color w:val="auto"/>
                <w:szCs w:val="21"/>
              </w:rPr>
              <w:t>对接现有TPS系统，实现标准数据解析、读取、提取与参数输出，完成数据交互管理，TPS调用外部工作站算力</w:t>
            </w:r>
            <w:r>
              <w:rPr>
                <w:rFonts w:hint="eastAsia" w:ascii="仿宋_GB2312" w:hAnsi="仿宋_GB2312" w:eastAsia="仿宋_GB2312" w:cs="仿宋_GB2312"/>
                <w:color w:val="auto"/>
                <w:szCs w:val="21"/>
              </w:rPr>
              <w:tab/>
            </w:r>
            <w:r>
              <w:rPr>
                <w:rFonts w:hint="eastAsia" w:ascii="仿宋_GB2312" w:hAnsi="仿宋_GB2312" w:eastAsia="仿宋_GB2312" w:cs="仿宋_GB2312"/>
                <w:color w:val="auto"/>
                <w:szCs w:val="21"/>
              </w:rPr>
              <w:t>搭建TPS系统数据交互接口，支持DICOM RT标准数据解析、RTSTRUCT、RTPLAN、RTDOSE数据读取与计划参数自动提取，可输出优化参数建议，配套接口管理能力，保障系统数据互通。仅提供辅助分析与参数推荐功能，不生成临床计划、不替代人工临床决策。TPS调用外部工作站算力加速放疗计划计算。</w:t>
            </w:r>
          </w:p>
        </w:tc>
      </w:tr>
      <w:tr w14:paraId="25A6D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4" w:type="dxa"/>
            <w:vAlign w:val="center"/>
          </w:tcPr>
          <w:p w14:paraId="682EF991">
            <w:pPr>
              <w:spacing w:line="312" w:lineRule="auto"/>
              <w:jc w:val="center"/>
              <w:rPr>
                <w:rFonts w:hint="eastAsia" w:ascii="仿宋_GB2312" w:hAnsi="仿宋_GB2312" w:eastAsia="仿宋_GB2312" w:cs="仿宋_GB2312"/>
                <w:color w:val="auto"/>
                <w:szCs w:val="21"/>
                <w:lang w:val="en-US" w:eastAsia="zh-CN"/>
              </w:rPr>
            </w:pPr>
            <w:r>
              <w:rPr>
                <w:rFonts w:hint="eastAsia" w:ascii="仿宋_GB2312" w:hAnsi="仿宋_GB2312" w:eastAsia="仿宋_GB2312" w:cs="仿宋_GB2312"/>
                <w:color w:val="auto"/>
                <w:szCs w:val="21"/>
                <w:lang w:val="en-US" w:eastAsia="zh-CN"/>
              </w:rPr>
              <w:t>5</w:t>
            </w:r>
          </w:p>
        </w:tc>
        <w:tc>
          <w:tcPr>
            <w:tcW w:w="1354" w:type="dxa"/>
            <w:vAlign w:val="center"/>
          </w:tcPr>
          <w:p w14:paraId="5BE31B05">
            <w:pPr>
              <w:spacing w:line="312" w:lineRule="auto"/>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Web化放疗计划智能辅助应用平台建设</w:t>
            </w:r>
          </w:p>
        </w:tc>
        <w:tc>
          <w:tcPr>
            <w:tcW w:w="1047" w:type="dxa"/>
            <w:vAlign w:val="center"/>
          </w:tcPr>
          <w:p w14:paraId="07F1788F">
            <w:pPr>
              <w:spacing w:line="312" w:lineRule="auto"/>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综合应用模块</w:t>
            </w:r>
          </w:p>
        </w:tc>
        <w:tc>
          <w:tcPr>
            <w:tcW w:w="2005" w:type="dxa"/>
            <w:vAlign w:val="center"/>
          </w:tcPr>
          <w:p w14:paraId="13C1505F">
            <w:pPr>
              <w:spacing w:line="312" w:lineRule="auto"/>
              <w:jc w:val="left"/>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集成病例、数据、模型调用、预测评价、统计分析等全流程功能，支撑临床落地应用</w:t>
            </w:r>
          </w:p>
        </w:tc>
        <w:tc>
          <w:tcPr>
            <w:tcW w:w="3792" w:type="dxa"/>
            <w:vAlign w:val="center"/>
          </w:tcPr>
          <w:p w14:paraId="12A71EB6">
            <w:pPr>
              <w:spacing w:line="312" w:lineRule="auto"/>
              <w:jc w:val="both"/>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搭建Web端智能辅助平台，集成病例管理、数据管理、模型调用、参数预测、质量评价、结果展示、数据统计全流程功能。可完成100例以上临床验证，年服务患者≥300例，培养3-5名AI放疗技术骨干，形成标准化操作流程。实现参数推荐≤10分钟、计划设计时长缩短50%以上、优化迭代次数减少20%以上。</w:t>
            </w:r>
          </w:p>
        </w:tc>
      </w:tr>
      <w:tr w14:paraId="18088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4" w:type="dxa"/>
            <w:vAlign w:val="center"/>
          </w:tcPr>
          <w:p w14:paraId="1AF3C897">
            <w:pPr>
              <w:spacing w:line="312" w:lineRule="auto"/>
              <w:jc w:val="center"/>
              <w:rPr>
                <w:rFonts w:hint="default" w:ascii="仿宋_GB2312" w:hAnsi="仿宋_GB2312" w:eastAsia="仿宋_GB2312" w:cs="仿宋_GB2312"/>
                <w:color w:val="auto"/>
                <w:szCs w:val="21"/>
                <w:lang w:val="en-US" w:eastAsia="zh-CN"/>
              </w:rPr>
            </w:pPr>
            <w:r>
              <w:rPr>
                <w:rFonts w:hint="eastAsia" w:ascii="仿宋_GB2312" w:hAnsi="仿宋_GB2312" w:eastAsia="仿宋_GB2312" w:cs="仿宋_GB2312"/>
                <w:color w:val="auto"/>
                <w:szCs w:val="21"/>
                <w:lang w:val="en-US" w:eastAsia="zh-CN"/>
              </w:rPr>
              <w:t>6</w:t>
            </w:r>
          </w:p>
        </w:tc>
        <w:tc>
          <w:tcPr>
            <w:tcW w:w="1354" w:type="dxa"/>
            <w:vAlign w:val="center"/>
          </w:tcPr>
          <w:p w14:paraId="2415D487">
            <w:pPr>
              <w:spacing w:line="312" w:lineRule="auto"/>
              <w:jc w:val="center"/>
              <w:rPr>
                <w:rFonts w:hint="default" w:ascii="仿宋_GB2312" w:hAnsi="仿宋_GB2312" w:eastAsia="仿宋_GB2312" w:cs="仿宋_GB2312"/>
                <w:color w:val="auto"/>
                <w:szCs w:val="21"/>
                <w:lang w:val="en-US" w:eastAsia="zh-CN"/>
              </w:rPr>
            </w:pPr>
            <w:r>
              <w:rPr>
                <w:rFonts w:hint="eastAsia" w:ascii="仿宋_GB2312" w:hAnsi="仿宋_GB2312" w:eastAsia="仿宋_GB2312" w:cs="仿宋_GB2312"/>
                <w:color w:val="auto"/>
                <w:szCs w:val="21"/>
                <w:lang w:val="en-US" w:eastAsia="zh-CN"/>
              </w:rPr>
              <w:t>其他</w:t>
            </w:r>
          </w:p>
        </w:tc>
        <w:tc>
          <w:tcPr>
            <w:tcW w:w="1047" w:type="dxa"/>
            <w:vAlign w:val="center"/>
          </w:tcPr>
          <w:p w14:paraId="7F3AB19C">
            <w:pPr>
              <w:spacing w:line="312" w:lineRule="auto"/>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lang w:val="en-US" w:eastAsia="zh-CN"/>
              </w:rPr>
              <w:t>配套服务</w:t>
            </w:r>
          </w:p>
        </w:tc>
        <w:tc>
          <w:tcPr>
            <w:tcW w:w="2005" w:type="dxa"/>
            <w:shd w:val="clear" w:color="auto" w:fill="auto"/>
            <w:vAlign w:val="center"/>
          </w:tcPr>
          <w:p w14:paraId="50CB55F5">
            <w:pPr>
              <w:spacing w:line="312" w:lineRule="auto"/>
              <w:jc w:val="both"/>
              <w:rPr>
                <w:rFonts w:hint="eastAsia" w:ascii="仿宋_GB2312" w:hAnsi="仿宋_GB2312" w:eastAsia="仿宋_GB2312" w:cs="仿宋_GB2312"/>
                <w:color w:val="auto"/>
                <w:szCs w:val="21"/>
                <w:lang w:val="en-US" w:eastAsia="zh-CN"/>
              </w:rPr>
            </w:pPr>
            <w:r>
              <w:rPr>
                <w:rFonts w:hint="eastAsia" w:ascii="仿宋_GB2312" w:hAnsi="仿宋_GB2312" w:eastAsia="仿宋_GB2312" w:cs="仿宋_GB2312"/>
                <w:color w:val="auto"/>
                <w:szCs w:val="21"/>
                <w:lang w:val="en-US" w:eastAsia="zh-CN"/>
              </w:rPr>
              <w:t>软件著作权申报</w:t>
            </w:r>
          </w:p>
        </w:tc>
        <w:tc>
          <w:tcPr>
            <w:tcW w:w="3792" w:type="dxa"/>
            <w:shd w:val="clear" w:color="auto" w:fill="auto"/>
            <w:vAlign w:val="center"/>
          </w:tcPr>
          <w:p w14:paraId="4EEF4820">
            <w:pPr>
              <w:spacing w:line="312" w:lineRule="auto"/>
              <w:jc w:val="both"/>
              <w:rPr>
                <w:rFonts w:hint="eastAsia" w:ascii="仿宋_GB2312" w:hAnsi="仿宋_GB2312" w:eastAsia="仿宋_GB2312" w:cs="仿宋_GB2312"/>
                <w:color w:val="auto"/>
                <w:szCs w:val="21"/>
                <w:lang w:val="en-US" w:eastAsia="zh-CN"/>
              </w:rPr>
            </w:pPr>
            <w:r>
              <w:rPr>
                <w:rFonts w:hint="eastAsia" w:ascii="仿宋_GB2312" w:hAnsi="仿宋_GB2312" w:eastAsia="仿宋_GB2312" w:cs="仿宋_GB2312"/>
                <w:color w:val="auto"/>
                <w:szCs w:val="21"/>
              </w:rPr>
              <w:t>整理开发文档、技术说明等材料，配合完成</w:t>
            </w:r>
            <w:r>
              <w:rPr>
                <w:rFonts w:hint="eastAsia" w:ascii="仿宋_GB2312" w:hAnsi="仿宋_GB2312" w:eastAsia="仿宋_GB2312" w:cs="仿宋_GB2312"/>
                <w:color w:val="auto"/>
                <w:szCs w:val="21"/>
                <w:lang w:val="en-US" w:eastAsia="zh-CN"/>
              </w:rPr>
              <w:t>2项</w:t>
            </w:r>
            <w:r>
              <w:rPr>
                <w:rFonts w:hint="eastAsia" w:ascii="仿宋_GB2312" w:hAnsi="仿宋_GB2312" w:eastAsia="仿宋_GB2312" w:cs="仿宋_GB2312"/>
                <w:color w:val="auto"/>
                <w:szCs w:val="21"/>
              </w:rPr>
              <w:t>软件著作权证书的申请办理</w:t>
            </w:r>
          </w:p>
        </w:tc>
      </w:tr>
    </w:tbl>
    <w:p w14:paraId="20C0C57A">
      <w:pPr>
        <w:rPr>
          <w:rFonts w:hint="eastAsia" w:ascii="仿宋_GB2312" w:hAnsi="仿宋_GB2312" w:eastAsia="仿宋_GB2312" w:cs="仿宋_GB2312"/>
          <w:b/>
          <w:color w:val="000000"/>
          <w:sz w:val="24"/>
          <w:szCs w:val="24"/>
        </w:rPr>
      </w:pPr>
    </w:p>
    <w:p w14:paraId="14702E87">
      <w:pPr>
        <w:pStyle w:val="2"/>
        <w:spacing w:after="0" w:line="312" w:lineRule="auto"/>
        <w:rPr>
          <w:rFonts w:hint="eastAsia" w:ascii="仿宋_GB2312" w:hAnsi="仿宋_GB2312" w:eastAsia="仿宋_GB2312" w:cs="仿宋_GB2312"/>
          <w:lang w:val="en-US"/>
        </w:rPr>
      </w:pPr>
    </w:p>
    <w:p w14:paraId="14702E88">
      <w:pPr>
        <w:pStyle w:val="2"/>
        <w:spacing w:after="0" w:line="312" w:lineRule="auto"/>
        <w:rPr>
          <w:rFonts w:hint="eastAsia" w:ascii="仿宋_GB2312" w:hAnsi="仿宋_GB2312" w:eastAsia="仿宋_GB2312" w:cs="仿宋_GB2312"/>
          <w:b/>
          <w:bCs/>
          <w:sz w:val="28"/>
          <w:lang w:val="en-US"/>
        </w:rPr>
      </w:pPr>
      <w:r>
        <w:rPr>
          <w:rFonts w:hint="eastAsia" w:ascii="仿宋_GB2312" w:hAnsi="仿宋_GB2312" w:eastAsia="仿宋_GB2312" w:cs="仿宋_GB2312"/>
          <w:b/>
          <w:bCs/>
          <w:sz w:val="28"/>
          <w:lang w:val="en-US"/>
        </w:rPr>
        <w:t>三、对接口及系统改造的要求</w:t>
      </w:r>
    </w:p>
    <w:p w14:paraId="14702E89">
      <w:pPr>
        <w:spacing w:line="312" w:lineRule="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ab/>
      </w:r>
      <w:r>
        <w:rPr>
          <w:rFonts w:hint="eastAsia" w:ascii="仿宋_GB2312" w:hAnsi="仿宋_GB2312" w:eastAsia="仿宋_GB2312" w:cs="仿宋_GB2312"/>
          <w:b/>
          <w:bCs/>
          <w:sz w:val="24"/>
          <w:szCs w:val="24"/>
        </w:rPr>
        <w:t>质保期和维保期内免费实现以下要求：</w:t>
      </w:r>
    </w:p>
    <w:p w14:paraId="14702E8B">
      <w:pPr>
        <w:pStyle w:val="2"/>
        <w:spacing w:after="0" w:line="312" w:lineRule="auto"/>
        <w:ind w:firstLine="420"/>
        <w:rPr>
          <w:rFonts w:hint="eastAsia" w:ascii="仿宋_GB2312" w:hAnsi="仿宋_GB2312" w:eastAsia="仿宋_GB2312" w:cs="仿宋_GB2312"/>
          <w:color w:val="000000" w:themeColor="text1"/>
          <w:sz w:val="24"/>
          <w:lang w:val="en-US"/>
          <w14:textFill>
            <w14:solidFill>
              <w14:schemeClr w14:val="tx1"/>
            </w14:solidFill>
          </w14:textFill>
        </w:rPr>
      </w:pPr>
      <w:r>
        <w:rPr>
          <w:rFonts w:hint="eastAsia" w:ascii="仿宋_GB2312" w:hAnsi="仿宋_GB2312" w:eastAsia="仿宋_GB2312" w:cs="仿宋_GB2312"/>
          <w:sz w:val="24"/>
          <w:lang w:val="en-US"/>
        </w:rPr>
        <w:t>3.1提供全面的接口技术，与第三方系统共享数据和功能，这些接口技术包括中间件技术接口、WEBSEVICE通用接口、数据库级接口、文件文本接口等。</w:t>
      </w:r>
    </w:p>
    <w:p w14:paraId="14702E8C">
      <w:pPr>
        <w:pStyle w:val="2"/>
        <w:spacing w:after="0" w:line="312" w:lineRule="auto"/>
        <w:ind w:firstLine="420"/>
        <w:rPr>
          <w:rFonts w:hint="eastAsia" w:ascii="仿宋_GB2312" w:hAnsi="仿宋_GB2312" w:eastAsia="仿宋_GB2312" w:cs="仿宋_GB2312"/>
          <w:sz w:val="24"/>
          <w:lang w:val="en-US"/>
        </w:rPr>
      </w:pPr>
      <w:r>
        <w:rPr>
          <w:rFonts w:hint="eastAsia" w:ascii="仿宋_GB2312" w:hAnsi="仿宋_GB2312" w:eastAsia="仿宋_GB2312" w:cs="仿宋_GB2312"/>
          <w:sz w:val="24"/>
          <w:lang w:val="en-US"/>
        </w:rPr>
        <w:t>3.</w:t>
      </w:r>
      <w:r>
        <w:rPr>
          <w:rFonts w:hint="eastAsia" w:ascii="仿宋_GB2312" w:hAnsi="仿宋_GB2312" w:eastAsia="仿宋_GB2312" w:cs="仿宋_GB2312"/>
          <w:sz w:val="24"/>
          <w:lang w:val="en-US" w:eastAsia="zh-CN"/>
        </w:rPr>
        <w:t>2</w:t>
      </w:r>
      <w:r>
        <w:rPr>
          <w:rFonts w:hint="eastAsia" w:ascii="仿宋_GB2312" w:hAnsi="仿宋_GB2312" w:eastAsia="仿宋_GB2312" w:cs="仿宋_GB2312"/>
          <w:sz w:val="24"/>
          <w:lang w:val="en-US"/>
        </w:rPr>
        <w:t>满足医院电子病历系统功能应用水平分级评价达到6级以上评审、医院信息互联互通标准化成熟度测评达到五级乙等以上水平评审、信息系统安全等级保护三级测评、三甲医院评审、医院智慧服务分级评估标准体系达到4级以上相关的功能要求、医院智慧管理分级评估标准体系达到4级以上相关的功能要求、网络攻防演练中的安全防护要求以及医院其他需要评审的信息化技术改造服务要求；</w:t>
      </w:r>
    </w:p>
    <w:p w14:paraId="14702E8D">
      <w:pPr>
        <w:pStyle w:val="2"/>
        <w:spacing w:after="0" w:line="312" w:lineRule="auto"/>
        <w:ind w:firstLine="420"/>
        <w:rPr>
          <w:rFonts w:hint="eastAsia" w:ascii="仿宋_GB2312" w:hAnsi="仿宋_GB2312" w:eastAsia="仿宋_GB2312" w:cs="仿宋_GB2312"/>
          <w:sz w:val="24"/>
          <w:lang w:val="en-US"/>
        </w:rPr>
      </w:pPr>
      <w:r>
        <w:rPr>
          <w:rFonts w:hint="eastAsia" w:ascii="仿宋_GB2312" w:hAnsi="仿宋_GB2312" w:eastAsia="仿宋_GB2312" w:cs="仿宋_GB2312"/>
          <w:sz w:val="24"/>
          <w:lang w:val="en-US"/>
        </w:rPr>
        <w:t>3.</w:t>
      </w:r>
      <w:r>
        <w:rPr>
          <w:rFonts w:hint="eastAsia" w:ascii="仿宋_GB2312" w:hAnsi="仿宋_GB2312" w:eastAsia="仿宋_GB2312" w:cs="仿宋_GB2312"/>
          <w:sz w:val="24"/>
          <w:lang w:val="en-US" w:eastAsia="zh-CN"/>
        </w:rPr>
        <w:t>3</w:t>
      </w:r>
      <w:r>
        <w:rPr>
          <w:rFonts w:hint="eastAsia" w:ascii="仿宋_GB2312" w:hAnsi="仿宋_GB2312" w:eastAsia="仿宋_GB2312" w:cs="仿宋_GB2312"/>
          <w:sz w:val="24"/>
          <w:lang w:val="en-US"/>
        </w:rPr>
        <w:t>提供软件免费升级及个性化修改服务，免费实现院方的个性化需求；软件自身错误类问题提供永久性免费修改服务；</w:t>
      </w:r>
    </w:p>
    <w:p w14:paraId="14702E8E">
      <w:pPr>
        <w:pStyle w:val="10"/>
        <w:spacing w:line="360" w:lineRule="auto"/>
        <w:ind w:firstLineChars="0"/>
        <w:rPr>
          <w:rFonts w:hint="eastAsia" w:ascii="仿宋_GB2312" w:hAnsi="仿宋_GB2312" w:eastAsia="仿宋_GB2312" w:cs="仿宋_GB2312"/>
          <w:sz w:val="24"/>
        </w:rPr>
      </w:pPr>
      <w:r>
        <w:rPr>
          <w:rFonts w:hint="eastAsia" w:ascii="仿宋_GB2312" w:hAnsi="仿宋_GB2312" w:eastAsia="仿宋_GB2312" w:cs="仿宋_GB2312"/>
          <w:sz w:val="24"/>
        </w:rPr>
        <w:t>3.</w:t>
      </w:r>
      <w:r>
        <w:rPr>
          <w:rFonts w:hint="eastAsia" w:ascii="仿宋_GB2312" w:hAnsi="仿宋_GB2312" w:eastAsia="仿宋_GB2312" w:cs="仿宋_GB2312"/>
          <w:sz w:val="24"/>
          <w:lang w:val="en-US" w:eastAsia="zh-CN"/>
        </w:rPr>
        <w:t>4</w:t>
      </w:r>
      <w:r>
        <w:rPr>
          <w:rFonts w:hint="eastAsia" w:ascii="仿宋_GB2312" w:hAnsi="仿宋_GB2312" w:eastAsia="仿宋_GB2312" w:cs="仿宋_GB2312"/>
          <w:sz w:val="24"/>
        </w:rPr>
        <w:t>免费提供医院新增业务信息系统的对接、免费实现医院上级管理部门要求的系统接口对接要求。</w:t>
      </w:r>
    </w:p>
    <w:p w14:paraId="14702E8F">
      <w:pPr>
        <w:pStyle w:val="10"/>
        <w:spacing w:line="360" w:lineRule="auto"/>
        <w:ind w:firstLineChars="0"/>
        <w:rPr>
          <w:rFonts w:hint="eastAsia" w:ascii="仿宋_GB2312" w:hAnsi="仿宋_GB2312" w:eastAsia="仿宋_GB2312" w:cs="仿宋_GB2312"/>
          <w:sz w:val="24"/>
        </w:rPr>
      </w:pPr>
      <w:r>
        <w:rPr>
          <w:rFonts w:hint="eastAsia" w:ascii="仿宋_GB2312" w:hAnsi="仿宋_GB2312" w:eastAsia="仿宋_GB2312" w:cs="仿宋_GB2312"/>
          <w:sz w:val="24"/>
          <w:szCs w:val="24"/>
        </w:rPr>
        <w:t>3.</w:t>
      </w: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rPr>
        <w:t>若医院更换已对接的业务系统、乙方须免费提供与新业务系统的对接及联调服务。</w:t>
      </w:r>
    </w:p>
    <w:p w14:paraId="14702E90">
      <w:pPr>
        <w:pStyle w:val="2"/>
        <w:spacing w:after="0" w:line="312" w:lineRule="auto"/>
        <w:ind w:firstLine="420"/>
        <w:rPr>
          <w:rFonts w:hint="eastAsia" w:ascii="仿宋_GB2312" w:hAnsi="仿宋_GB2312" w:eastAsia="仿宋_GB2312" w:cs="仿宋_GB2312"/>
          <w:sz w:val="24"/>
          <w:lang w:val="en-US"/>
        </w:rPr>
      </w:pPr>
      <w:r>
        <w:rPr>
          <w:rFonts w:hint="eastAsia" w:ascii="仿宋_GB2312" w:hAnsi="仿宋_GB2312" w:eastAsia="仿宋_GB2312" w:cs="仿宋_GB2312"/>
          <w:sz w:val="24"/>
          <w:lang w:val="en-US"/>
        </w:rPr>
        <w:t>3.</w:t>
      </w:r>
      <w:r>
        <w:rPr>
          <w:rFonts w:hint="eastAsia" w:ascii="仿宋_GB2312" w:hAnsi="仿宋_GB2312" w:eastAsia="仿宋_GB2312" w:cs="仿宋_GB2312"/>
          <w:sz w:val="24"/>
          <w:lang w:val="en-US" w:eastAsia="zh-CN"/>
        </w:rPr>
        <w:t>6</w:t>
      </w:r>
      <w:r>
        <w:rPr>
          <w:rFonts w:hint="eastAsia" w:ascii="仿宋_GB2312" w:hAnsi="仿宋_GB2312" w:eastAsia="仿宋_GB2312" w:cs="仿宋_GB2312"/>
          <w:sz w:val="24"/>
          <w:lang w:val="en-US"/>
        </w:rPr>
        <w:t>项目软硬件系统不限定用户数、并发数、不限定医疗集团内部及院区使用。</w:t>
      </w:r>
    </w:p>
    <w:p w14:paraId="14702E91">
      <w:pPr>
        <w:pStyle w:val="3"/>
        <w:numPr>
          <w:ilvl w:val="0"/>
          <w:numId w:val="0"/>
        </w:numPr>
        <w:spacing w:before="0" w:after="0" w:line="312" w:lineRule="auto"/>
        <w:rPr>
          <w:rFonts w:hint="eastAsia" w:ascii="仿宋_GB2312" w:hAnsi="仿宋_GB2312" w:eastAsia="仿宋_GB2312" w:cs="仿宋_GB2312"/>
          <w:bCs w:val="0"/>
          <w:sz w:val="32"/>
          <w:szCs w:val="32"/>
        </w:rPr>
      </w:pPr>
      <w:r>
        <w:rPr>
          <w:rFonts w:hint="eastAsia" w:ascii="仿宋_GB2312" w:hAnsi="仿宋_GB2312" w:eastAsia="仿宋_GB2312" w:cs="仿宋_GB2312"/>
          <w:bCs w:val="0"/>
          <w:sz w:val="32"/>
          <w:szCs w:val="32"/>
        </w:rPr>
        <w:t>四、项目实施要求</w:t>
      </w:r>
    </w:p>
    <w:p w14:paraId="14702E92">
      <w:pPr>
        <w:pStyle w:val="2"/>
        <w:spacing w:after="0" w:line="312" w:lineRule="auto"/>
        <w:ind w:firstLine="420"/>
        <w:rPr>
          <w:rFonts w:hint="eastAsia" w:ascii="仿宋_GB2312" w:hAnsi="仿宋_GB2312" w:eastAsia="仿宋_GB2312" w:cs="仿宋_GB2312"/>
          <w:sz w:val="24"/>
          <w:lang w:val="en-US"/>
        </w:rPr>
      </w:pPr>
      <w:r>
        <w:rPr>
          <w:rFonts w:hint="eastAsia" w:ascii="仿宋_GB2312" w:hAnsi="仿宋_GB2312" w:eastAsia="仿宋_GB2312" w:cs="仿宋_GB2312"/>
          <w:sz w:val="24"/>
          <w:lang w:val="en-US"/>
        </w:rPr>
        <w:t>4.1驻场、实施工期要求：合同签订后，7个工作日内项目实施人员必须进场，系统需在</w:t>
      </w:r>
      <w:r>
        <w:rPr>
          <w:rFonts w:hint="eastAsia" w:ascii="仿宋_GB2312" w:hAnsi="仿宋_GB2312" w:eastAsia="仿宋_GB2312" w:cs="仿宋_GB2312"/>
          <w:color w:val="auto"/>
          <w:sz w:val="24"/>
          <w:lang w:val="en-US" w:eastAsia="zh-CN"/>
        </w:rPr>
        <w:t>12个月</w:t>
      </w:r>
      <w:r>
        <w:rPr>
          <w:rFonts w:hint="eastAsia" w:ascii="仿宋_GB2312" w:hAnsi="仿宋_GB2312" w:eastAsia="仿宋_GB2312" w:cs="仿宋_GB2312"/>
          <w:sz w:val="24"/>
          <w:lang w:val="en-US"/>
        </w:rPr>
        <w:t>内完成项目实施上线，请分别列出每个系统实施的工作计划及周期。</w:t>
      </w:r>
    </w:p>
    <w:p w14:paraId="14702E93">
      <w:pPr>
        <w:pStyle w:val="2"/>
        <w:spacing w:after="0" w:line="312" w:lineRule="auto"/>
        <w:ind w:firstLine="420"/>
        <w:rPr>
          <w:rFonts w:hint="eastAsia" w:ascii="仿宋_GB2312" w:hAnsi="仿宋_GB2312" w:eastAsia="仿宋_GB2312" w:cs="仿宋_GB2312"/>
          <w:sz w:val="24"/>
          <w:lang w:val="en-US"/>
        </w:rPr>
      </w:pPr>
      <w:r>
        <w:rPr>
          <w:rFonts w:hint="eastAsia" w:ascii="仿宋_GB2312" w:hAnsi="仿宋_GB2312" w:eastAsia="仿宋_GB2312" w:cs="仿宋_GB2312"/>
          <w:sz w:val="24"/>
          <w:lang w:val="en-US"/>
        </w:rPr>
        <w:t>4.2驻场人员要求：</w:t>
      </w:r>
    </w:p>
    <w:p w14:paraId="14702E94">
      <w:pPr>
        <w:pStyle w:val="2"/>
        <w:spacing w:after="0" w:line="312" w:lineRule="auto"/>
        <w:ind w:firstLine="420"/>
        <w:rPr>
          <w:rFonts w:hint="eastAsia" w:ascii="仿宋_GB2312" w:hAnsi="仿宋_GB2312" w:eastAsia="仿宋_GB2312" w:cs="仿宋_GB2312"/>
          <w:sz w:val="24"/>
          <w:lang w:val="en-US"/>
        </w:rPr>
      </w:pPr>
      <w:r>
        <w:rPr>
          <w:rFonts w:hint="eastAsia" w:ascii="仿宋_GB2312" w:hAnsi="仿宋_GB2312" w:eastAsia="仿宋_GB2312" w:cs="仿宋_GB2312"/>
          <w:sz w:val="24"/>
          <w:lang w:val="en-US"/>
        </w:rPr>
        <w:t>实施工程师：项目驻场实施工程师需有2年以上本厂商同等项目实施经验。项目实施阶段，驻场实施工程师不得少于1名。</w:t>
      </w:r>
    </w:p>
    <w:p w14:paraId="14702E95">
      <w:pPr>
        <w:pStyle w:val="2"/>
        <w:spacing w:after="0" w:line="312" w:lineRule="auto"/>
        <w:ind w:firstLine="420"/>
        <w:rPr>
          <w:rFonts w:hint="eastAsia" w:ascii="仿宋_GB2312" w:hAnsi="仿宋_GB2312" w:eastAsia="仿宋_GB2312" w:cs="仿宋_GB2312"/>
          <w:sz w:val="24"/>
          <w:lang w:val="en-US"/>
        </w:rPr>
      </w:pPr>
      <w:r>
        <w:rPr>
          <w:rFonts w:hint="eastAsia" w:ascii="仿宋_GB2312" w:hAnsi="仿宋_GB2312" w:eastAsia="仿宋_GB2312" w:cs="仿宋_GB2312"/>
          <w:sz w:val="24"/>
          <w:lang w:val="en-US"/>
        </w:rPr>
        <w:t>如需更换实施工程师，厂商需提交书面申请，经院方同意才可更换。</w:t>
      </w:r>
    </w:p>
    <w:p w14:paraId="14702E96">
      <w:pPr>
        <w:pStyle w:val="2"/>
        <w:spacing w:after="0" w:line="312" w:lineRule="auto"/>
        <w:ind w:firstLine="420"/>
        <w:rPr>
          <w:rFonts w:hint="eastAsia" w:ascii="仿宋_GB2312" w:hAnsi="仿宋_GB2312" w:eastAsia="仿宋_GB2312" w:cs="仿宋_GB2312"/>
          <w:color w:val="FF0000"/>
          <w:sz w:val="24"/>
          <w:lang w:val="en-US"/>
        </w:rPr>
      </w:pPr>
      <w:r>
        <w:rPr>
          <w:rFonts w:hint="eastAsia" w:ascii="仿宋_GB2312" w:hAnsi="仿宋_GB2312" w:eastAsia="仿宋_GB2312" w:cs="仿宋_GB2312"/>
          <w:color w:val="auto"/>
          <w:sz w:val="24"/>
          <w:lang w:val="en-US"/>
        </w:rPr>
        <w:t>竞标文件中需提供软件提供商项目驻场人员清单（含项目开发和项目实施人员），清单中标明驻场人员详细信息，如姓名、联系方式、技术职称等。</w:t>
      </w:r>
    </w:p>
    <w:p w14:paraId="14702E97">
      <w:pPr>
        <w:spacing w:line="312"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4.3因厂商与院方存在对需求理解有差异的可能性，要求所有软件功能需求的响应以院方意见为准。</w:t>
      </w:r>
    </w:p>
    <w:p w14:paraId="14702E98">
      <w:pPr>
        <w:spacing w:line="312"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4.4培训要求：</w:t>
      </w:r>
    </w:p>
    <w:p w14:paraId="14702E99">
      <w:pPr>
        <w:spacing w:line="312" w:lineRule="auto"/>
        <w:ind w:firstLine="480" w:firstLineChars="200"/>
        <w:jc w:val="left"/>
        <w:rPr>
          <w:rFonts w:hint="eastAsia" w:ascii="仿宋_GB2312" w:hAnsi="仿宋_GB2312" w:eastAsia="仿宋_GB2312" w:cs="仿宋_GB2312"/>
        </w:rPr>
      </w:pPr>
      <w:r>
        <w:rPr>
          <w:rFonts w:hint="eastAsia" w:ascii="仿宋_GB2312" w:hAnsi="仿宋_GB2312" w:eastAsia="仿宋_GB2312" w:cs="仿宋_GB2312"/>
          <w:sz w:val="24"/>
          <w:szCs w:val="24"/>
        </w:rPr>
        <w:t>培训应至少包括但不限于：软硬件系统的安装、部署、维护方法、系统的功能使用培训；</w:t>
      </w:r>
    </w:p>
    <w:p w14:paraId="14702E9A">
      <w:pPr>
        <w:pStyle w:val="3"/>
        <w:numPr>
          <w:ilvl w:val="0"/>
          <w:numId w:val="0"/>
        </w:numPr>
        <w:spacing w:before="0" w:after="0" w:line="312" w:lineRule="auto"/>
        <w:rPr>
          <w:rFonts w:hint="eastAsia" w:ascii="仿宋_GB2312" w:hAnsi="仿宋_GB2312" w:eastAsia="仿宋_GB2312" w:cs="仿宋_GB2312"/>
          <w:bCs w:val="0"/>
          <w:sz w:val="32"/>
          <w:szCs w:val="32"/>
        </w:rPr>
      </w:pPr>
      <w:r>
        <w:rPr>
          <w:rFonts w:hint="eastAsia" w:ascii="仿宋_GB2312" w:hAnsi="仿宋_GB2312" w:eastAsia="仿宋_GB2312" w:cs="仿宋_GB2312"/>
          <w:bCs w:val="0"/>
          <w:sz w:val="32"/>
          <w:szCs w:val="32"/>
        </w:rPr>
        <w:t>五、售后服务及其他要求</w:t>
      </w:r>
    </w:p>
    <w:p w14:paraId="14702E9B">
      <w:pPr>
        <w:spacing w:line="312" w:lineRule="auto"/>
        <w:ind w:firstLine="42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5.1自本项目整体最终验收之日起，所有产品要求提供三年的免费质保服务。含软硬件维护和系统软件升级、系统BUG及漏洞修复、技术支持服务、系统管理及操作培训服务，免费提供系统个性化修改需求。请详细说明售后服务的内容。</w:t>
      </w:r>
    </w:p>
    <w:p w14:paraId="14702E9C">
      <w:pPr>
        <w:spacing w:line="312" w:lineRule="auto"/>
        <w:ind w:firstLine="42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5.2安装调试要求：免费送货上门、安装调试、提供完善的设备及软件系统使用中文操作手册、图纸、网络详细拓扑图、系统配置、功能配置、设备配置及互联记录。</w:t>
      </w:r>
    </w:p>
    <w:p w14:paraId="14702E9D">
      <w:pPr>
        <w:spacing w:line="312" w:lineRule="auto"/>
        <w:ind w:firstLine="42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5.3原厂技术人员免费提供售后服务，含电话支持、现场响应、远程操作、网上客服中心等多种方式服务，应做到7×24小时全天候电话或微信等常用联系方式响应。</w:t>
      </w:r>
      <w:bookmarkStart w:id="1" w:name="_Toc507405798"/>
      <w:r>
        <w:rPr>
          <w:rFonts w:hint="eastAsia" w:ascii="仿宋_GB2312" w:hAnsi="仿宋_GB2312" w:eastAsia="仿宋_GB2312" w:cs="仿宋_GB2312"/>
          <w:sz w:val="24"/>
          <w:szCs w:val="24"/>
        </w:rPr>
        <w:t>当出现故障时，接到故障通知后，原厂技术人员应在30分钟内响应，远程技术支持无法解决的，6小时内需到达现场处理修复，并调查分析事故原因，如现场仍不能解决问题，需24小时内免费提供同档次或更高档次的备用设备解决问题。</w:t>
      </w:r>
    </w:p>
    <w:p w14:paraId="14702E9E">
      <w:pPr>
        <w:spacing w:line="312" w:lineRule="auto"/>
        <w:ind w:firstLine="42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5.4供应商提供原厂技术人员巡检服务，通过电话或其他方式访问用户，了解产品使用情况及网络安全情况：按院方要求巡检（国家法定节假日前巡检），并形成巡检报告（内容涉及此产品服务器\相关设备的运行情况）反馈给我院。</w:t>
      </w:r>
    </w:p>
    <w:p w14:paraId="14702E9F">
      <w:pPr>
        <w:pStyle w:val="10"/>
        <w:spacing w:line="360" w:lineRule="auto"/>
        <w:ind w:firstLineChars="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5.5免费系统改造，支持信创电脑和服务器。</w:t>
      </w:r>
    </w:p>
    <w:p w14:paraId="14702EA0">
      <w:pPr>
        <w:pStyle w:val="2"/>
        <w:spacing w:after="0" w:line="312" w:lineRule="auto"/>
        <w:rPr>
          <w:rFonts w:hint="eastAsia" w:ascii="仿宋_GB2312" w:hAnsi="仿宋_GB2312" w:eastAsia="仿宋_GB2312" w:cs="仿宋_GB2312"/>
          <w:b/>
          <w:bCs/>
          <w:sz w:val="28"/>
          <w:lang w:val="en-US"/>
        </w:rPr>
      </w:pPr>
      <w:r>
        <w:rPr>
          <w:rFonts w:hint="eastAsia" w:ascii="仿宋_GB2312" w:hAnsi="仿宋_GB2312" w:eastAsia="仿宋_GB2312" w:cs="仿宋_GB2312"/>
          <w:b/>
          <w:bCs/>
          <w:sz w:val="28"/>
          <w:lang w:val="en-US"/>
        </w:rPr>
        <w:t>六、违约责任</w:t>
      </w:r>
    </w:p>
    <w:p w14:paraId="14702EA1">
      <w:pPr>
        <w:spacing w:line="312"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6.1投标方所提供的软/硬件规格、技术标准、材料等质量不合格的，应及时更换，更换不及时的按逾期交付处罚；因质量问题我院不同意接收，投标方应向我院支付违约货款额5%违约金并赔偿我院经济损失。</w:t>
      </w:r>
    </w:p>
    <w:p w14:paraId="14702EA2">
      <w:pPr>
        <w:spacing w:line="312"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6.2若投标方提供的产品或软件侵犯了第三方合法权益而引发的任何纠纷或诉讼，均由投标方负责交涉并承担全部责任。</w:t>
      </w:r>
    </w:p>
    <w:p w14:paraId="14702EA3">
      <w:pPr>
        <w:spacing w:line="312"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6.3投标方逾期交付的，每天向甲方偿付违约货款额3‰违约金，但违约金累计不得超过违约货款额 5%，超过30天对方有权解除合同，违约方承担因此给对方造成的经济损失；</w:t>
      </w:r>
    </w:p>
    <w:p w14:paraId="14702EA4">
      <w:pPr>
        <w:pStyle w:val="2"/>
        <w:spacing w:after="0" w:line="312" w:lineRule="auto"/>
        <w:ind w:firstLine="420"/>
        <w:rPr>
          <w:rFonts w:hint="eastAsia" w:ascii="仿宋_GB2312" w:hAnsi="仿宋_GB2312" w:eastAsia="仿宋_GB2312" w:cs="仿宋_GB2312"/>
          <w:sz w:val="24"/>
          <w:lang w:val="en-US"/>
        </w:rPr>
      </w:pPr>
      <w:r>
        <w:rPr>
          <w:rFonts w:hint="eastAsia" w:ascii="仿宋_GB2312" w:hAnsi="仿宋_GB2312" w:eastAsia="仿宋_GB2312" w:cs="仿宋_GB2312"/>
          <w:sz w:val="24"/>
          <w:lang w:val="en-US"/>
        </w:rPr>
        <w:t>6.4售后服务违约：</w:t>
      </w:r>
    </w:p>
    <w:p w14:paraId="14702EA5">
      <w:pPr>
        <w:pStyle w:val="2"/>
        <w:spacing w:after="0" w:line="312" w:lineRule="auto"/>
        <w:ind w:firstLine="420"/>
        <w:rPr>
          <w:rFonts w:hint="eastAsia" w:ascii="仿宋_GB2312" w:hAnsi="仿宋_GB2312" w:eastAsia="仿宋_GB2312" w:cs="仿宋_GB2312"/>
          <w:sz w:val="24"/>
          <w:lang w:val="en-US"/>
        </w:rPr>
      </w:pPr>
      <w:r>
        <w:rPr>
          <w:rFonts w:hint="eastAsia" w:ascii="仿宋_GB2312" w:hAnsi="仿宋_GB2312" w:eastAsia="仿宋_GB2312" w:cs="仿宋_GB2312"/>
          <w:sz w:val="24"/>
          <w:lang w:val="en-US"/>
        </w:rPr>
        <w:t>6.4.1不能按本技术参数文档第5.3要求中按时提供设备备件的，故障上报24小时不能免费提供同档次或更高档次的备用设备解决问题，每超期一天，按500元/天向甲方支付违约金；</w:t>
      </w:r>
    </w:p>
    <w:p w14:paraId="14702EA6">
      <w:pPr>
        <w:pStyle w:val="2"/>
        <w:spacing w:after="0" w:line="312" w:lineRule="auto"/>
        <w:ind w:firstLine="420"/>
        <w:rPr>
          <w:rFonts w:hint="eastAsia" w:ascii="仿宋_GB2312" w:hAnsi="仿宋_GB2312" w:eastAsia="仿宋_GB2312" w:cs="仿宋_GB2312"/>
          <w:sz w:val="24"/>
          <w:lang w:val="en-US"/>
        </w:rPr>
      </w:pPr>
      <w:r>
        <w:rPr>
          <w:rFonts w:hint="eastAsia" w:ascii="仿宋_GB2312" w:hAnsi="仿宋_GB2312" w:eastAsia="仿宋_GB2312" w:cs="仿宋_GB2312"/>
          <w:sz w:val="24"/>
          <w:lang w:val="en-US"/>
        </w:rPr>
        <w:t>6.4.2 投标方未按本技术要求和响应文件中规定的其他服务承诺提供售后服务的，每次投标方应按合同合计金额的5% 向甲方支付违约金。</w:t>
      </w:r>
    </w:p>
    <w:p w14:paraId="14702EA7">
      <w:pPr>
        <w:pStyle w:val="2"/>
        <w:spacing w:after="0" w:line="312" w:lineRule="auto"/>
        <w:ind w:firstLine="420"/>
        <w:rPr>
          <w:rFonts w:hint="eastAsia" w:ascii="仿宋_GB2312" w:hAnsi="仿宋_GB2312" w:eastAsia="仿宋_GB2312" w:cs="仿宋_GB2312"/>
          <w:sz w:val="24"/>
          <w:lang w:val="en-US"/>
        </w:rPr>
      </w:pPr>
      <w:r>
        <w:rPr>
          <w:rFonts w:hint="eastAsia" w:ascii="仿宋_GB2312" w:hAnsi="仿宋_GB2312" w:eastAsia="仿宋_GB2312" w:cs="仿宋_GB2312"/>
          <w:sz w:val="24"/>
        </w:rPr>
        <w:t>6.</w:t>
      </w:r>
      <w:r>
        <w:rPr>
          <w:rFonts w:hint="eastAsia" w:ascii="仿宋_GB2312" w:hAnsi="仿宋_GB2312" w:eastAsia="仿宋_GB2312" w:cs="仿宋_GB2312"/>
          <w:sz w:val="24"/>
          <w:lang w:val="en-US"/>
        </w:rPr>
        <w:t>5</w:t>
      </w:r>
      <w:r>
        <w:rPr>
          <w:rFonts w:hint="eastAsia" w:ascii="仿宋_GB2312" w:hAnsi="仿宋_GB2312" w:eastAsia="仿宋_GB2312" w:cs="仿宋_GB2312"/>
          <w:sz w:val="24"/>
        </w:rPr>
        <w:t>合同签订后7个工作日内进场实施，每个模块计划实施周期需在合同内写明。因软件提供商原因逾期不进场实施的，需按每天向院方支付合同款金额3‰作为违约金，超过30天，甲有权解除合同，乙方需承担因此给院方造成的经济损失；</w:t>
      </w:r>
      <w:r>
        <w:rPr>
          <w:rFonts w:hint="eastAsia" w:ascii="仿宋_GB2312" w:hAnsi="仿宋_GB2312" w:eastAsia="仿宋_GB2312" w:cs="仿宋_GB2312"/>
          <w:sz w:val="24"/>
          <w:lang w:val="en-US"/>
        </w:rPr>
        <w:t>不能按照合同约定上线期限完成，需要书面申请说明原因，得到医院书面同意后最多延期一个月，否则（或者延期一个月后）按每超期7天（一周）从总合同金额扣除5%的违约金。扣除比例达到总合同金额的50%及以上的，视为乙方违约，甲方有权单方面解除合同，并要求乙方退回所有医院已支付款项，同时按合同总金额的20%做为违约金支付给甲方。</w:t>
      </w:r>
    </w:p>
    <w:p w14:paraId="14702EA8">
      <w:pPr>
        <w:pStyle w:val="2"/>
        <w:spacing w:after="0" w:line="312" w:lineRule="auto"/>
        <w:ind w:firstLine="420"/>
        <w:rPr>
          <w:rFonts w:hint="eastAsia" w:ascii="仿宋_GB2312" w:hAnsi="仿宋_GB2312" w:eastAsia="仿宋_GB2312" w:cs="仿宋_GB2312"/>
          <w:sz w:val="24"/>
          <w:lang w:val="en-US"/>
        </w:rPr>
      </w:pPr>
      <w:r>
        <w:rPr>
          <w:rFonts w:hint="eastAsia" w:ascii="仿宋_GB2312" w:hAnsi="仿宋_GB2312" w:eastAsia="仿宋_GB2312" w:cs="仿宋_GB2312"/>
          <w:sz w:val="24"/>
          <w:lang w:val="en-US"/>
        </w:rPr>
        <w:t>6.6任何一方违反本技术要求中“保密、廉洁条款”要求的，应承担相应的违约责任并赔偿由此造成的损失，损失累计金额超过合同款项的5%的，损失方同时有权终止合同并收回已付款项。</w:t>
      </w:r>
    </w:p>
    <w:p w14:paraId="14702EA9">
      <w:pPr>
        <w:pStyle w:val="2"/>
        <w:spacing w:after="0" w:line="312" w:lineRule="auto"/>
        <w:ind w:firstLine="420"/>
        <w:rPr>
          <w:rFonts w:hint="eastAsia" w:ascii="仿宋_GB2312" w:hAnsi="仿宋_GB2312" w:eastAsia="仿宋_GB2312" w:cs="仿宋_GB2312"/>
          <w:sz w:val="24"/>
          <w:lang w:val="en-US"/>
        </w:rPr>
      </w:pPr>
      <w:r>
        <w:rPr>
          <w:rFonts w:hint="eastAsia" w:ascii="仿宋_GB2312" w:hAnsi="仿宋_GB2312" w:eastAsia="仿宋_GB2312" w:cs="仿宋_GB2312"/>
          <w:sz w:val="24"/>
          <w:lang w:val="en-US"/>
        </w:rPr>
        <w:t>6.7厂商方未按本技术要求和响应文件中规定的其他服务承诺提供售后服务的，按损失情况，每次应按合同合计金额的0.1‰-0.1%由乙方向甲方支付违约金，损失累计金额超过合同款项的5%的，损失方同时有权终止合同并收回已付款项。</w:t>
      </w:r>
    </w:p>
    <w:p w14:paraId="14702EAA">
      <w:pPr>
        <w:pStyle w:val="2"/>
        <w:spacing w:after="0" w:line="312" w:lineRule="auto"/>
        <w:ind w:firstLine="420"/>
        <w:rPr>
          <w:rFonts w:hint="eastAsia" w:ascii="仿宋_GB2312" w:hAnsi="仿宋_GB2312" w:eastAsia="仿宋_GB2312" w:cs="仿宋_GB2312"/>
          <w:kern w:val="2"/>
          <w:sz w:val="24"/>
          <w:lang w:val="en-US"/>
        </w:rPr>
      </w:pPr>
      <w:r>
        <w:rPr>
          <w:rFonts w:hint="eastAsia" w:ascii="仿宋_GB2312" w:hAnsi="仿宋_GB2312" w:eastAsia="仿宋_GB2312" w:cs="仿宋_GB2312"/>
          <w:kern w:val="2"/>
          <w:sz w:val="24"/>
          <w:lang w:val="en-US"/>
        </w:rPr>
        <w:t>6.8厂商不得在提供的硬件及软件系统中设置包括且不限于如：软硬件加密狗、加密软件、时间锁、授权码等限制硬件及软件系统正常运行的措施，如有特殊需要必须提交纸质文件说明，经过我院签字同意才可设置，否则视为乙方违约，乙方需要支付医院违约金</w:t>
      </w:r>
      <w:r>
        <w:rPr>
          <w:rFonts w:hint="eastAsia" w:ascii="仿宋_GB2312" w:hAnsi="仿宋_GB2312" w:eastAsia="仿宋_GB2312" w:cs="仿宋_GB2312"/>
          <w:color w:val="auto"/>
          <w:kern w:val="2"/>
          <w:sz w:val="24"/>
          <w:lang w:val="en-US"/>
        </w:rPr>
        <w:t>250000元（贰拾伍万元</w:t>
      </w:r>
      <w:r>
        <w:rPr>
          <w:rFonts w:hint="eastAsia" w:ascii="仿宋_GB2312" w:hAnsi="仿宋_GB2312" w:eastAsia="仿宋_GB2312" w:cs="仿宋_GB2312"/>
          <w:kern w:val="2"/>
          <w:sz w:val="24"/>
          <w:lang w:val="en-US"/>
        </w:rPr>
        <w:t>），在此基础上医院有权要求乙方退回甲方已支付的所有款项。如对医院造成损失的，甲方有权要求乙方赔偿。</w:t>
      </w:r>
    </w:p>
    <w:p w14:paraId="14702EAB">
      <w:pPr>
        <w:pStyle w:val="2"/>
        <w:spacing w:after="0" w:line="312" w:lineRule="auto"/>
        <w:ind w:firstLine="420"/>
        <w:rPr>
          <w:rFonts w:hint="eastAsia" w:ascii="仿宋_GB2312" w:hAnsi="仿宋_GB2312" w:eastAsia="仿宋_GB2312" w:cs="仿宋_GB2312"/>
          <w:kern w:val="2"/>
          <w:sz w:val="24"/>
          <w:lang w:val="en-US"/>
        </w:rPr>
      </w:pPr>
      <w:r>
        <w:rPr>
          <w:rFonts w:hint="eastAsia" w:ascii="仿宋_GB2312" w:hAnsi="仿宋_GB2312" w:eastAsia="仿宋_GB2312" w:cs="仿宋_GB2312"/>
          <w:kern w:val="2"/>
          <w:sz w:val="24"/>
          <w:lang w:val="en-US"/>
        </w:rPr>
        <w:t>6.9厂商驻场工程师人员变更必须得到医院书面同意，否则视为乙方违约，甲方有权按5000元/人/次从合同总款中扣除。</w:t>
      </w:r>
    </w:p>
    <w:p w14:paraId="14702EAC">
      <w:pPr>
        <w:pStyle w:val="2"/>
        <w:spacing w:after="0" w:line="312" w:lineRule="auto"/>
        <w:ind w:firstLine="420"/>
        <w:rPr>
          <w:rFonts w:hint="eastAsia" w:ascii="仿宋_GB2312" w:hAnsi="仿宋_GB2312" w:eastAsia="仿宋_GB2312" w:cs="仿宋_GB2312"/>
          <w:sz w:val="24"/>
          <w:lang w:val="en-US"/>
        </w:rPr>
      </w:pPr>
      <w:r>
        <w:rPr>
          <w:rFonts w:hint="eastAsia" w:ascii="仿宋_GB2312" w:hAnsi="仿宋_GB2312" w:eastAsia="仿宋_GB2312" w:cs="仿宋_GB2312"/>
          <w:sz w:val="24"/>
          <w:lang w:val="en-US"/>
        </w:rPr>
        <w:t>6.10如合同乙方非软件提供商，软件提供商需承担连带责任，即本技术参数中对乙方的所有约束要求、违约条件均等同于对软件提供商的要求，甲方在追究乙方违约责任的同时可以同步追究软件提供商同等责任，乙方在投标时必须提供软件提供商的售后服务承诺书原件（须加盖软件提供商公章）。</w:t>
      </w:r>
    </w:p>
    <w:bookmarkEnd w:id="1"/>
    <w:p w14:paraId="14702EAD">
      <w:pPr>
        <w:pStyle w:val="2"/>
        <w:spacing w:after="0" w:line="312" w:lineRule="auto"/>
        <w:rPr>
          <w:rFonts w:hint="eastAsia" w:ascii="仿宋_GB2312" w:hAnsi="仿宋_GB2312" w:eastAsia="仿宋_GB2312" w:cs="仿宋_GB2312"/>
          <w:b/>
          <w:bCs/>
          <w:sz w:val="28"/>
          <w:lang w:val="en-US"/>
        </w:rPr>
      </w:pPr>
      <w:bookmarkStart w:id="2" w:name="_Toc507405799"/>
      <w:bookmarkStart w:id="3" w:name="_Toc507405800"/>
      <w:r>
        <w:rPr>
          <w:rFonts w:hint="eastAsia" w:ascii="仿宋_GB2312" w:hAnsi="仿宋_GB2312" w:eastAsia="仿宋_GB2312" w:cs="仿宋_GB2312"/>
          <w:b/>
          <w:bCs/>
          <w:sz w:val="28"/>
          <w:lang w:val="en-US"/>
        </w:rPr>
        <w:t>七、保密、廉洁协议</w:t>
      </w:r>
    </w:p>
    <w:p w14:paraId="14702EAE">
      <w:pPr>
        <w:spacing w:line="312"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7.1 双方保证对从另一方取得且无法自公开渠道获得的商业秘密(技术信息、经营信息及其他商业秘密)予以保密。未经该商业秘密的提供方同意，一方不得向任何第三方泄露该商业秘密的全部或部分内容，但法律、法规另有规定或双方另有约定的除外。任何一方违反保密义务的，应承担相应的违约责任并赔偿由此造成的损失。</w:t>
      </w:r>
    </w:p>
    <w:p w14:paraId="14702EAF">
      <w:pPr>
        <w:spacing w:line="312"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7.2 双方不得以任何方式向第三方泄露本项目的软件技术、设计方案以及功能配置等内容。</w:t>
      </w:r>
    </w:p>
    <w:p w14:paraId="14702EB0">
      <w:pPr>
        <w:spacing w:line="312"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7.3不以任何方式向第三方泄露在本协议开发实施过程中获取的经济、技术、数据以及双方其他非公开的信息。</w:t>
      </w:r>
    </w:p>
    <w:p w14:paraId="14702EB1">
      <w:pPr>
        <w:spacing w:line="312"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7.4 不从事商业贿赂行为，遵守廉洁协议或相关规定。甲方发现乙方有违反廉洁协议或相关规定采用不正当手段进行不正当竞争行为的，或被有关部门生效文书认定有行贿或者受贿行为的，甲方有权解除该业务合同，由此给甲方造成的损失以及发生的一切费用均由乙方承担，甲方有权对乙方实施商业贿赂不良记录，列入“黑名单”，并三年内取消其业务往来资格。</w:t>
      </w:r>
    </w:p>
    <w:p w14:paraId="14702EB2">
      <w:pPr>
        <w:spacing w:line="312"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7.5保密期限自本合同生效之日起永久有效，如乙方需解除保密协议需向甲方提出书面申请，双方协商同意签字确认后方可解除。</w:t>
      </w:r>
    </w:p>
    <w:p w14:paraId="14702EB3">
      <w:pPr>
        <w:pStyle w:val="2"/>
        <w:spacing w:after="0" w:line="312" w:lineRule="auto"/>
        <w:rPr>
          <w:rFonts w:hint="eastAsia" w:ascii="仿宋_GB2312" w:hAnsi="仿宋_GB2312" w:eastAsia="仿宋_GB2312" w:cs="仿宋_GB2312"/>
          <w:lang w:val="en-US"/>
        </w:rPr>
      </w:pPr>
    </w:p>
    <w:p w14:paraId="14702EB4">
      <w:pPr>
        <w:pStyle w:val="2"/>
        <w:spacing w:after="0" w:line="312" w:lineRule="auto"/>
        <w:rPr>
          <w:rFonts w:hint="eastAsia" w:ascii="仿宋_GB2312" w:hAnsi="仿宋_GB2312" w:eastAsia="仿宋_GB2312" w:cs="仿宋_GB2312"/>
          <w:b/>
          <w:bCs/>
          <w:sz w:val="28"/>
          <w:lang w:val="en-US"/>
        </w:rPr>
      </w:pPr>
      <w:r>
        <w:rPr>
          <w:rFonts w:hint="eastAsia" w:ascii="仿宋_GB2312" w:hAnsi="仿宋_GB2312" w:eastAsia="仿宋_GB2312" w:cs="仿宋_GB2312"/>
          <w:b/>
          <w:bCs/>
          <w:sz w:val="28"/>
          <w:lang w:val="en-US"/>
        </w:rPr>
        <w:t>八、报价</w:t>
      </w:r>
    </w:p>
    <w:p w14:paraId="14702EB5">
      <w:pPr>
        <w:pStyle w:val="2"/>
        <w:spacing w:after="0" w:line="312" w:lineRule="auto"/>
        <w:ind w:firstLine="420"/>
        <w:rPr>
          <w:rFonts w:hint="eastAsia" w:ascii="仿宋_GB2312" w:hAnsi="仿宋_GB2312" w:eastAsia="仿宋_GB2312" w:cs="仿宋_GB2312"/>
          <w:sz w:val="24"/>
        </w:rPr>
      </w:pPr>
      <w:r>
        <w:rPr>
          <w:rFonts w:hint="eastAsia" w:ascii="仿宋_GB2312" w:hAnsi="仿宋_GB2312" w:eastAsia="仿宋_GB2312" w:cs="仿宋_GB2312"/>
          <w:sz w:val="24"/>
          <w:lang w:val="en-US"/>
        </w:rPr>
        <w:t>8.1</w:t>
      </w:r>
      <w:r>
        <w:rPr>
          <w:rFonts w:hint="eastAsia" w:ascii="仿宋_GB2312" w:hAnsi="仿宋_GB2312" w:eastAsia="仿宋_GB2312" w:cs="仿宋_GB2312"/>
          <w:sz w:val="24"/>
        </w:rPr>
        <w:t>竞标文件提供技术偏离表、服务偏离表，并标明详细的技术和服务内容。竞标文件按系统模块报价，报价表价格包含系统软硬件费用、产品安装、调试实施、培训费用、产品升级费用、接口费（包括第三方厂家的接口费）等费用，以及明示所有责任、义务和一切风险。</w:t>
      </w:r>
    </w:p>
    <w:p w14:paraId="14702EB6">
      <w:pPr>
        <w:pStyle w:val="2"/>
        <w:spacing w:after="0" w:line="312" w:lineRule="auto"/>
        <w:ind w:firstLine="420"/>
        <w:rPr>
          <w:rFonts w:hint="eastAsia" w:ascii="仿宋_GB2312" w:hAnsi="仿宋_GB2312" w:eastAsia="仿宋_GB2312" w:cs="仿宋_GB2312"/>
          <w:sz w:val="24"/>
        </w:rPr>
      </w:pPr>
      <w:r>
        <w:rPr>
          <w:rFonts w:hint="eastAsia" w:ascii="仿宋_GB2312" w:hAnsi="仿宋_GB2312" w:eastAsia="仿宋_GB2312" w:cs="仿宋_GB2312"/>
          <w:sz w:val="24"/>
          <w:lang w:val="en-US"/>
        </w:rPr>
        <w:t>8.2</w:t>
      </w:r>
      <w:r>
        <w:rPr>
          <w:rFonts w:hint="eastAsia" w:ascii="仿宋_GB2312" w:hAnsi="仿宋_GB2312" w:eastAsia="仿宋_GB2312" w:cs="仿宋_GB2312"/>
          <w:sz w:val="24"/>
        </w:rPr>
        <w:t>竞标文件需提供维保期方案及报价。</w:t>
      </w:r>
    </w:p>
    <w:p w14:paraId="14702EB7">
      <w:pPr>
        <w:pStyle w:val="2"/>
        <w:spacing w:after="0" w:line="312" w:lineRule="auto"/>
        <w:ind w:firstLine="420"/>
        <w:rPr>
          <w:rFonts w:hint="eastAsia" w:ascii="仿宋_GB2312" w:hAnsi="仿宋_GB2312" w:eastAsia="仿宋_GB2312" w:cs="仿宋_GB2312"/>
          <w:sz w:val="24"/>
        </w:rPr>
      </w:pPr>
      <w:r>
        <w:rPr>
          <w:rFonts w:hint="eastAsia" w:ascii="仿宋_GB2312" w:hAnsi="仿宋_GB2312" w:eastAsia="仿宋_GB2312" w:cs="仿宋_GB2312"/>
          <w:sz w:val="24"/>
          <w:lang w:val="en-US"/>
        </w:rPr>
        <w:t>8.3</w:t>
      </w:r>
      <w:r>
        <w:rPr>
          <w:rFonts w:hint="eastAsia" w:ascii="仿宋_GB2312" w:hAnsi="仿宋_GB2312" w:eastAsia="仿宋_GB2312" w:cs="仿宋_GB2312"/>
          <w:sz w:val="24"/>
        </w:rPr>
        <w:t>竞标文件需提供系统详细图文介绍。系统实施验收参照本技术文档及竞标文件提供的图文介绍为依据。</w:t>
      </w:r>
    </w:p>
    <w:p w14:paraId="14702EB8">
      <w:pPr>
        <w:spacing w:line="312"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8.4如项目功能二次开发内容涉及我院采购的第三方产品，请在标书内标明哪些功能的实现需要二次开发接口。</w:t>
      </w:r>
    </w:p>
    <w:p w14:paraId="14702EB9">
      <w:pPr>
        <w:pStyle w:val="3"/>
        <w:numPr>
          <w:ilvl w:val="0"/>
          <w:numId w:val="0"/>
        </w:numPr>
        <w:spacing w:before="0" w:after="0" w:line="312" w:lineRule="auto"/>
        <w:rPr>
          <w:rFonts w:hint="eastAsia" w:ascii="仿宋_GB2312" w:hAnsi="仿宋_GB2312" w:eastAsia="仿宋_GB2312" w:cs="仿宋_GB2312"/>
          <w:bCs w:val="0"/>
          <w:sz w:val="32"/>
          <w:szCs w:val="32"/>
        </w:rPr>
      </w:pPr>
      <w:r>
        <w:rPr>
          <w:rFonts w:hint="eastAsia" w:ascii="仿宋_GB2312" w:hAnsi="仿宋_GB2312" w:eastAsia="仿宋_GB2312" w:cs="仿宋_GB2312"/>
          <w:bCs w:val="0"/>
          <w:sz w:val="32"/>
          <w:szCs w:val="32"/>
        </w:rPr>
        <w:t>九、付款方式</w:t>
      </w:r>
      <w:bookmarkEnd w:id="2"/>
    </w:p>
    <w:bookmarkEnd w:id="3"/>
    <w:p w14:paraId="14702EBA">
      <w:pPr>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szCs w:val="24"/>
        </w:rPr>
        <w:t>项目双方签订合同，</w:t>
      </w:r>
      <w:r>
        <w:rPr>
          <w:rFonts w:hint="eastAsia" w:ascii="仿宋_GB2312" w:hAnsi="仿宋_GB2312" w:eastAsia="仿宋_GB2312" w:cs="仿宋_GB2312"/>
          <w:sz w:val="24"/>
          <w:szCs w:val="24"/>
          <w:lang w:val="en-US" w:eastAsia="zh-CN"/>
        </w:rPr>
        <w:t>乙方开具合同总金额 50% 的发票，甲方支付对应 50% 合同款项。</w:t>
      </w:r>
      <w:r>
        <w:rPr>
          <w:rFonts w:hint="eastAsia" w:ascii="仿宋_GB2312" w:hAnsi="仿宋_GB2312" w:eastAsia="仿宋_GB2312" w:cs="仿宋_GB2312"/>
          <w:sz w:val="24"/>
          <w:szCs w:val="24"/>
        </w:rPr>
        <w:t>合同中所有功能及模块实施完毕，启动项目验收，验收合格后乙方开具</w:t>
      </w:r>
      <w:r>
        <w:rPr>
          <w:rFonts w:hint="eastAsia" w:ascii="仿宋_GB2312" w:hAnsi="仿宋_GB2312" w:eastAsia="仿宋_GB2312" w:cs="仿宋_GB2312"/>
          <w:sz w:val="24"/>
          <w:szCs w:val="24"/>
          <w:lang w:val="en-US" w:eastAsia="zh-CN"/>
        </w:rPr>
        <w:t>剩下50%金额</w:t>
      </w:r>
      <w:r>
        <w:rPr>
          <w:rFonts w:hint="eastAsia" w:ascii="仿宋_GB2312" w:hAnsi="仿宋_GB2312" w:eastAsia="仿宋_GB2312" w:cs="仿宋_GB2312"/>
          <w:sz w:val="24"/>
          <w:szCs w:val="24"/>
        </w:rPr>
        <w:t>发票，甲方支</w:t>
      </w:r>
      <w:r>
        <w:rPr>
          <w:rFonts w:hint="eastAsia" w:ascii="仿宋_GB2312" w:hAnsi="仿宋_GB2312" w:eastAsia="仿宋_GB2312" w:cs="仿宋_GB2312"/>
          <w:sz w:val="24"/>
          <w:szCs w:val="24"/>
          <w:lang w:val="en-US" w:eastAsia="zh-CN"/>
        </w:rPr>
        <w:t>再支付剩余 50% 合同款项</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若</w:t>
      </w:r>
      <w:r>
        <w:rPr>
          <w:rFonts w:hint="eastAsia" w:ascii="仿宋_GB2312" w:hAnsi="仿宋_GB2312" w:eastAsia="仿宋_GB2312" w:cs="仿宋_GB2312"/>
          <w:sz w:val="24"/>
          <w:szCs w:val="24"/>
        </w:rPr>
        <w:t>甲方使用的是财政资金，合同规定的付款时间为甲方向政府采购支付部门提出办理财政支付申请手续的时间(不含政府财政支付部门审核的时间)，甲方在规定时间内提出支付申请手续后即视为甲方已经按期支付。资金到账时间以财政部门资金审批进度为准，若有其它特殊情况，由双方共同协商。</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D84B87"/>
    <w:multiLevelType w:val="multilevel"/>
    <w:tmpl w:val="14D84B87"/>
    <w:lvl w:ilvl="0" w:tentative="0">
      <w:start w:val="1"/>
      <w:numFmt w:val="chineseCountingThousand"/>
      <w:pStyle w:val="3"/>
      <w:lvlText w:val="%1"/>
      <w:lvlJc w:val="left"/>
      <w:pPr>
        <w:ind w:left="425" w:hanging="425"/>
      </w:pPr>
      <w:rPr>
        <w:rFonts w:hint="eastAsia"/>
      </w:rPr>
    </w:lvl>
    <w:lvl w:ilvl="1" w:tentative="0">
      <w:start w:val="1"/>
      <w:numFmt w:val="chineseCountingThousand"/>
      <w:lvlText w:val="(%2)"/>
      <w:lvlJc w:val="left"/>
      <w:pPr>
        <w:ind w:left="850" w:hanging="567"/>
      </w:pPr>
      <w:rPr>
        <w:rFonts w:hint="eastAsia"/>
      </w:rPr>
    </w:lvl>
    <w:lvl w:ilvl="2" w:tentative="0">
      <w:start w:val="1"/>
      <w:numFmt w:val="decimal"/>
      <w:lvlText w:val="%3."/>
      <w:lvlJc w:val="left"/>
      <w:pPr>
        <w:ind w:left="1356" w:hanging="567"/>
      </w:pPr>
      <w:rPr>
        <w:rFonts w:hint="eastAsia"/>
      </w:rPr>
    </w:lvl>
    <w:lvl w:ilvl="3" w:tentative="0">
      <w:start w:val="1"/>
      <w:numFmt w:val="decimal"/>
      <w:isLgl/>
      <w:lvlText w:val="%1.%2.%3.%4"/>
      <w:lvlJc w:val="left"/>
      <w:pPr>
        <w:ind w:left="1984" w:hanging="708"/>
      </w:pPr>
      <w:rPr>
        <w:rFonts w:hint="eastAsia"/>
      </w:rPr>
    </w:lvl>
    <w:lvl w:ilvl="4" w:tentative="0">
      <w:start w:val="1"/>
      <w:numFmt w:val="decimal"/>
      <w:isLgl/>
      <w:lvlText w:val="%1.%2.%3.%4.%5"/>
      <w:lvlJc w:val="left"/>
      <w:pPr>
        <w:ind w:left="2551" w:hanging="850"/>
      </w:pPr>
      <w:rPr>
        <w:rFonts w:hint="eastAsia"/>
      </w:rPr>
    </w:lvl>
    <w:lvl w:ilvl="5" w:tentative="0">
      <w:start w:val="1"/>
      <w:numFmt w:val="decimal"/>
      <w:isLgl/>
      <w:lvlText w:val="%1.%2.%3.%4.%5.%6"/>
      <w:lvlJc w:val="left"/>
      <w:pPr>
        <w:ind w:left="3260" w:hanging="1134"/>
      </w:pPr>
      <w:rPr>
        <w:rFonts w:hint="eastAsia"/>
      </w:rPr>
    </w:lvl>
    <w:lvl w:ilvl="6" w:tentative="0">
      <w:start w:val="1"/>
      <w:numFmt w:val="decimal"/>
      <w:isLgl/>
      <w:lvlText w:val="%1.%2.%3.%4.%5.%6.%7"/>
      <w:lvlJc w:val="left"/>
      <w:pPr>
        <w:ind w:left="3827" w:hanging="1276"/>
      </w:pPr>
      <w:rPr>
        <w:rFonts w:hint="eastAsia"/>
      </w:rPr>
    </w:lvl>
    <w:lvl w:ilvl="7" w:tentative="0">
      <w:start w:val="1"/>
      <w:numFmt w:val="decimal"/>
      <w:isLgl/>
      <w:lvlText w:val="%1.%2.%3.%4.%5.%6.%7.%8"/>
      <w:lvlJc w:val="left"/>
      <w:pPr>
        <w:ind w:left="4394" w:hanging="1418"/>
      </w:pPr>
      <w:rPr>
        <w:rFonts w:hint="eastAsia"/>
      </w:rPr>
    </w:lvl>
    <w:lvl w:ilvl="8" w:tentative="0">
      <w:start w:val="1"/>
      <w:numFmt w:val="decimal"/>
      <w:isLgl/>
      <w:lvlText w:val="%1.%2.%3.%4.%5.%6.%7.%8.%9"/>
      <w:lvlJc w:val="left"/>
      <w:pPr>
        <w:ind w:left="5102" w:hanging="1700"/>
      </w:pPr>
      <w:rPr>
        <w:rFonts w:hint="eastAsia"/>
      </w:rPr>
    </w:lvl>
  </w:abstractNum>
  <w:abstractNum w:abstractNumId="1">
    <w:nsid w:val="23EC5C6F"/>
    <w:multiLevelType w:val="multilevel"/>
    <w:tmpl w:val="23EC5C6F"/>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62DF"/>
    <w:rsid w:val="00053C94"/>
    <w:rsid w:val="00090067"/>
    <w:rsid w:val="000956B0"/>
    <w:rsid w:val="000C213A"/>
    <w:rsid w:val="000D7A71"/>
    <w:rsid w:val="000E2410"/>
    <w:rsid w:val="0014784E"/>
    <w:rsid w:val="00184D5F"/>
    <w:rsid w:val="001A11FC"/>
    <w:rsid w:val="001A1C12"/>
    <w:rsid w:val="001F588B"/>
    <w:rsid w:val="00204D04"/>
    <w:rsid w:val="00265EA8"/>
    <w:rsid w:val="00287626"/>
    <w:rsid w:val="002A29C0"/>
    <w:rsid w:val="002B49F8"/>
    <w:rsid w:val="00306E6E"/>
    <w:rsid w:val="003C0270"/>
    <w:rsid w:val="003D48CA"/>
    <w:rsid w:val="003E62DF"/>
    <w:rsid w:val="003F3AA7"/>
    <w:rsid w:val="00425ADF"/>
    <w:rsid w:val="00435C7C"/>
    <w:rsid w:val="004416D6"/>
    <w:rsid w:val="00481560"/>
    <w:rsid w:val="00491534"/>
    <w:rsid w:val="004A224F"/>
    <w:rsid w:val="004D3BA6"/>
    <w:rsid w:val="00500E3A"/>
    <w:rsid w:val="005326BF"/>
    <w:rsid w:val="005916DA"/>
    <w:rsid w:val="005C08C8"/>
    <w:rsid w:val="005D449A"/>
    <w:rsid w:val="005E16D8"/>
    <w:rsid w:val="006368BE"/>
    <w:rsid w:val="006416B6"/>
    <w:rsid w:val="00685AFB"/>
    <w:rsid w:val="006A3CAE"/>
    <w:rsid w:val="006C202C"/>
    <w:rsid w:val="006F6F11"/>
    <w:rsid w:val="00713D64"/>
    <w:rsid w:val="00765615"/>
    <w:rsid w:val="007806D3"/>
    <w:rsid w:val="00783513"/>
    <w:rsid w:val="0078582A"/>
    <w:rsid w:val="007E206E"/>
    <w:rsid w:val="007E2810"/>
    <w:rsid w:val="00846140"/>
    <w:rsid w:val="008A677E"/>
    <w:rsid w:val="008C322F"/>
    <w:rsid w:val="009E61C2"/>
    <w:rsid w:val="009F4C1B"/>
    <w:rsid w:val="00A03BDF"/>
    <w:rsid w:val="00A10BFF"/>
    <w:rsid w:val="00A140D3"/>
    <w:rsid w:val="00A26AF9"/>
    <w:rsid w:val="00A32E43"/>
    <w:rsid w:val="00A51886"/>
    <w:rsid w:val="00AE221B"/>
    <w:rsid w:val="00AE6921"/>
    <w:rsid w:val="00AF7C78"/>
    <w:rsid w:val="00B005E9"/>
    <w:rsid w:val="00B036C8"/>
    <w:rsid w:val="00B14345"/>
    <w:rsid w:val="00B6535B"/>
    <w:rsid w:val="00B759E0"/>
    <w:rsid w:val="00BF1410"/>
    <w:rsid w:val="00C11BC2"/>
    <w:rsid w:val="00C16A6B"/>
    <w:rsid w:val="00CB08C4"/>
    <w:rsid w:val="00CC26FA"/>
    <w:rsid w:val="00CC35AC"/>
    <w:rsid w:val="00CD753C"/>
    <w:rsid w:val="00CE57AF"/>
    <w:rsid w:val="00D0417E"/>
    <w:rsid w:val="00D46CD6"/>
    <w:rsid w:val="00D5380E"/>
    <w:rsid w:val="00DA065A"/>
    <w:rsid w:val="00DC1FBB"/>
    <w:rsid w:val="00E1406C"/>
    <w:rsid w:val="00E4193A"/>
    <w:rsid w:val="00E55798"/>
    <w:rsid w:val="00E61AD4"/>
    <w:rsid w:val="00E92C0D"/>
    <w:rsid w:val="00EF437C"/>
    <w:rsid w:val="00F00CC8"/>
    <w:rsid w:val="00F13AA1"/>
    <w:rsid w:val="00F45ED9"/>
    <w:rsid w:val="00F628E7"/>
    <w:rsid w:val="00F667AA"/>
    <w:rsid w:val="00F907CF"/>
    <w:rsid w:val="00F9257D"/>
    <w:rsid w:val="00FB5D49"/>
    <w:rsid w:val="010D4EEF"/>
    <w:rsid w:val="016025FC"/>
    <w:rsid w:val="01E200EE"/>
    <w:rsid w:val="02641C78"/>
    <w:rsid w:val="02866093"/>
    <w:rsid w:val="038608DA"/>
    <w:rsid w:val="041B6CAE"/>
    <w:rsid w:val="04927A04"/>
    <w:rsid w:val="05422828"/>
    <w:rsid w:val="059D3E1F"/>
    <w:rsid w:val="05EA06E6"/>
    <w:rsid w:val="06064EC4"/>
    <w:rsid w:val="06330293"/>
    <w:rsid w:val="067B18B8"/>
    <w:rsid w:val="06A116ED"/>
    <w:rsid w:val="06DF14B2"/>
    <w:rsid w:val="07256D45"/>
    <w:rsid w:val="07266A4E"/>
    <w:rsid w:val="072E01FC"/>
    <w:rsid w:val="08741252"/>
    <w:rsid w:val="09A82D92"/>
    <w:rsid w:val="09C6758D"/>
    <w:rsid w:val="0A3927A2"/>
    <w:rsid w:val="0A791D80"/>
    <w:rsid w:val="0AE24082"/>
    <w:rsid w:val="0B1E3309"/>
    <w:rsid w:val="0BA650B0"/>
    <w:rsid w:val="0C3B69E4"/>
    <w:rsid w:val="0C8156EF"/>
    <w:rsid w:val="0CDD2D53"/>
    <w:rsid w:val="0E462B7A"/>
    <w:rsid w:val="0EE77EB9"/>
    <w:rsid w:val="0EFD148A"/>
    <w:rsid w:val="0F2A1F3D"/>
    <w:rsid w:val="105A46BB"/>
    <w:rsid w:val="109B068D"/>
    <w:rsid w:val="10AA20FB"/>
    <w:rsid w:val="10D56361"/>
    <w:rsid w:val="12412BFE"/>
    <w:rsid w:val="12D135BD"/>
    <w:rsid w:val="12D1790A"/>
    <w:rsid w:val="12D90B2E"/>
    <w:rsid w:val="13021765"/>
    <w:rsid w:val="13A4281C"/>
    <w:rsid w:val="14782DB8"/>
    <w:rsid w:val="14AF00BD"/>
    <w:rsid w:val="153D4F2B"/>
    <w:rsid w:val="1571543C"/>
    <w:rsid w:val="159A569D"/>
    <w:rsid w:val="15A9114D"/>
    <w:rsid w:val="16135A37"/>
    <w:rsid w:val="165C1DAE"/>
    <w:rsid w:val="16B745C1"/>
    <w:rsid w:val="16EB42BE"/>
    <w:rsid w:val="16ED2D59"/>
    <w:rsid w:val="174D1CA9"/>
    <w:rsid w:val="17536FF6"/>
    <w:rsid w:val="17541870"/>
    <w:rsid w:val="178E7A6B"/>
    <w:rsid w:val="18131D1F"/>
    <w:rsid w:val="1846212A"/>
    <w:rsid w:val="19151124"/>
    <w:rsid w:val="192D6E10"/>
    <w:rsid w:val="19BB441C"/>
    <w:rsid w:val="1A251034"/>
    <w:rsid w:val="1A5328A6"/>
    <w:rsid w:val="1AA944D3"/>
    <w:rsid w:val="1B5C436C"/>
    <w:rsid w:val="1B91509A"/>
    <w:rsid w:val="1BD96DDB"/>
    <w:rsid w:val="1C654B13"/>
    <w:rsid w:val="1C6F65CE"/>
    <w:rsid w:val="1C8E0120"/>
    <w:rsid w:val="1D9262D5"/>
    <w:rsid w:val="1DBC4C07"/>
    <w:rsid w:val="1E414E81"/>
    <w:rsid w:val="1E5A29B0"/>
    <w:rsid w:val="1E7E194D"/>
    <w:rsid w:val="1E9A4F48"/>
    <w:rsid w:val="1EE00481"/>
    <w:rsid w:val="1F396481"/>
    <w:rsid w:val="1F7A7C7C"/>
    <w:rsid w:val="20E45A65"/>
    <w:rsid w:val="21842B78"/>
    <w:rsid w:val="21D51EED"/>
    <w:rsid w:val="21DE339D"/>
    <w:rsid w:val="22234C3F"/>
    <w:rsid w:val="22293C01"/>
    <w:rsid w:val="223B5680"/>
    <w:rsid w:val="224243ED"/>
    <w:rsid w:val="23045086"/>
    <w:rsid w:val="232B0864"/>
    <w:rsid w:val="233B4088"/>
    <w:rsid w:val="237F4F9E"/>
    <w:rsid w:val="238E0DF3"/>
    <w:rsid w:val="23A06ACE"/>
    <w:rsid w:val="23A72D1A"/>
    <w:rsid w:val="23FA3D93"/>
    <w:rsid w:val="240D7F6A"/>
    <w:rsid w:val="24DA1462"/>
    <w:rsid w:val="251F0377"/>
    <w:rsid w:val="25624527"/>
    <w:rsid w:val="25AA0D7C"/>
    <w:rsid w:val="25D43FBF"/>
    <w:rsid w:val="26751DF6"/>
    <w:rsid w:val="26AA16D4"/>
    <w:rsid w:val="284C2F0D"/>
    <w:rsid w:val="28C25271"/>
    <w:rsid w:val="290632D5"/>
    <w:rsid w:val="29C467B9"/>
    <w:rsid w:val="2A0C2A72"/>
    <w:rsid w:val="2B272BDA"/>
    <w:rsid w:val="2C575892"/>
    <w:rsid w:val="2C6C2814"/>
    <w:rsid w:val="2C6E439E"/>
    <w:rsid w:val="2C732934"/>
    <w:rsid w:val="2C8F073A"/>
    <w:rsid w:val="2CA67011"/>
    <w:rsid w:val="2D194E5C"/>
    <w:rsid w:val="2DE65B97"/>
    <w:rsid w:val="2E55261B"/>
    <w:rsid w:val="2EB060C2"/>
    <w:rsid w:val="30EA318F"/>
    <w:rsid w:val="313905F0"/>
    <w:rsid w:val="3196141C"/>
    <w:rsid w:val="31AF08B2"/>
    <w:rsid w:val="31E70913"/>
    <w:rsid w:val="32F12805"/>
    <w:rsid w:val="32F732CA"/>
    <w:rsid w:val="32FC18D5"/>
    <w:rsid w:val="331C5AD4"/>
    <w:rsid w:val="334453A4"/>
    <w:rsid w:val="33C341A1"/>
    <w:rsid w:val="33D740F0"/>
    <w:rsid w:val="34906983"/>
    <w:rsid w:val="34A02F04"/>
    <w:rsid w:val="366F37EB"/>
    <w:rsid w:val="367D4F11"/>
    <w:rsid w:val="36B36B59"/>
    <w:rsid w:val="36DF18FA"/>
    <w:rsid w:val="36E8167B"/>
    <w:rsid w:val="37A10C9D"/>
    <w:rsid w:val="37C5786B"/>
    <w:rsid w:val="37E8067A"/>
    <w:rsid w:val="38733E92"/>
    <w:rsid w:val="389E342F"/>
    <w:rsid w:val="38E56968"/>
    <w:rsid w:val="395C56DE"/>
    <w:rsid w:val="39EB4452"/>
    <w:rsid w:val="3A2E5676"/>
    <w:rsid w:val="3A6B617C"/>
    <w:rsid w:val="3A965B44"/>
    <w:rsid w:val="3AFE1F63"/>
    <w:rsid w:val="3B450A85"/>
    <w:rsid w:val="3B4F3BCB"/>
    <w:rsid w:val="3CDD12F1"/>
    <w:rsid w:val="3CE05DC4"/>
    <w:rsid w:val="3D655CAD"/>
    <w:rsid w:val="3D73239C"/>
    <w:rsid w:val="3DC3562A"/>
    <w:rsid w:val="3DCF123E"/>
    <w:rsid w:val="3E3103B1"/>
    <w:rsid w:val="3E7A6826"/>
    <w:rsid w:val="3F883041"/>
    <w:rsid w:val="3FC733A8"/>
    <w:rsid w:val="3FFE146B"/>
    <w:rsid w:val="401069C0"/>
    <w:rsid w:val="40B72A9F"/>
    <w:rsid w:val="412070D7"/>
    <w:rsid w:val="413D18AA"/>
    <w:rsid w:val="416B0F02"/>
    <w:rsid w:val="41971DBD"/>
    <w:rsid w:val="423F17DF"/>
    <w:rsid w:val="42440BA3"/>
    <w:rsid w:val="42886D23"/>
    <w:rsid w:val="43486471"/>
    <w:rsid w:val="435B43F6"/>
    <w:rsid w:val="43607C5E"/>
    <w:rsid w:val="43AE0137"/>
    <w:rsid w:val="43CC4B30"/>
    <w:rsid w:val="440C749E"/>
    <w:rsid w:val="44511123"/>
    <w:rsid w:val="44973170"/>
    <w:rsid w:val="452B604A"/>
    <w:rsid w:val="455A3219"/>
    <w:rsid w:val="457173F8"/>
    <w:rsid w:val="45A34DF4"/>
    <w:rsid w:val="45F823D0"/>
    <w:rsid w:val="46843C64"/>
    <w:rsid w:val="46893028"/>
    <w:rsid w:val="46DD3FA9"/>
    <w:rsid w:val="47AE7CCF"/>
    <w:rsid w:val="47FA24B7"/>
    <w:rsid w:val="480C0CC5"/>
    <w:rsid w:val="48554C50"/>
    <w:rsid w:val="4956395B"/>
    <w:rsid w:val="499A6059"/>
    <w:rsid w:val="49C017DB"/>
    <w:rsid w:val="4A2F26B5"/>
    <w:rsid w:val="4A565917"/>
    <w:rsid w:val="4AE65862"/>
    <w:rsid w:val="4B3519D1"/>
    <w:rsid w:val="4B9B4251"/>
    <w:rsid w:val="4BC845F3"/>
    <w:rsid w:val="4BF413EA"/>
    <w:rsid w:val="4C9B3AB5"/>
    <w:rsid w:val="4D5A127B"/>
    <w:rsid w:val="4E524648"/>
    <w:rsid w:val="4E697BF2"/>
    <w:rsid w:val="4F640350"/>
    <w:rsid w:val="4F8C1172"/>
    <w:rsid w:val="507D710A"/>
    <w:rsid w:val="50844495"/>
    <w:rsid w:val="508670F0"/>
    <w:rsid w:val="50A873B9"/>
    <w:rsid w:val="50C52CA1"/>
    <w:rsid w:val="50E7551B"/>
    <w:rsid w:val="50F32112"/>
    <w:rsid w:val="51516E38"/>
    <w:rsid w:val="519B6306"/>
    <w:rsid w:val="52735908"/>
    <w:rsid w:val="52C26DA5"/>
    <w:rsid w:val="52C84CF5"/>
    <w:rsid w:val="53D135FB"/>
    <w:rsid w:val="53E05781"/>
    <w:rsid w:val="53EE716F"/>
    <w:rsid w:val="54361EC0"/>
    <w:rsid w:val="546B0211"/>
    <w:rsid w:val="54E82BB7"/>
    <w:rsid w:val="551F6F5A"/>
    <w:rsid w:val="55B43D13"/>
    <w:rsid w:val="55EB160A"/>
    <w:rsid w:val="562C3FA0"/>
    <w:rsid w:val="56864135"/>
    <w:rsid w:val="56924D1B"/>
    <w:rsid w:val="571660D2"/>
    <w:rsid w:val="585573E7"/>
    <w:rsid w:val="58773629"/>
    <w:rsid w:val="58B63D67"/>
    <w:rsid w:val="591E30F3"/>
    <w:rsid w:val="59EA1396"/>
    <w:rsid w:val="5A322152"/>
    <w:rsid w:val="5A334C18"/>
    <w:rsid w:val="5BD65D63"/>
    <w:rsid w:val="5C2974BB"/>
    <w:rsid w:val="5C4B79F0"/>
    <w:rsid w:val="5C6164F3"/>
    <w:rsid w:val="5C857490"/>
    <w:rsid w:val="5CC80356"/>
    <w:rsid w:val="5D552E51"/>
    <w:rsid w:val="5DB91FED"/>
    <w:rsid w:val="5EB804F7"/>
    <w:rsid w:val="5EEF047E"/>
    <w:rsid w:val="5F4E6765"/>
    <w:rsid w:val="5F841038"/>
    <w:rsid w:val="5FC627A0"/>
    <w:rsid w:val="606A2F3D"/>
    <w:rsid w:val="607B2E53"/>
    <w:rsid w:val="60A77C5F"/>
    <w:rsid w:val="62196213"/>
    <w:rsid w:val="626A7D5A"/>
    <w:rsid w:val="638B5099"/>
    <w:rsid w:val="63E458EA"/>
    <w:rsid w:val="63EF6D4C"/>
    <w:rsid w:val="641F55CF"/>
    <w:rsid w:val="64E8140A"/>
    <w:rsid w:val="65ED4F2A"/>
    <w:rsid w:val="65EF576E"/>
    <w:rsid w:val="66EC10AB"/>
    <w:rsid w:val="67234BE8"/>
    <w:rsid w:val="675A37D7"/>
    <w:rsid w:val="67863276"/>
    <w:rsid w:val="67C37F93"/>
    <w:rsid w:val="68565E67"/>
    <w:rsid w:val="68590208"/>
    <w:rsid w:val="686C39B1"/>
    <w:rsid w:val="68B72934"/>
    <w:rsid w:val="68C36416"/>
    <w:rsid w:val="691C4BBB"/>
    <w:rsid w:val="6975655B"/>
    <w:rsid w:val="69A9737D"/>
    <w:rsid w:val="69EB1FDC"/>
    <w:rsid w:val="6A5B6461"/>
    <w:rsid w:val="6B715CB5"/>
    <w:rsid w:val="6B817AEE"/>
    <w:rsid w:val="6B9E401E"/>
    <w:rsid w:val="6C116134"/>
    <w:rsid w:val="6C1A6998"/>
    <w:rsid w:val="6D6655C2"/>
    <w:rsid w:val="6E1B45FE"/>
    <w:rsid w:val="701962D0"/>
    <w:rsid w:val="711C77D0"/>
    <w:rsid w:val="71AD1D19"/>
    <w:rsid w:val="73051406"/>
    <w:rsid w:val="730B69EF"/>
    <w:rsid w:val="73325069"/>
    <w:rsid w:val="73A77042"/>
    <w:rsid w:val="73BF77DA"/>
    <w:rsid w:val="73C3551C"/>
    <w:rsid w:val="73ED0541"/>
    <w:rsid w:val="73F71B2F"/>
    <w:rsid w:val="7524075C"/>
    <w:rsid w:val="75F53ABC"/>
    <w:rsid w:val="762B1157"/>
    <w:rsid w:val="76963418"/>
    <w:rsid w:val="76C07BAD"/>
    <w:rsid w:val="76C64F98"/>
    <w:rsid w:val="7808527E"/>
    <w:rsid w:val="788C4531"/>
    <w:rsid w:val="791F31F5"/>
    <w:rsid w:val="79792DFF"/>
    <w:rsid w:val="79D80E07"/>
    <w:rsid w:val="79E420E8"/>
    <w:rsid w:val="7AB427B8"/>
    <w:rsid w:val="7ACA4716"/>
    <w:rsid w:val="7AF44B79"/>
    <w:rsid w:val="7B747F48"/>
    <w:rsid w:val="7B914152"/>
    <w:rsid w:val="7DBA5E29"/>
    <w:rsid w:val="7DE92023"/>
    <w:rsid w:val="7E3A6EB0"/>
    <w:rsid w:val="7ECE1CDB"/>
    <w:rsid w:val="7ED45A9B"/>
    <w:rsid w:val="7EDA7FF8"/>
    <w:rsid w:val="7F1D0EAA"/>
    <w:rsid w:val="7F477001"/>
    <w:rsid w:val="7F637BB3"/>
    <w:rsid w:val="7F774919"/>
    <w:rsid w:val="7F895F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9"/>
    <w:pPr>
      <w:keepNext/>
      <w:keepLines/>
      <w:numPr>
        <w:ilvl w:val="0"/>
        <w:numId w:val="1"/>
      </w:numPr>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rPr>
      <w:rFonts w:ascii="Times New Roman" w:hAnsi="Times New Roman"/>
      <w:kern w:val="0"/>
      <w:sz w:val="20"/>
      <w:szCs w:val="24"/>
      <w:lang w:val="zh-CN"/>
    </w:rPr>
  </w:style>
  <w:style w:type="paragraph" w:styleId="4">
    <w:name w:val="Body Text Indent 2"/>
    <w:basedOn w:val="1"/>
    <w:qFormat/>
    <w:uiPriority w:val="0"/>
    <w:pPr>
      <w:ind w:firstLine="630"/>
    </w:pPr>
    <w:rPr>
      <w:sz w:val="32"/>
      <w:szCs w:val="20"/>
    </w:rPr>
  </w:style>
  <w:style w:type="paragraph" w:styleId="5">
    <w:name w:val="footer"/>
    <w:basedOn w:val="1"/>
    <w:next w:val="1"/>
    <w:link w:val="13"/>
    <w:qFormat/>
    <w:uiPriority w:val="0"/>
    <w:pPr>
      <w:tabs>
        <w:tab w:val="center" w:pos="4153"/>
        <w:tab w:val="right" w:pos="8306"/>
      </w:tabs>
      <w:snapToGrid w:val="0"/>
      <w:jc w:val="left"/>
    </w:pPr>
    <w:rPr>
      <w:sz w:val="18"/>
      <w:szCs w:val="18"/>
    </w:rPr>
  </w:style>
  <w:style w:type="paragraph" w:styleId="6">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0">
    <w:name w:val="List Paragraph"/>
    <w:basedOn w:val="1"/>
    <w:qFormat/>
    <w:uiPriority w:val="34"/>
    <w:pPr>
      <w:ind w:firstLine="420" w:firstLineChars="200"/>
    </w:pPr>
  </w:style>
  <w:style w:type="paragraph" w:customStyle="1" w:styleId="11">
    <w:name w:val="p15"/>
    <w:basedOn w:val="1"/>
    <w:qFormat/>
    <w:uiPriority w:val="0"/>
    <w:pPr>
      <w:widowControl/>
      <w:ind w:firstLine="420"/>
    </w:pPr>
    <w:rPr>
      <w:kern w:val="0"/>
      <w:szCs w:val="21"/>
    </w:rPr>
  </w:style>
  <w:style w:type="character" w:customStyle="1" w:styleId="12">
    <w:name w:val="页眉 字符"/>
    <w:basedOn w:val="9"/>
    <w:link w:val="6"/>
    <w:qFormat/>
    <w:uiPriority w:val="0"/>
    <w:rPr>
      <w:rFonts w:asciiTheme="minorHAnsi" w:hAnsiTheme="minorHAnsi" w:eastAsiaTheme="minorEastAsia" w:cstheme="minorBidi"/>
      <w:kern w:val="2"/>
      <w:sz w:val="18"/>
      <w:szCs w:val="18"/>
    </w:rPr>
  </w:style>
  <w:style w:type="character" w:customStyle="1" w:styleId="13">
    <w:name w:val="页脚 字符"/>
    <w:basedOn w:val="9"/>
    <w:link w:val="5"/>
    <w:qFormat/>
    <w:uiPriority w:val="0"/>
    <w:rPr>
      <w:rFonts w:asciiTheme="minorHAnsi" w:hAnsiTheme="minorHAnsi" w:eastAsiaTheme="minorEastAsia" w:cstheme="minorBidi"/>
      <w:kern w:val="2"/>
      <w:sz w:val="18"/>
      <w:szCs w:val="18"/>
    </w:rPr>
  </w:style>
  <w:style w:type="character" w:customStyle="1" w:styleId="14">
    <w:name w:val="font21"/>
    <w:basedOn w:val="9"/>
    <w:qFormat/>
    <w:uiPriority w:val="0"/>
    <w:rPr>
      <w:rFonts w:hint="eastAsia" w:ascii="宋体" w:hAnsi="宋体" w:eastAsia="宋体" w:cs="宋体"/>
      <w:color w:val="000000"/>
      <w:sz w:val="20"/>
      <w:szCs w:val="20"/>
      <w:u w:val="none"/>
    </w:rPr>
  </w:style>
  <w:style w:type="character" w:customStyle="1" w:styleId="15">
    <w:name w:val="font31"/>
    <w:basedOn w:val="9"/>
    <w:qFormat/>
    <w:uiPriority w:val="0"/>
    <w:rPr>
      <w:rFonts w:hint="eastAsia" w:ascii="宋体" w:hAnsi="宋体" w:eastAsia="宋体" w:cs="宋体"/>
      <w:color w:val="000000"/>
      <w:sz w:val="20"/>
      <w:szCs w:val="20"/>
      <w:u w:val="none"/>
    </w:rPr>
  </w:style>
  <w:style w:type="character" w:customStyle="1" w:styleId="16">
    <w:name w:val="font11"/>
    <w:basedOn w:val="9"/>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6</Pages>
  <Words>4799</Words>
  <Characters>5028</Characters>
  <Lines>39</Lines>
  <Paragraphs>11</Paragraphs>
  <TotalTime>0</TotalTime>
  <ScaleCrop>false</ScaleCrop>
  <LinksUpToDate>false</LinksUpToDate>
  <CharactersWithSpaces>5045</CharactersWithSpaces>
  <Application>WPS Office_12.1.0.26895_F1E327BC-269C-435d-A152-05C5408002CA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2025-10-31T03:20:00Z</dcterms:created>
  <dc:creator>LGYY-USER</dc:creator>
  <cp:lastModifiedBy>不为什么</cp:lastModifiedBy>
  <dcterms:modified xsi:type="dcterms:W3CDTF">2026-06-16T13:38:00Z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eyJoZGlkIjoiYmRlNGQ1ZjU3MjI2Mjc5OGQyNmEwZjVkN2FlOTUyMGQiLCJ1c2VySWQiOiI4MjU2MjIwOTUifQ==</vt:lpwstr>
  </property>
  <property fmtid="{D5CDD505-2E9C-101B-9397-08002B2CF9AE}" pid="4" name="ICV">
    <vt:lpwstr>82E431C40719474DACFFA6860810B570_13</vt:lpwstr>
  </property>
</Properties>
</file>