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2E28">
      <w:pPr>
        <w:keepNext/>
        <w:keepLines/>
        <w:spacing w:line="312" w:lineRule="auto"/>
        <w:ind w:left="420" w:leftChars="200"/>
        <w:jc w:val="center"/>
        <w:rPr>
          <w:rFonts w:hint="eastAsia" w:ascii="宋体" w:hAnsi="宋体" w:eastAsia="宋体" w:cs="微软雅黑"/>
          <w:b/>
          <w:bCs/>
          <w:kern w:val="44"/>
          <w:sz w:val="24"/>
          <w:szCs w:val="24"/>
        </w:rPr>
      </w:pPr>
      <w:bookmarkStart w:id="0" w:name="_Toc344816509"/>
      <w:r>
        <w:rPr>
          <w:rFonts w:hint="eastAsia" w:ascii="宋体" w:hAnsi="宋体" w:eastAsia="宋体" w:cs="微软雅黑"/>
          <w:b/>
          <w:bCs/>
          <w:kern w:val="44"/>
          <w:sz w:val="30"/>
          <w:szCs w:val="30"/>
        </w:rPr>
        <w:t>柳州市工人医院</w:t>
      </w:r>
      <w:r>
        <w:rPr>
          <w:rFonts w:hint="eastAsia" w:ascii="宋体" w:hAnsi="宋体" w:eastAsia="宋体" w:cs="微软雅黑"/>
          <w:b/>
          <w:bCs/>
          <w:kern w:val="44"/>
          <w:sz w:val="30"/>
          <w:szCs w:val="30"/>
          <w:lang w:val="en-US" w:eastAsia="zh-CN"/>
        </w:rPr>
        <w:t>采购</w:t>
      </w:r>
      <w:bookmarkStart w:id="4" w:name="_GoBack"/>
      <w:bookmarkEnd w:id="4"/>
      <w:r>
        <w:rPr>
          <w:rFonts w:hint="eastAsia" w:ascii="宋体" w:hAnsi="宋体" w:eastAsia="宋体" w:cs="微软雅黑"/>
          <w:b/>
          <w:bCs/>
          <w:kern w:val="44"/>
          <w:sz w:val="30"/>
          <w:szCs w:val="30"/>
        </w:rPr>
        <w:t>智慧放疗平台AI驱动的全周期智能升级</w:t>
      </w:r>
      <w:r>
        <w:rPr>
          <w:rFonts w:hint="eastAsia" w:ascii="宋体" w:hAnsi="宋体" w:eastAsia="宋体" w:cs="微软雅黑"/>
          <w:b/>
          <w:bCs/>
          <w:kern w:val="44"/>
          <w:sz w:val="30"/>
          <w:szCs w:val="30"/>
          <w:lang w:val="en-US" w:eastAsia="zh-CN"/>
        </w:rPr>
        <w:t>服务</w:t>
      </w:r>
      <w:r>
        <w:rPr>
          <w:rFonts w:hint="eastAsia" w:ascii="宋体" w:hAnsi="宋体" w:eastAsia="宋体" w:cs="微软雅黑"/>
          <w:b/>
          <w:bCs/>
          <w:kern w:val="44"/>
          <w:sz w:val="30"/>
          <w:szCs w:val="30"/>
        </w:rPr>
        <w:t>的技术参数</w:t>
      </w:r>
    </w:p>
    <w:bookmarkEnd w:id="0"/>
    <w:p w14:paraId="14702E29">
      <w:pPr>
        <w:pStyle w:val="10"/>
        <w:numPr>
          <w:ilvl w:val="0"/>
          <w:numId w:val="2"/>
        </w:numPr>
        <w:spacing w:line="312" w:lineRule="auto"/>
        <w:ind w:firstLineChars="0"/>
        <w:rPr>
          <w:rFonts w:hint="eastAsia" w:ascii="仿宋_GB2312" w:hAnsi="仿宋_GB2312" w:eastAsia="仿宋_GB2312" w:cs="仿宋_GB2312"/>
          <w:sz w:val="24"/>
          <w:szCs w:val="24"/>
        </w:rPr>
      </w:pPr>
      <w:r>
        <w:rPr>
          <w:rFonts w:hint="eastAsia" w:ascii="仿宋_GB2312" w:hAnsi="仿宋_GB2312" w:eastAsia="仿宋_GB2312" w:cs="仿宋_GB2312"/>
          <w:b/>
          <w:sz w:val="28"/>
          <w:szCs w:val="28"/>
        </w:rPr>
        <w:t>项目背景</w:t>
      </w:r>
    </w:p>
    <w:p w14:paraId="14702E2A">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本项目围绕智慧放疗平台升级需求，系统推进算力、知识与智能体三大核心能力建设，构建形成“算力支撑—知识驱动—智能协同”的一体化技术体系。通过算力增强，提升大模型推理能力与多业务并发处理能力；通过知识增强，构建面向放疗核心场景的结构化知识体系与决策辅助能力；通过智能体升级，实现数字人由问答交互向业务执行与流程协同转型。在此基础上，平台实现与摆位预约等关键业务系统的深度融合，形成覆盖放疗全流程的“感知—决策—执行—反馈”闭环服务体系，推动医疗服务模式由被动响应向主动干预转变，全面提升放疗服务的智能化水平与协同效率。</w:t>
      </w:r>
    </w:p>
    <w:p w14:paraId="14702E2B">
      <w:pPr>
        <w:pStyle w:val="10"/>
        <w:numPr>
          <w:ilvl w:val="0"/>
          <w:numId w:val="2"/>
        </w:numPr>
        <w:spacing w:line="312" w:lineRule="auto"/>
        <w:ind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项目建设内容及要求</w:t>
      </w:r>
    </w:p>
    <w:p w14:paraId="41161B8D">
      <w:pPr>
        <w:pStyle w:val="1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4"/>
          <w:szCs w:val="24"/>
        </w:rPr>
        <w:t>（一）项目整体信息化建设要求</w:t>
      </w: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4"/>
        <w:gridCol w:w="1047"/>
        <w:gridCol w:w="2005"/>
        <w:gridCol w:w="3792"/>
      </w:tblGrid>
      <w:tr w14:paraId="1638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492AEBC5">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354" w:type="dxa"/>
            <w:vAlign w:val="center"/>
          </w:tcPr>
          <w:p w14:paraId="0EA3AF93">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名称</w:t>
            </w:r>
          </w:p>
        </w:tc>
        <w:tc>
          <w:tcPr>
            <w:tcW w:w="1047" w:type="dxa"/>
            <w:vAlign w:val="center"/>
          </w:tcPr>
          <w:p w14:paraId="3893470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模块</w:t>
            </w:r>
          </w:p>
        </w:tc>
        <w:tc>
          <w:tcPr>
            <w:tcW w:w="2005" w:type="dxa"/>
            <w:vAlign w:val="center"/>
          </w:tcPr>
          <w:p w14:paraId="0519EE2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功能</w:t>
            </w:r>
          </w:p>
        </w:tc>
        <w:tc>
          <w:tcPr>
            <w:tcW w:w="3792" w:type="dxa"/>
            <w:vAlign w:val="center"/>
          </w:tcPr>
          <w:p w14:paraId="4ED32B7C">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详情描述</w:t>
            </w:r>
          </w:p>
        </w:tc>
      </w:tr>
      <w:tr w14:paraId="0322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62DE947A">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54" w:type="dxa"/>
            <w:vMerge w:val="restart"/>
            <w:vAlign w:val="center"/>
          </w:tcPr>
          <w:p w14:paraId="55942531">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高性能 AI 算力扩展</w:t>
            </w:r>
          </w:p>
        </w:tc>
        <w:tc>
          <w:tcPr>
            <w:tcW w:w="1047" w:type="dxa"/>
            <w:vAlign w:val="center"/>
          </w:tcPr>
          <w:p w14:paraId="78C452E7">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推理加速框架</w:t>
            </w:r>
          </w:p>
        </w:tc>
        <w:tc>
          <w:tcPr>
            <w:tcW w:w="2005" w:type="dxa"/>
            <w:vAlign w:val="center"/>
          </w:tcPr>
          <w:p w14:paraId="1EAD5E15">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模型推理加速、资源调度</w:t>
            </w:r>
          </w:p>
        </w:tc>
        <w:tc>
          <w:tcPr>
            <w:tcW w:w="3792" w:type="dxa"/>
            <w:vAlign w:val="center"/>
          </w:tcPr>
          <w:p w14:paraId="7BFF1056">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部署 TensorRT、ONNX Runtime、vLLM，配合 GPU 算力池实现算力统一调度、动态分配、多模型并行运行，支持请求分流、优先级调度、弹性扩展，提升系统响应效率与稳定性</w:t>
            </w:r>
          </w:p>
        </w:tc>
      </w:tr>
      <w:tr w14:paraId="04A1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14:paraId="199A5D68">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54" w:type="dxa"/>
            <w:vMerge w:val="continue"/>
            <w:vAlign w:val="center"/>
          </w:tcPr>
          <w:p w14:paraId="51FE29C9">
            <w:pPr>
              <w:spacing w:line="312" w:lineRule="auto"/>
              <w:jc w:val="center"/>
              <w:rPr>
                <w:rFonts w:hint="eastAsia" w:ascii="仿宋_GB2312" w:hAnsi="仿宋_GB2312" w:eastAsia="仿宋_GB2312" w:cs="仿宋_GB2312"/>
                <w:color w:val="auto"/>
                <w:szCs w:val="21"/>
              </w:rPr>
            </w:pPr>
          </w:p>
        </w:tc>
        <w:tc>
          <w:tcPr>
            <w:tcW w:w="1047" w:type="dxa"/>
            <w:vAlign w:val="center"/>
          </w:tcPr>
          <w:p w14:paraId="1E95D70B">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统一模型服务平台</w:t>
            </w:r>
          </w:p>
        </w:tc>
        <w:tc>
          <w:tcPr>
            <w:tcW w:w="2005" w:type="dxa"/>
            <w:vAlign w:val="center"/>
          </w:tcPr>
          <w:p w14:paraId="75677E5C">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模型全生命周期管理</w:t>
            </w:r>
          </w:p>
        </w:tc>
        <w:tc>
          <w:tcPr>
            <w:tcW w:w="3792" w:type="dxa"/>
            <w:vAlign w:val="center"/>
          </w:tcPr>
          <w:p w14:paraId="1E67868F">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实现模型统一管理、统一发布、统一调用，兼容主流开源大模型及多类量化推理技术，支撑知识问答、智能预约、数字人交互、康复辅助等多业务场景</w:t>
            </w:r>
          </w:p>
        </w:tc>
      </w:tr>
      <w:tr w14:paraId="5450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14825758">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1354" w:type="dxa"/>
            <w:vMerge w:val="restart"/>
            <w:vAlign w:val="center"/>
          </w:tcPr>
          <w:p w14:paraId="4EF738A7">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知识增强体系建设</w:t>
            </w:r>
          </w:p>
        </w:tc>
        <w:tc>
          <w:tcPr>
            <w:tcW w:w="1047" w:type="dxa"/>
            <w:vAlign w:val="center"/>
          </w:tcPr>
          <w:p w14:paraId="52BD3F58">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多层级放疗知识库</w:t>
            </w:r>
          </w:p>
        </w:tc>
        <w:tc>
          <w:tcPr>
            <w:tcW w:w="2005" w:type="dxa"/>
            <w:vAlign w:val="center"/>
          </w:tcPr>
          <w:p w14:paraId="75FD7242">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专业知识存储、检索、扩展</w:t>
            </w:r>
          </w:p>
        </w:tc>
        <w:tc>
          <w:tcPr>
            <w:tcW w:w="3792" w:type="dxa"/>
            <w:vAlign w:val="center"/>
          </w:tcPr>
          <w:p w14:paraId="721A031C">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包含放疗科室、乳腺放疗、乳腺癌康复、放疗术语、放疗流程五大知识库；完成多源数据整合、语义向量化、知识图谱关联，支持知识统一组织、语义检索与动态更新</w:t>
            </w:r>
          </w:p>
        </w:tc>
      </w:tr>
      <w:tr w14:paraId="6FAD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4257BC55">
            <w:pPr>
              <w:spacing w:line="312" w:lineRule="auto"/>
              <w:jc w:val="center"/>
              <w:rPr>
                <w:rFonts w:hint="eastAsia" w:ascii="仿宋_GB2312" w:hAnsi="仿宋_GB2312" w:eastAsia="仿宋_GB2312" w:cs="仿宋_GB2312"/>
                <w:color w:val="auto"/>
                <w:szCs w:val="21"/>
                <w:lang w:val="en-US" w:eastAsia="zh-CN"/>
              </w:rPr>
            </w:pPr>
          </w:p>
        </w:tc>
        <w:tc>
          <w:tcPr>
            <w:tcW w:w="1354" w:type="dxa"/>
            <w:vMerge w:val="continue"/>
            <w:vAlign w:val="center"/>
          </w:tcPr>
          <w:p w14:paraId="6FE1714F">
            <w:pPr>
              <w:spacing w:line="312" w:lineRule="auto"/>
              <w:jc w:val="center"/>
              <w:rPr>
                <w:rFonts w:hint="eastAsia" w:ascii="仿宋_GB2312" w:hAnsi="仿宋_GB2312" w:eastAsia="仿宋_GB2312" w:cs="仿宋_GB2312"/>
                <w:color w:val="auto"/>
                <w:szCs w:val="21"/>
              </w:rPr>
            </w:pPr>
          </w:p>
        </w:tc>
        <w:tc>
          <w:tcPr>
            <w:tcW w:w="1047" w:type="dxa"/>
            <w:vAlign w:val="center"/>
          </w:tcPr>
          <w:p w14:paraId="6AFF9823">
            <w:pPr>
              <w:spacing w:line="312" w:lineRule="auto"/>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RAG 检索增强生成</w:t>
            </w:r>
            <w:r>
              <w:rPr>
                <w:rFonts w:hint="eastAsia" w:ascii="仿宋_GB2312" w:hAnsi="仿宋_GB2312" w:eastAsia="仿宋_GB2312" w:cs="仿宋_GB2312"/>
                <w:color w:val="auto"/>
                <w:szCs w:val="21"/>
                <w:lang w:val="en-US" w:eastAsia="zh-CN"/>
              </w:rPr>
              <w:t>模块</w:t>
            </w:r>
          </w:p>
        </w:tc>
        <w:tc>
          <w:tcPr>
            <w:tcW w:w="2005" w:type="dxa"/>
            <w:vAlign w:val="center"/>
          </w:tcPr>
          <w:p w14:paraId="2C86895E">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知识推理、智能检索</w:t>
            </w:r>
          </w:p>
        </w:tc>
        <w:tc>
          <w:tcPr>
            <w:tcW w:w="3792" w:type="dxa"/>
            <w:vAlign w:val="center"/>
          </w:tcPr>
          <w:p w14:paraId="16A07BDC">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依托 RAG 架构，实现医疗知识结构化、可计算、可推理，支撑场景化知识调用与智能分析</w:t>
            </w:r>
          </w:p>
        </w:tc>
      </w:tr>
      <w:tr w14:paraId="3B77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0E212CB3">
            <w:pPr>
              <w:spacing w:line="312" w:lineRule="auto"/>
              <w:jc w:val="center"/>
              <w:rPr>
                <w:rFonts w:hint="eastAsia" w:ascii="仿宋_GB2312" w:hAnsi="仿宋_GB2312" w:eastAsia="仿宋_GB2312" w:cs="仿宋_GB2312"/>
                <w:color w:val="auto"/>
                <w:szCs w:val="21"/>
                <w:lang w:val="en-US" w:eastAsia="zh-CN"/>
              </w:rPr>
            </w:pPr>
          </w:p>
        </w:tc>
        <w:tc>
          <w:tcPr>
            <w:tcW w:w="1354" w:type="dxa"/>
            <w:vMerge w:val="continue"/>
            <w:vAlign w:val="center"/>
          </w:tcPr>
          <w:p w14:paraId="618F3394">
            <w:pPr>
              <w:spacing w:line="312" w:lineRule="auto"/>
              <w:jc w:val="center"/>
              <w:rPr>
                <w:rFonts w:hint="eastAsia" w:ascii="仿宋_GB2312" w:hAnsi="仿宋_GB2312" w:eastAsia="仿宋_GB2312" w:cs="仿宋_GB2312"/>
                <w:color w:val="auto"/>
                <w:szCs w:val="21"/>
              </w:rPr>
            </w:pPr>
          </w:p>
        </w:tc>
        <w:tc>
          <w:tcPr>
            <w:tcW w:w="1047" w:type="dxa"/>
            <w:vAlign w:val="center"/>
          </w:tcPr>
          <w:p w14:paraId="289889D6">
            <w:pPr>
              <w:spacing w:line="312" w:lineRule="auto"/>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场景化决策辅助</w:t>
            </w:r>
            <w:r>
              <w:rPr>
                <w:rFonts w:hint="eastAsia" w:ascii="仿宋_GB2312" w:hAnsi="仿宋_GB2312" w:eastAsia="仿宋_GB2312" w:cs="仿宋_GB2312"/>
                <w:color w:val="auto"/>
                <w:szCs w:val="21"/>
                <w:lang w:val="en-US" w:eastAsia="zh-CN"/>
              </w:rPr>
              <w:t>模块</w:t>
            </w:r>
          </w:p>
        </w:tc>
        <w:tc>
          <w:tcPr>
            <w:tcW w:w="2005" w:type="dxa"/>
            <w:vAlign w:val="center"/>
          </w:tcPr>
          <w:p w14:paraId="7CDEDCAC">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业务智能决策、风险预警</w:t>
            </w:r>
          </w:p>
        </w:tc>
        <w:tc>
          <w:tcPr>
            <w:tcW w:w="3792" w:type="dxa"/>
            <w:vAlign w:val="center"/>
          </w:tcPr>
          <w:p w14:paraId="1DCDFF39">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实现摆位预约智能排程、治疗不良反应风险识别预警、治疗进度智能监控与偏差分析，从知识查询升级为全流程业务决策支持</w:t>
            </w:r>
          </w:p>
        </w:tc>
      </w:tr>
      <w:tr w14:paraId="25A6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54" w:type="dxa"/>
            <w:vAlign w:val="center"/>
          </w:tcPr>
          <w:p w14:paraId="682EF991">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p>
        </w:tc>
        <w:tc>
          <w:tcPr>
            <w:tcW w:w="1354" w:type="dxa"/>
            <w:vAlign w:val="center"/>
          </w:tcPr>
          <w:p w14:paraId="5BE31B05">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高性能存储体系建设</w:t>
            </w:r>
          </w:p>
        </w:tc>
        <w:tc>
          <w:tcPr>
            <w:tcW w:w="1047" w:type="dxa"/>
            <w:vAlign w:val="center"/>
          </w:tcPr>
          <w:p w14:paraId="07F1788F">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数据管理</w:t>
            </w:r>
            <w:r>
              <w:rPr>
                <w:rFonts w:hint="eastAsia" w:ascii="仿宋_GB2312" w:hAnsi="仿宋_GB2312" w:eastAsia="仿宋_GB2312" w:cs="仿宋_GB2312"/>
                <w:color w:val="auto"/>
                <w:szCs w:val="21"/>
                <w:lang w:val="en-US" w:eastAsia="zh-CN"/>
              </w:rPr>
              <w:t>模块</w:t>
            </w:r>
          </w:p>
        </w:tc>
        <w:tc>
          <w:tcPr>
            <w:tcW w:w="2005" w:type="dxa"/>
            <w:vAlign w:val="center"/>
          </w:tcPr>
          <w:p w14:paraId="13C1505F">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全类型数据管控</w:t>
            </w:r>
          </w:p>
        </w:tc>
        <w:tc>
          <w:tcPr>
            <w:tcW w:w="3792" w:type="dxa"/>
            <w:vAlign w:val="center"/>
          </w:tcPr>
          <w:p w14:paraId="12A71EB6">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统一管理医疗业务、AI 训练推理、多模态、向量知识库等数据，支持医疗文档、病历、影像、语音等资料归档，具备数据备份、快照恢复、权限控制功能</w:t>
            </w:r>
          </w:p>
        </w:tc>
      </w:tr>
      <w:tr w14:paraId="005C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vAlign w:val="center"/>
          </w:tcPr>
          <w:p w14:paraId="501ACF7C">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1354" w:type="dxa"/>
            <w:vMerge w:val="restart"/>
            <w:vAlign w:val="center"/>
          </w:tcPr>
          <w:p w14:paraId="3EDEE40E">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智能体能力提升建设</w:t>
            </w:r>
          </w:p>
        </w:tc>
        <w:tc>
          <w:tcPr>
            <w:tcW w:w="1047" w:type="dxa"/>
            <w:vAlign w:val="center"/>
          </w:tcPr>
          <w:p w14:paraId="583D6C6D">
            <w:pPr>
              <w:spacing w:line="312" w:lineRule="auto"/>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智能体服务</w:t>
            </w:r>
            <w:r>
              <w:rPr>
                <w:rFonts w:hint="eastAsia" w:ascii="仿宋_GB2312" w:hAnsi="仿宋_GB2312" w:eastAsia="仿宋_GB2312" w:cs="仿宋_GB2312"/>
                <w:color w:val="auto"/>
                <w:szCs w:val="21"/>
                <w:lang w:val="en-US" w:eastAsia="zh-CN"/>
              </w:rPr>
              <w:t>模块</w:t>
            </w:r>
          </w:p>
        </w:tc>
        <w:tc>
          <w:tcPr>
            <w:tcW w:w="2005" w:type="dxa"/>
            <w:vAlign w:val="center"/>
          </w:tcPr>
          <w:p w14:paraId="0068F016">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任务交互、流程执行</w:t>
            </w:r>
          </w:p>
        </w:tc>
        <w:tc>
          <w:tcPr>
            <w:tcW w:w="3792" w:type="dxa"/>
            <w:vAlign w:val="center"/>
          </w:tcPr>
          <w:p w14:paraId="767C6FE2">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具备问答、任务理解、流程执行能力，可通过 API 对接院内业务系统，自动完成预约查询、创建、信息推送，内置异常处理机制</w:t>
            </w:r>
          </w:p>
        </w:tc>
      </w:tr>
      <w:tr w14:paraId="326C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3B89C2EB">
            <w:pPr>
              <w:spacing w:line="312" w:lineRule="auto"/>
              <w:jc w:val="center"/>
              <w:rPr>
                <w:rFonts w:hint="eastAsia" w:ascii="仿宋_GB2312" w:hAnsi="仿宋_GB2312" w:eastAsia="仿宋_GB2312" w:cs="仿宋_GB2312"/>
                <w:color w:val="auto"/>
                <w:szCs w:val="21"/>
                <w:lang w:val="en-US" w:eastAsia="zh-CN"/>
              </w:rPr>
            </w:pPr>
          </w:p>
        </w:tc>
        <w:tc>
          <w:tcPr>
            <w:tcW w:w="1354" w:type="dxa"/>
            <w:vMerge w:val="continue"/>
            <w:vAlign w:val="center"/>
          </w:tcPr>
          <w:p w14:paraId="2373FBD0">
            <w:pPr>
              <w:spacing w:line="312" w:lineRule="auto"/>
              <w:jc w:val="center"/>
              <w:rPr>
                <w:rFonts w:hint="eastAsia" w:ascii="仿宋_GB2312" w:hAnsi="仿宋_GB2312" w:eastAsia="仿宋_GB2312" w:cs="仿宋_GB2312"/>
                <w:color w:val="auto"/>
                <w:szCs w:val="21"/>
              </w:rPr>
            </w:pPr>
          </w:p>
        </w:tc>
        <w:tc>
          <w:tcPr>
            <w:tcW w:w="1047" w:type="dxa"/>
            <w:vAlign w:val="center"/>
          </w:tcPr>
          <w:p w14:paraId="671CDC7B">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摆位预约对接模块</w:t>
            </w:r>
          </w:p>
        </w:tc>
        <w:tc>
          <w:tcPr>
            <w:tcW w:w="2005" w:type="dxa"/>
            <w:vAlign w:val="center"/>
          </w:tcPr>
          <w:p w14:paraId="6FE58293">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业务系统深度融合</w:t>
            </w:r>
          </w:p>
        </w:tc>
        <w:tc>
          <w:tcPr>
            <w:tcW w:w="3792" w:type="dxa"/>
            <w:vAlign w:val="center"/>
          </w:tcPr>
          <w:p w14:paraId="6E85801D">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实时同步摆位预约数据，AI 生成预约建议，自动推送提醒，智能检测并调整预约冲突</w:t>
            </w:r>
          </w:p>
        </w:tc>
      </w:tr>
      <w:tr w14:paraId="5F8A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vAlign w:val="center"/>
          </w:tcPr>
          <w:p w14:paraId="5795E144">
            <w:pPr>
              <w:spacing w:line="312" w:lineRule="auto"/>
              <w:jc w:val="center"/>
              <w:rPr>
                <w:rFonts w:hint="eastAsia" w:ascii="仿宋_GB2312" w:hAnsi="仿宋_GB2312" w:eastAsia="仿宋_GB2312" w:cs="仿宋_GB2312"/>
                <w:color w:val="auto"/>
                <w:szCs w:val="21"/>
                <w:lang w:val="en-US" w:eastAsia="zh-CN"/>
              </w:rPr>
            </w:pPr>
          </w:p>
        </w:tc>
        <w:tc>
          <w:tcPr>
            <w:tcW w:w="1354" w:type="dxa"/>
            <w:vMerge w:val="continue"/>
            <w:vAlign w:val="center"/>
          </w:tcPr>
          <w:p w14:paraId="54650B3D">
            <w:pPr>
              <w:spacing w:line="312" w:lineRule="auto"/>
              <w:jc w:val="center"/>
              <w:rPr>
                <w:rFonts w:hint="eastAsia" w:ascii="仿宋_GB2312" w:hAnsi="仿宋_GB2312" w:eastAsia="仿宋_GB2312" w:cs="仿宋_GB2312"/>
                <w:color w:val="auto"/>
                <w:szCs w:val="21"/>
              </w:rPr>
            </w:pPr>
          </w:p>
        </w:tc>
        <w:tc>
          <w:tcPr>
            <w:tcW w:w="1047" w:type="dxa"/>
            <w:vAlign w:val="center"/>
          </w:tcPr>
          <w:p w14:paraId="465169AA">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人机协同工作流引擎</w:t>
            </w:r>
          </w:p>
        </w:tc>
        <w:tc>
          <w:tcPr>
            <w:tcW w:w="2005" w:type="dxa"/>
            <w:vAlign w:val="center"/>
          </w:tcPr>
          <w:p w14:paraId="47AAC6CE">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协同办公、主动服务</w:t>
            </w:r>
          </w:p>
        </w:tc>
        <w:tc>
          <w:tcPr>
            <w:tcW w:w="3792" w:type="dxa"/>
            <w:vAlign w:val="center"/>
          </w:tcPr>
          <w:p w14:paraId="2BBB7137">
            <w:pPr>
              <w:spacing w:line="312" w:lineRule="auto"/>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搭建 “智能体 + 业务系统 + 医护人员” 协同机制，自动触发预约、进度提醒，识别诊疗异常并发起干预，形成 “感知 — 决策 — 执行 — 反馈” 服务闭环</w:t>
            </w:r>
          </w:p>
        </w:tc>
      </w:tr>
    </w:tbl>
    <w:p w14:paraId="431658E6">
      <w:pPr>
        <w:rPr>
          <w:rFonts w:hint="eastAsia" w:ascii="仿宋_GB2312" w:hAnsi="仿宋_GB2312" w:eastAsia="仿宋_GB2312" w:cs="仿宋_GB2312"/>
          <w:b/>
          <w:color w:val="000000"/>
          <w:sz w:val="24"/>
          <w:szCs w:val="24"/>
        </w:rPr>
      </w:pPr>
    </w:p>
    <w:p w14:paraId="4CCC8FF5">
      <w:pPr>
        <w:pStyle w:val="10"/>
        <w:pageBreakBefore w:val="0"/>
        <w:widowControl w:val="0"/>
        <w:numPr>
          <w:ilvl w:val="0"/>
          <w:numId w:val="3"/>
        </w:numPr>
        <w:kinsoku/>
        <w:wordWrap/>
        <w:overflowPunct/>
        <w:topLinePunct w:val="0"/>
        <w:autoSpaceDE/>
        <w:autoSpaceDN/>
        <w:bidi w:val="0"/>
        <w:adjustRightInd/>
        <w:snapToGrid/>
        <w:spacing w:line="312" w:lineRule="auto"/>
        <w:ind w:lef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硬件配置要求</w:t>
      </w:r>
    </w:p>
    <w:tbl>
      <w:tblPr>
        <w:tblStyle w:val="7"/>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667"/>
        <w:gridCol w:w="5133"/>
        <w:gridCol w:w="700"/>
        <w:gridCol w:w="682"/>
      </w:tblGrid>
      <w:tr w14:paraId="7FC5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47" w:type="dxa"/>
            <w:shd w:val="clear" w:color="auto" w:fill="auto"/>
            <w:noWrap w:val="0"/>
            <w:vAlign w:val="center"/>
          </w:tcPr>
          <w:p w14:paraId="00AB61A6">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667" w:type="dxa"/>
            <w:shd w:val="clear" w:color="auto" w:fill="auto"/>
            <w:noWrap w:val="0"/>
            <w:vAlign w:val="center"/>
          </w:tcPr>
          <w:p w14:paraId="3CEA5358">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产品名称</w:t>
            </w:r>
          </w:p>
        </w:tc>
        <w:tc>
          <w:tcPr>
            <w:tcW w:w="5133" w:type="dxa"/>
            <w:shd w:val="clear" w:color="auto" w:fill="auto"/>
            <w:noWrap w:val="0"/>
            <w:vAlign w:val="center"/>
          </w:tcPr>
          <w:p w14:paraId="59B025B9">
            <w:pPr>
              <w:spacing w:line="312"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配置要求</w:t>
            </w:r>
          </w:p>
        </w:tc>
        <w:tc>
          <w:tcPr>
            <w:tcW w:w="700" w:type="dxa"/>
            <w:shd w:val="clear" w:color="auto" w:fill="auto"/>
            <w:noWrap w:val="0"/>
            <w:vAlign w:val="center"/>
          </w:tcPr>
          <w:p w14:paraId="7E2DC353">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数量</w:t>
            </w:r>
          </w:p>
        </w:tc>
        <w:tc>
          <w:tcPr>
            <w:tcW w:w="682" w:type="dxa"/>
            <w:shd w:val="clear" w:color="auto" w:fill="auto"/>
            <w:noWrap w:val="0"/>
            <w:vAlign w:val="center"/>
          </w:tcPr>
          <w:p w14:paraId="0322C03C">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单位</w:t>
            </w:r>
          </w:p>
        </w:tc>
      </w:tr>
      <w:tr w14:paraId="11E9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shd w:val="clear" w:color="auto" w:fill="auto"/>
            <w:noWrap w:val="0"/>
            <w:vAlign w:val="center"/>
          </w:tcPr>
          <w:p w14:paraId="671A891B">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w:t>
            </w:r>
          </w:p>
        </w:tc>
        <w:tc>
          <w:tcPr>
            <w:tcW w:w="1667" w:type="dxa"/>
            <w:shd w:val="clear" w:color="auto" w:fill="auto"/>
            <w:noWrap w:val="0"/>
            <w:vAlign w:val="center"/>
          </w:tcPr>
          <w:p w14:paraId="2DCC50FC">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高性能AI算力显卡</w:t>
            </w:r>
          </w:p>
        </w:tc>
        <w:tc>
          <w:tcPr>
            <w:tcW w:w="5133" w:type="dxa"/>
            <w:shd w:val="clear" w:color="auto" w:fill="auto"/>
            <w:noWrap w:val="0"/>
            <w:vAlign w:val="center"/>
          </w:tcPr>
          <w:p w14:paraId="10987DEB">
            <w:pPr>
              <w:spacing w:line="312" w:lineRule="auto"/>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显存≧48GB，支持INT4、INT8、FP8量化推理技术，支持Qwen3.5系列、DeepSeek-V4等主流开源大模型部署，支持多模型并行运行、多任务并发处理，适配大模型推理、知识增强服务、智能体协同运行算力需求，可接入GPU算力池实现统一调度与动态分配</w:t>
            </w:r>
          </w:p>
        </w:tc>
        <w:tc>
          <w:tcPr>
            <w:tcW w:w="700" w:type="dxa"/>
            <w:shd w:val="clear" w:color="auto" w:fill="auto"/>
            <w:noWrap w:val="0"/>
            <w:vAlign w:val="center"/>
          </w:tcPr>
          <w:p w14:paraId="7BB5EB7A">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682" w:type="dxa"/>
            <w:shd w:val="clear" w:color="auto" w:fill="auto"/>
            <w:noWrap w:val="0"/>
            <w:vAlign w:val="center"/>
          </w:tcPr>
          <w:p w14:paraId="423F10B9">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块</w:t>
            </w:r>
          </w:p>
        </w:tc>
      </w:tr>
      <w:tr w14:paraId="08BF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shd w:val="clear" w:color="auto" w:fill="auto"/>
            <w:noWrap w:val="0"/>
            <w:vAlign w:val="center"/>
          </w:tcPr>
          <w:p w14:paraId="5FDD50FC">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1667" w:type="dxa"/>
            <w:shd w:val="clear" w:color="auto" w:fill="auto"/>
            <w:noWrap w:val="0"/>
            <w:vAlign w:val="center"/>
          </w:tcPr>
          <w:p w14:paraId="4A1148FA">
            <w:pPr>
              <w:spacing w:line="312" w:lineRule="auto"/>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高性能NVMe存储硬盘</w:t>
            </w:r>
          </w:p>
        </w:tc>
        <w:tc>
          <w:tcPr>
            <w:tcW w:w="5133" w:type="dxa"/>
            <w:shd w:val="clear" w:color="auto" w:fill="auto"/>
            <w:noWrap w:val="0"/>
            <w:vAlign w:val="center"/>
          </w:tcPr>
          <w:p w14:paraId="7FC886DF">
            <w:pPr>
              <w:spacing w:line="312" w:lineRule="auto"/>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SSD 3.84TB U.2 NVMe，支撑结构化 / 非结构化数据、医疗业务数据、多模态数据、向量库数据存储，具备数据备份、快照恢复、权限管控能力</w:t>
            </w:r>
          </w:p>
        </w:tc>
        <w:tc>
          <w:tcPr>
            <w:tcW w:w="700" w:type="dxa"/>
            <w:shd w:val="clear" w:color="auto" w:fill="auto"/>
            <w:noWrap w:val="0"/>
            <w:vAlign w:val="center"/>
          </w:tcPr>
          <w:p w14:paraId="6634C42A">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682" w:type="dxa"/>
            <w:shd w:val="clear" w:color="auto" w:fill="auto"/>
            <w:noWrap w:val="0"/>
            <w:vAlign w:val="center"/>
          </w:tcPr>
          <w:p w14:paraId="2EE32BC2">
            <w:pPr>
              <w:spacing w:line="312"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块</w:t>
            </w:r>
          </w:p>
        </w:tc>
      </w:tr>
    </w:tbl>
    <w:p w14:paraId="062D5A34">
      <w:pPr>
        <w:pStyle w:val="2"/>
        <w:spacing w:after="0" w:line="312" w:lineRule="auto"/>
        <w:rPr>
          <w:rFonts w:hint="eastAsia" w:ascii="仿宋_GB2312" w:hAnsi="仿宋_GB2312" w:eastAsia="仿宋_GB2312" w:cs="仿宋_GB2312"/>
          <w:lang w:val="en-US"/>
        </w:rPr>
      </w:pPr>
    </w:p>
    <w:p w14:paraId="14702E88">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三、对接口及系统改造的要求</w:t>
      </w:r>
    </w:p>
    <w:p w14:paraId="14702E89">
      <w:pPr>
        <w:spacing w:line="312"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ab/>
      </w:r>
      <w:r>
        <w:rPr>
          <w:rFonts w:hint="eastAsia" w:ascii="仿宋_GB2312" w:hAnsi="仿宋_GB2312" w:eastAsia="仿宋_GB2312" w:cs="仿宋_GB2312"/>
          <w:b/>
          <w:bCs/>
          <w:sz w:val="24"/>
          <w:szCs w:val="24"/>
        </w:rPr>
        <w:t>质保期和维保期内免费实现以下要求：</w:t>
      </w:r>
    </w:p>
    <w:p w14:paraId="14702E8B">
      <w:pPr>
        <w:pStyle w:val="2"/>
        <w:spacing w:after="0" w:line="312" w:lineRule="auto"/>
        <w:ind w:firstLine="420"/>
        <w:rPr>
          <w:rFonts w:hint="eastAsia" w:ascii="仿宋_GB2312" w:hAnsi="仿宋_GB2312" w:eastAsia="仿宋_GB2312" w:cs="仿宋_GB2312"/>
          <w:color w:val="000000" w:themeColor="text1"/>
          <w:sz w:val="24"/>
          <w:lang w:val="en-US"/>
          <w14:textFill>
            <w14:solidFill>
              <w14:schemeClr w14:val="tx1"/>
            </w14:solidFill>
          </w14:textFill>
        </w:rPr>
      </w:pPr>
      <w:r>
        <w:rPr>
          <w:rFonts w:hint="eastAsia" w:ascii="仿宋_GB2312" w:hAnsi="仿宋_GB2312" w:eastAsia="仿宋_GB2312" w:cs="仿宋_GB2312"/>
          <w:sz w:val="24"/>
          <w:lang w:val="en-US"/>
        </w:rPr>
        <w:t>3.1提供全面的接口技术，与第三方系统共享数据和功能，这些接口技术包括中间件技术接口、WEBSEVICE通用接口、数据库级接口、文件文本接口等。</w:t>
      </w:r>
    </w:p>
    <w:p w14:paraId="14702E8C">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val="en-US"/>
        </w:rPr>
        <w:t>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14702E8D">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US"/>
        </w:rPr>
        <w:t>提供软件免费升级及个性化修改服务，免费实现院方的个性化需求；软件自身错误类问题提供永久性免费修改服务；</w:t>
      </w:r>
    </w:p>
    <w:p w14:paraId="14702E8E">
      <w:pPr>
        <w:pStyle w:val="10"/>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免费提供医院新增业务信息系统的对接、免费实现医院上级管理部门要求的系统接口对接要求。</w:t>
      </w:r>
    </w:p>
    <w:p w14:paraId="14702E8F">
      <w:pPr>
        <w:pStyle w:val="10"/>
        <w:spacing w:line="360" w:lineRule="auto"/>
        <w:ind w:firstLineChars="0"/>
        <w:rPr>
          <w:rFonts w:hint="eastAsia" w:ascii="仿宋_GB2312" w:hAnsi="仿宋_GB2312" w:eastAsia="仿宋_GB2312" w:cs="仿宋_GB2312"/>
          <w:sz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若医院更换已对接的业务系统、乙方须免费提供与新业务系统的对接及联调服务。</w:t>
      </w:r>
    </w:p>
    <w:p w14:paraId="14702E90">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3.</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val="en-US"/>
        </w:rPr>
        <w:t>项目软硬件系统不限定用户数、并发数、不限定医疗集团内部及院区使用。</w:t>
      </w:r>
    </w:p>
    <w:p w14:paraId="14702E91">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四、项目实施要求</w:t>
      </w:r>
    </w:p>
    <w:p w14:paraId="14702E92">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4.1驻场、实施工期要求：合同签订后，7个工作日内项目实施人员必须进场，系统需在</w:t>
      </w:r>
      <w:r>
        <w:rPr>
          <w:rFonts w:hint="eastAsia" w:ascii="仿宋_GB2312" w:hAnsi="仿宋_GB2312" w:eastAsia="仿宋_GB2312" w:cs="仿宋_GB2312"/>
          <w:color w:val="auto"/>
          <w:sz w:val="24"/>
          <w:lang w:val="en-US" w:eastAsia="zh-CN"/>
        </w:rPr>
        <w:t>12个月</w:t>
      </w:r>
      <w:r>
        <w:rPr>
          <w:rFonts w:hint="eastAsia" w:ascii="仿宋_GB2312" w:hAnsi="仿宋_GB2312" w:eastAsia="仿宋_GB2312" w:cs="仿宋_GB2312"/>
          <w:sz w:val="24"/>
          <w:lang w:val="en-US"/>
        </w:rPr>
        <w:t>内完成项目实施上线，请分别列出每个系统实施的工作计划及周期。</w:t>
      </w:r>
    </w:p>
    <w:p w14:paraId="14702E93">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4.2驻场人员要求：</w:t>
      </w:r>
    </w:p>
    <w:p w14:paraId="14702E94">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实施工程师：项目驻场实施工程师需有2年以上本厂商同等项目实施经验。项目实施阶段，驻场实施工程师不得少于1名。</w:t>
      </w:r>
    </w:p>
    <w:p w14:paraId="14702E95">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如需更换实施工程师，厂商需提交书面申请，经院方同意才可更换。</w:t>
      </w:r>
    </w:p>
    <w:p w14:paraId="14702E96">
      <w:pPr>
        <w:pStyle w:val="2"/>
        <w:spacing w:after="0" w:line="312" w:lineRule="auto"/>
        <w:ind w:firstLine="420"/>
        <w:rPr>
          <w:rFonts w:hint="eastAsia" w:ascii="仿宋_GB2312" w:hAnsi="仿宋_GB2312" w:eastAsia="仿宋_GB2312" w:cs="仿宋_GB2312"/>
          <w:color w:val="FF0000"/>
          <w:sz w:val="24"/>
          <w:lang w:val="en-US"/>
        </w:rPr>
      </w:pPr>
      <w:r>
        <w:rPr>
          <w:rFonts w:hint="eastAsia" w:ascii="仿宋_GB2312" w:hAnsi="仿宋_GB2312" w:eastAsia="仿宋_GB2312" w:cs="仿宋_GB2312"/>
          <w:color w:val="auto"/>
          <w:sz w:val="24"/>
          <w:lang w:val="en-US"/>
        </w:rPr>
        <w:t>竞标文件中需提供软件提供商项目驻场人员清单（含项目开发和项目实施人员），清单中标明驻场人员详细信息，如姓名、联系方式、技术职称等。</w:t>
      </w:r>
    </w:p>
    <w:p w14:paraId="14702E97">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4.3因厂商与院方存在对需求理解有差异的可能性，要求所有软件功能需求的响应以院方意见为准。</w:t>
      </w:r>
    </w:p>
    <w:p w14:paraId="14702E98">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4.4培训要求：</w:t>
      </w:r>
    </w:p>
    <w:p w14:paraId="14702E99">
      <w:pPr>
        <w:spacing w:line="312" w:lineRule="auto"/>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szCs w:val="24"/>
        </w:rPr>
        <w:t>培训应至少包括但不限于：软硬件系统的安装、部署、维护方法、系统的功能使用培训；</w:t>
      </w:r>
    </w:p>
    <w:p w14:paraId="14702E9A">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五、售后服务及其他要求</w:t>
      </w:r>
    </w:p>
    <w:p w14:paraId="14702E9B">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自本项目整体最终验收之日起，所有产品要求提供三年的免费质保服务。含软硬件维护和系统软件升级、系统BUG及漏洞修复、技术支持服务、系统管理及操作培训服务，免费提供系统个性化修改需求。请详细说明售后服务的内容。</w:t>
      </w:r>
    </w:p>
    <w:p w14:paraId="14702E9C">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5.2安装调试要求：免费送货上门、安装调试、提供完善的设备及软件系统使用中文操作手册、图纸、网络详细拓扑图、系统配置、功能配置、设备配置及互联记录。</w:t>
      </w:r>
    </w:p>
    <w:p w14:paraId="14702E9D">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仿宋_GB2312" w:hAnsi="仿宋_GB2312" w:eastAsia="仿宋_GB2312" w:cs="仿宋_GB231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14702E9E">
      <w:pPr>
        <w:spacing w:line="312" w:lineRule="auto"/>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供应商提供原厂技术人员巡检服务，通过电话或其他方式访问用户，了解产品使用情况及网络安全情况：按院方要求巡检（国家法定节假日前巡检），并形成巡检报告（内容涉及此产品服务器\相关设备的运行情况）反馈给我院。</w:t>
      </w:r>
    </w:p>
    <w:p w14:paraId="14702E9F">
      <w:pPr>
        <w:pStyle w:val="10"/>
        <w:spacing w:line="360" w:lineRule="auto"/>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5.5免费系统改造，支持信创电脑和服务器。</w:t>
      </w:r>
    </w:p>
    <w:p w14:paraId="14702EA0">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六、违约责任</w:t>
      </w:r>
    </w:p>
    <w:p w14:paraId="14702EA1">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6.1投标方所提供的软/硬件规格、技术标准、材料等质量不合格的，应及时更换，更换不及时的按逾期交付处罚；因质量问题我院不同意接收，投标方应向我院支付违约货款额5%违约金并赔偿我院经济损失。</w:t>
      </w:r>
    </w:p>
    <w:p w14:paraId="14702EA2">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6.2若投标方提供的产品或软件侵犯了第三方合法权益而引发的任何纠纷或诉讼，均由投标方负责交涉并承担全部责任。</w:t>
      </w:r>
    </w:p>
    <w:p w14:paraId="14702EA3">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6.3投标方逾期交付的，每天向甲方偿付违约货款额3‰违约金，但违约金累计不得超过违约货款额 5%，超过30天对方有权解除合同，违约方承担因此给对方造成的经济损失；</w:t>
      </w:r>
    </w:p>
    <w:p w14:paraId="14702EA4">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6.4售后服务违约：</w:t>
      </w:r>
    </w:p>
    <w:p w14:paraId="14702EA5">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6.4.1不能按本技术参数文档第5.3要求中按时提供设备备件的，故障上报24小时不能免费提供同档次或更高档次的备用设备解决问题，每超期一天，按500元/天向甲方支付违约金；</w:t>
      </w:r>
    </w:p>
    <w:p w14:paraId="14702EA6">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6.4.2 投标方未按本技术要求和响应文件中规定的其他服务承诺提供售后服务的，每次投标方应按合同合计金额的5% 向甲方支付违约金。</w:t>
      </w:r>
    </w:p>
    <w:p w14:paraId="14702EA7">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rPr>
        <w:t>6.</w:t>
      </w:r>
      <w:r>
        <w:rPr>
          <w:rFonts w:hint="eastAsia" w:ascii="仿宋_GB2312" w:hAnsi="仿宋_GB2312" w:eastAsia="仿宋_GB2312" w:cs="仿宋_GB2312"/>
          <w:sz w:val="24"/>
          <w:lang w:val="en-US"/>
        </w:rPr>
        <w:t>5</w:t>
      </w:r>
      <w:r>
        <w:rPr>
          <w:rFonts w:hint="eastAsia" w:ascii="仿宋_GB2312" w:hAnsi="仿宋_GB2312" w:eastAsia="仿宋_GB2312" w:cs="仿宋_GB2312"/>
          <w:sz w:val="24"/>
        </w:rPr>
        <w:t>合同签订后7个工作日内进场实施，每个模块计划实施周期需在合同内写明。因软件提供商原因逾期不进场实施的，需按每天向院方支付合同款金额3‰作为违约金，超过30天，甲有权解除合同，乙方需承担因此给院方造成的经济损失；</w:t>
      </w:r>
      <w:r>
        <w:rPr>
          <w:rFonts w:hint="eastAsia" w:ascii="仿宋_GB2312" w:hAnsi="仿宋_GB2312" w:eastAsia="仿宋_GB2312" w:cs="仿宋_GB2312"/>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14702EA8">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6.6任何一方违反本技术要求中“保密、廉洁条款”要求的，应承担相应的违约责任并赔偿由此造成的损失，损失累计金额超过合同款项的5%的，损失方同时有权终止合同并收回已付款项。</w:t>
      </w:r>
    </w:p>
    <w:p w14:paraId="14702EA9">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6.7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4702EAA">
      <w:pPr>
        <w:pStyle w:val="2"/>
        <w:spacing w:after="0" w:line="312" w:lineRule="auto"/>
        <w:ind w:firstLine="420"/>
        <w:rPr>
          <w:rFonts w:hint="eastAsia" w:ascii="仿宋_GB2312" w:hAnsi="仿宋_GB2312" w:eastAsia="仿宋_GB2312" w:cs="仿宋_GB2312"/>
          <w:kern w:val="2"/>
          <w:sz w:val="24"/>
          <w:lang w:val="en-US"/>
        </w:rPr>
      </w:pPr>
      <w:r>
        <w:rPr>
          <w:rFonts w:hint="eastAsia" w:ascii="仿宋_GB2312" w:hAnsi="仿宋_GB2312" w:eastAsia="仿宋_GB2312" w:cs="仿宋_GB2312"/>
          <w:kern w:val="2"/>
          <w:sz w:val="24"/>
          <w:lang w:val="en-US"/>
        </w:rPr>
        <w:t>6.8厂商不得在提供的硬件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w:t>
      </w:r>
      <w:r>
        <w:rPr>
          <w:rFonts w:hint="eastAsia" w:ascii="仿宋_GB2312" w:hAnsi="仿宋_GB2312" w:eastAsia="仿宋_GB2312" w:cs="仿宋_GB2312"/>
          <w:color w:val="auto"/>
          <w:kern w:val="2"/>
          <w:sz w:val="24"/>
          <w:lang w:val="en-US"/>
        </w:rPr>
        <w:t>250000元（贰拾伍万元</w:t>
      </w:r>
      <w:r>
        <w:rPr>
          <w:rFonts w:hint="eastAsia" w:ascii="仿宋_GB2312" w:hAnsi="仿宋_GB2312" w:eastAsia="仿宋_GB2312" w:cs="仿宋_GB2312"/>
          <w:kern w:val="2"/>
          <w:sz w:val="24"/>
          <w:lang w:val="en-US"/>
        </w:rPr>
        <w:t>），在此基础上医院有权要求乙方退回甲方已支付的所有款项。如对医院造成损失的，甲方有权要求乙方赔偿。</w:t>
      </w:r>
    </w:p>
    <w:p w14:paraId="14702EAB">
      <w:pPr>
        <w:pStyle w:val="2"/>
        <w:spacing w:after="0" w:line="312" w:lineRule="auto"/>
        <w:ind w:firstLine="420"/>
        <w:rPr>
          <w:rFonts w:hint="eastAsia" w:ascii="仿宋_GB2312" w:hAnsi="仿宋_GB2312" w:eastAsia="仿宋_GB2312" w:cs="仿宋_GB2312"/>
          <w:kern w:val="2"/>
          <w:sz w:val="24"/>
          <w:lang w:val="en-US"/>
        </w:rPr>
      </w:pPr>
      <w:r>
        <w:rPr>
          <w:rFonts w:hint="eastAsia" w:ascii="仿宋_GB2312" w:hAnsi="仿宋_GB2312" w:eastAsia="仿宋_GB2312" w:cs="仿宋_GB2312"/>
          <w:kern w:val="2"/>
          <w:sz w:val="24"/>
          <w:lang w:val="en-US"/>
        </w:rPr>
        <w:t>6.9厂商驻场工程师人员变更必须得到医院书面同意，否则视为乙方违约，甲方有权按5000元/人/次从合同总款中扣除。</w:t>
      </w:r>
    </w:p>
    <w:p w14:paraId="14702EAC">
      <w:pPr>
        <w:pStyle w:val="2"/>
        <w:spacing w:after="0" w:line="312" w:lineRule="auto"/>
        <w:ind w:firstLine="420"/>
        <w:rPr>
          <w:rFonts w:hint="eastAsia" w:ascii="仿宋_GB2312" w:hAnsi="仿宋_GB2312" w:eastAsia="仿宋_GB2312" w:cs="仿宋_GB2312"/>
          <w:sz w:val="24"/>
          <w:lang w:val="en-US"/>
        </w:rPr>
      </w:pPr>
      <w:r>
        <w:rPr>
          <w:rFonts w:hint="eastAsia" w:ascii="仿宋_GB2312" w:hAnsi="仿宋_GB2312" w:eastAsia="仿宋_GB2312" w:cs="仿宋_GB2312"/>
          <w:sz w:val="24"/>
          <w:lang w:val="en-US"/>
        </w:rPr>
        <w:t>6.10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14:paraId="14702EAD">
      <w:pPr>
        <w:pStyle w:val="2"/>
        <w:spacing w:after="0" w:line="312" w:lineRule="auto"/>
        <w:rPr>
          <w:rFonts w:hint="eastAsia" w:ascii="仿宋_GB2312" w:hAnsi="仿宋_GB2312" w:eastAsia="仿宋_GB2312" w:cs="仿宋_GB2312"/>
          <w:b/>
          <w:bCs/>
          <w:sz w:val="28"/>
          <w:lang w:val="en-US"/>
        </w:rPr>
      </w:pPr>
      <w:bookmarkStart w:id="2" w:name="_Toc507405799"/>
      <w:bookmarkStart w:id="3" w:name="_Toc507405800"/>
      <w:r>
        <w:rPr>
          <w:rFonts w:hint="eastAsia" w:ascii="仿宋_GB2312" w:hAnsi="仿宋_GB2312" w:eastAsia="仿宋_GB2312" w:cs="仿宋_GB2312"/>
          <w:b/>
          <w:bCs/>
          <w:sz w:val="28"/>
          <w:lang w:val="en-US"/>
        </w:rPr>
        <w:t>七、保密、廉洁协议</w:t>
      </w:r>
    </w:p>
    <w:p w14:paraId="14702EAE">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4702EAF">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 双方不得以任何方式向第三方泄露本项目的软件技术、设计方案以及功能配置等内容。</w:t>
      </w:r>
    </w:p>
    <w:p w14:paraId="14702EB0">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7.3不以任何方式向第三方泄露在本协议开发实施过程中获取的经济、技术、数据以及双方其他非公开的信息。</w:t>
      </w:r>
    </w:p>
    <w:p w14:paraId="14702EB1">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4702EB2">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7.5保密期限自本合同生效之日起永久有效，如乙方需解除保密协议需向甲方提出书面申请，双方协商同意签字确认后方可解除。</w:t>
      </w:r>
    </w:p>
    <w:p w14:paraId="14702EB3">
      <w:pPr>
        <w:pStyle w:val="2"/>
        <w:spacing w:after="0" w:line="312" w:lineRule="auto"/>
        <w:rPr>
          <w:rFonts w:hint="eastAsia" w:ascii="仿宋_GB2312" w:hAnsi="仿宋_GB2312" w:eastAsia="仿宋_GB2312" w:cs="仿宋_GB2312"/>
          <w:lang w:val="en-US"/>
        </w:rPr>
      </w:pPr>
    </w:p>
    <w:p w14:paraId="14702EB4">
      <w:pPr>
        <w:pStyle w:val="2"/>
        <w:spacing w:after="0" w:line="312" w:lineRule="auto"/>
        <w:rPr>
          <w:rFonts w:hint="eastAsia" w:ascii="仿宋_GB2312" w:hAnsi="仿宋_GB2312" w:eastAsia="仿宋_GB2312" w:cs="仿宋_GB2312"/>
          <w:b/>
          <w:bCs/>
          <w:sz w:val="28"/>
          <w:lang w:val="en-US"/>
        </w:rPr>
      </w:pPr>
      <w:r>
        <w:rPr>
          <w:rFonts w:hint="eastAsia" w:ascii="仿宋_GB2312" w:hAnsi="仿宋_GB2312" w:eastAsia="仿宋_GB2312" w:cs="仿宋_GB2312"/>
          <w:b/>
          <w:bCs/>
          <w:sz w:val="28"/>
          <w:lang w:val="en-US"/>
        </w:rPr>
        <w:t>八、报价</w:t>
      </w:r>
    </w:p>
    <w:p w14:paraId="14702EB5">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8.1</w:t>
      </w:r>
      <w:r>
        <w:rPr>
          <w:rFonts w:hint="eastAsia" w:ascii="仿宋_GB2312" w:hAnsi="仿宋_GB2312" w:eastAsia="仿宋_GB2312" w:cs="仿宋_GB2312"/>
          <w:sz w:val="24"/>
        </w:rPr>
        <w:t>竞标文件提供技术偏离表、服务偏离表，并标明详细的技术和服务内容。竞标文件按系统模块报价，报价表价格包含系统软硬件费用、产品安装、调试实施、培训费用、产品升级费用、接口费（包括第三方厂家的接口费）等费用，以及明示所有责任、义务和一切风险。</w:t>
      </w:r>
    </w:p>
    <w:p w14:paraId="14702EB6">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8.2</w:t>
      </w:r>
      <w:r>
        <w:rPr>
          <w:rFonts w:hint="eastAsia" w:ascii="仿宋_GB2312" w:hAnsi="仿宋_GB2312" w:eastAsia="仿宋_GB2312" w:cs="仿宋_GB2312"/>
          <w:sz w:val="24"/>
        </w:rPr>
        <w:t>竞标文件需提供维保期方案及报价。</w:t>
      </w:r>
    </w:p>
    <w:p w14:paraId="14702EB7">
      <w:pPr>
        <w:pStyle w:val="2"/>
        <w:spacing w:after="0" w:line="312"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lang w:val="en-US"/>
        </w:rPr>
        <w:t>8.3</w:t>
      </w:r>
      <w:r>
        <w:rPr>
          <w:rFonts w:hint="eastAsia" w:ascii="仿宋_GB2312" w:hAnsi="仿宋_GB2312" w:eastAsia="仿宋_GB2312" w:cs="仿宋_GB2312"/>
          <w:sz w:val="24"/>
        </w:rPr>
        <w:t>竞标文件需提供系统详细图文介绍。系统实施验收参照本技术文档及竞标文件提供的图文介绍为依据。</w:t>
      </w:r>
    </w:p>
    <w:p w14:paraId="14702EB8">
      <w:pPr>
        <w:spacing w:line="312"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8.4如项目功能二次开发内容涉及我院采购的第三方产品，请在标书内标明哪些功能的实现需要二次开发接口。</w:t>
      </w:r>
    </w:p>
    <w:p w14:paraId="14702EB9">
      <w:pPr>
        <w:pStyle w:val="3"/>
        <w:numPr>
          <w:ilvl w:val="0"/>
          <w:numId w:val="0"/>
        </w:numPr>
        <w:spacing w:before="0" w:after="0" w:line="312" w:lineRule="auto"/>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九、付款方式</w:t>
      </w:r>
      <w:bookmarkEnd w:id="2"/>
    </w:p>
    <w:bookmarkEnd w:id="3"/>
    <w:p w14:paraId="14702EB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项目双方签订合同，合同中</w:t>
      </w:r>
      <w:r>
        <w:rPr>
          <w:rFonts w:hint="eastAsia" w:ascii="仿宋_GB2312" w:hAnsi="仿宋_GB2312" w:eastAsia="仿宋_GB2312" w:cs="仿宋_GB2312"/>
          <w:sz w:val="24"/>
          <w:szCs w:val="24"/>
          <w:lang w:val="en-US" w:eastAsia="zh-CN"/>
        </w:rPr>
        <w:t>约定的硬件全部到货，乙方开具合同总金额 50% 的发票，甲方支付对应 50% 合同款项。</w:t>
      </w:r>
      <w:r>
        <w:rPr>
          <w:rFonts w:hint="eastAsia" w:ascii="仿宋_GB2312" w:hAnsi="仿宋_GB2312" w:eastAsia="仿宋_GB2312" w:cs="仿宋_GB2312"/>
          <w:sz w:val="24"/>
          <w:szCs w:val="24"/>
        </w:rPr>
        <w:t>合同中所有功能及模块实施完毕</w:t>
      </w:r>
      <w:r>
        <w:rPr>
          <w:rFonts w:hint="eastAsia" w:ascii="仿宋_GB2312" w:hAnsi="仿宋_GB2312" w:eastAsia="仿宋_GB2312" w:cs="仿宋_GB2312"/>
          <w:sz w:val="24"/>
          <w:szCs w:val="24"/>
          <w:lang w:val="en-US" w:eastAsia="zh-CN"/>
        </w:rPr>
        <w:t>并通过最终验收后，乙方开具剩余 50% 金额发票，甲方再支付剩余 50% 合同款项。若甲方使用的是财政资金，合同规定的付款时间为甲方向政府采购支付部门提出办理财政支付申请手续的时间(不含政府财政支付部门审核的时间)，甲方在规定时间内提出支付申请手续后即视为甲方已经按期支付。资金到账时间以财政部门资金审批进度为准，若有其它特殊情况，由双方共同协商。</w:t>
      </w:r>
    </w:p>
    <w:p w14:paraId="1FA93D8A">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7BB3"/>
    <w:multiLevelType w:val="singleLevel"/>
    <w:tmpl w:val="04937BB3"/>
    <w:lvl w:ilvl="0" w:tentative="0">
      <w:start w:val="2"/>
      <w:numFmt w:val="chineseCounting"/>
      <w:suff w:val="nothing"/>
      <w:lvlText w:val="（%1）"/>
      <w:lvlJc w:val="left"/>
      <w:rPr>
        <w:rFonts w:hint="eastAsia"/>
      </w:rPr>
    </w:lvl>
  </w:abstractNum>
  <w:abstractNum w:abstractNumId="1">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2">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53C94"/>
    <w:rsid w:val="00090067"/>
    <w:rsid w:val="000956B0"/>
    <w:rsid w:val="000C213A"/>
    <w:rsid w:val="000D7A71"/>
    <w:rsid w:val="000E2410"/>
    <w:rsid w:val="0014784E"/>
    <w:rsid w:val="00184D5F"/>
    <w:rsid w:val="001A11FC"/>
    <w:rsid w:val="001A1C12"/>
    <w:rsid w:val="001F588B"/>
    <w:rsid w:val="00204D04"/>
    <w:rsid w:val="00265EA8"/>
    <w:rsid w:val="0028264D"/>
    <w:rsid w:val="00287626"/>
    <w:rsid w:val="002A29C0"/>
    <w:rsid w:val="002B49F8"/>
    <w:rsid w:val="00306E6E"/>
    <w:rsid w:val="003C0270"/>
    <w:rsid w:val="003D48CA"/>
    <w:rsid w:val="003E62DF"/>
    <w:rsid w:val="003F3AA7"/>
    <w:rsid w:val="00425ADF"/>
    <w:rsid w:val="00435C7C"/>
    <w:rsid w:val="004416D6"/>
    <w:rsid w:val="00481560"/>
    <w:rsid w:val="00491534"/>
    <w:rsid w:val="004A224F"/>
    <w:rsid w:val="004D3BA6"/>
    <w:rsid w:val="00500E3A"/>
    <w:rsid w:val="005326BF"/>
    <w:rsid w:val="005916DA"/>
    <w:rsid w:val="005C08C8"/>
    <w:rsid w:val="005D449A"/>
    <w:rsid w:val="005E16D8"/>
    <w:rsid w:val="006368BE"/>
    <w:rsid w:val="006416B6"/>
    <w:rsid w:val="00685AFB"/>
    <w:rsid w:val="006A3CAE"/>
    <w:rsid w:val="006C202C"/>
    <w:rsid w:val="006F6F11"/>
    <w:rsid w:val="00713D64"/>
    <w:rsid w:val="00765615"/>
    <w:rsid w:val="007806D3"/>
    <w:rsid w:val="00783513"/>
    <w:rsid w:val="0078582A"/>
    <w:rsid w:val="007E206E"/>
    <w:rsid w:val="007E2810"/>
    <w:rsid w:val="00846140"/>
    <w:rsid w:val="008A677E"/>
    <w:rsid w:val="008C322F"/>
    <w:rsid w:val="009E61C2"/>
    <w:rsid w:val="009F4C1B"/>
    <w:rsid w:val="00A03BDF"/>
    <w:rsid w:val="00A10BFF"/>
    <w:rsid w:val="00A140D3"/>
    <w:rsid w:val="00A26AF9"/>
    <w:rsid w:val="00A32E43"/>
    <w:rsid w:val="00A51886"/>
    <w:rsid w:val="00AE221B"/>
    <w:rsid w:val="00AE6921"/>
    <w:rsid w:val="00AF7C78"/>
    <w:rsid w:val="00B005E9"/>
    <w:rsid w:val="00B036C8"/>
    <w:rsid w:val="00B14345"/>
    <w:rsid w:val="00B6535B"/>
    <w:rsid w:val="00B759E0"/>
    <w:rsid w:val="00BF1410"/>
    <w:rsid w:val="00C11BC2"/>
    <w:rsid w:val="00C16A6B"/>
    <w:rsid w:val="00CB08C4"/>
    <w:rsid w:val="00CC26FA"/>
    <w:rsid w:val="00CC35AC"/>
    <w:rsid w:val="00CD753C"/>
    <w:rsid w:val="00CE57AF"/>
    <w:rsid w:val="00D0417E"/>
    <w:rsid w:val="00D46CD6"/>
    <w:rsid w:val="00D5380E"/>
    <w:rsid w:val="00DA065A"/>
    <w:rsid w:val="00DC1FBB"/>
    <w:rsid w:val="00E1406C"/>
    <w:rsid w:val="00E4193A"/>
    <w:rsid w:val="00E55798"/>
    <w:rsid w:val="00E61AD4"/>
    <w:rsid w:val="00E92C0D"/>
    <w:rsid w:val="00EF437C"/>
    <w:rsid w:val="00F00CC8"/>
    <w:rsid w:val="00F13AA1"/>
    <w:rsid w:val="00F45ED9"/>
    <w:rsid w:val="00F628E7"/>
    <w:rsid w:val="00F667AA"/>
    <w:rsid w:val="00F907CF"/>
    <w:rsid w:val="00F9257D"/>
    <w:rsid w:val="00FB5D49"/>
    <w:rsid w:val="010D4EEF"/>
    <w:rsid w:val="016025FC"/>
    <w:rsid w:val="01E200EE"/>
    <w:rsid w:val="02641C78"/>
    <w:rsid w:val="02866093"/>
    <w:rsid w:val="038608DA"/>
    <w:rsid w:val="041B6CAE"/>
    <w:rsid w:val="04927A04"/>
    <w:rsid w:val="05422828"/>
    <w:rsid w:val="059D3E1F"/>
    <w:rsid w:val="05EA06E6"/>
    <w:rsid w:val="06330293"/>
    <w:rsid w:val="067B18B8"/>
    <w:rsid w:val="06A116ED"/>
    <w:rsid w:val="06DF14B2"/>
    <w:rsid w:val="07256D45"/>
    <w:rsid w:val="07266A4E"/>
    <w:rsid w:val="072E01FC"/>
    <w:rsid w:val="07F85716"/>
    <w:rsid w:val="08741252"/>
    <w:rsid w:val="09A82D92"/>
    <w:rsid w:val="09C6758D"/>
    <w:rsid w:val="0A3927A2"/>
    <w:rsid w:val="0A791D80"/>
    <w:rsid w:val="0AE24082"/>
    <w:rsid w:val="0B1E3309"/>
    <w:rsid w:val="0BA650B0"/>
    <w:rsid w:val="0C3B69E4"/>
    <w:rsid w:val="0C8156EF"/>
    <w:rsid w:val="0CDD2D53"/>
    <w:rsid w:val="0E4532A6"/>
    <w:rsid w:val="0E462B7A"/>
    <w:rsid w:val="0EE50306"/>
    <w:rsid w:val="0EE77EB9"/>
    <w:rsid w:val="0EFD148A"/>
    <w:rsid w:val="0F2A1F3D"/>
    <w:rsid w:val="105A46BB"/>
    <w:rsid w:val="109B068D"/>
    <w:rsid w:val="10AA20FB"/>
    <w:rsid w:val="10BE733F"/>
    <w:rsid w:val="10D56361"/>
    <w:rsid w:val="12412BFE"/>
    <w:rsid w:val="12567B3F"/>
    <w:rsid w:val="12D135BD"/>
    <w:rsid w:val="12D1790A"/>
    <w:rsid w:val="12D90B2E"/>
    <w:rsid w:val="13021765"/>
    <w:rsid w:val="13A4281C"/>
    <w:rsid w:val="14782DB8"/>
    <w:rsid w:val="14AF00BD"/>
    <w:rsid w:val="152F6116"/>
    <w:rsid w:val="153D4F2B"/>
    <w:rsid w:val="1571543C"/>
    <w:rsid w:val="159A569D"/>
    <w:rsid w:val="15A9114D"/>
    <w:rsid w:val="16135A37"/>
    <w:rsid w:val="165C1DAE"/>
    <w:rsid w:val="16B745C1"/>
    <w:rsid w:val="16EB42BE"/>
    <w:rsid w:val="16ED2D59"/>
    <w:rsid w:val="174D1CA9"/>
    <w:rsid w:val="17536FF6"/>
    <w:rsid w:val="17541870"/>
    <w:rsid w:val="178E7A6B"/>
    <w:rsid w:val="17A53E1E"/>
    <w:rsid w:val="18131D1F"/>
    <w:rsid w:val="1846212A"/>
    <w:rsid w:val="19151124"/>
    <w:rsid w:val="192D6E10"/>
    <w:rsid w:val="19BB441C"/>
    <w:rsid w:val="1A251034"/>
    <w:rsid w:val="1A5328A6"/>
    <w:rsid w:val="1AA944D3"/>
    <w:rsid w:val="1B5C436C"/>
    <w:rsid w:val="1B91509A"/>
    <w:rsid w:val="1BD96DDB"/>
    <w:rsid w:val="1C654B13"/>
    <w:rsid w:val="1C6F65CE"/>
    <w:rsid w:val="1C8E0120"/>
    <w:rsid w:val="1D9262D5"/>
    <w:rsid w:val="1DBC4C07"/>
    <w:rsid w:val="1E414E81"/>
    <w:rsid w:val="1E4A14A1"/>
    <w:rsid w:val="1E5A29B0"/>
    <w:rsid w:val="1E7E194D"/>
    <w:rsid w:val="1E9A4F48"/>
    <w:rsid w:val="1EE00481"/>
    <w:rsid w:val="1F396481"/>
    <w:rsid w:val="1F7A7C7C"/>
    <w:rsid w:val="1FE42715"/>
    <w:rsid w:val="20E45A65"/>
    <w:rsid w:val="21842B78"/>
    <w:rsid w:val="21D51EED"/>
    <w:rsid w:val="21DE339D"/>
    <w:rsid w:val="22234C3F"/>
    <w:rsid w:val="22293C01"/>
    <w:rsid w:val="223B5680"/>
    <w:rsid w:val="224243ED"/>
    <w:rsid w:val="228F6446"/>
    <w:rsid w:val="23045086"/>
    <w:rsid w:val="232B0864"/>
    <w:rsid w:val="233B4088"/>
    <w:rsid w:val="237F4F9E"/>
    <w:rsid w:val="238E0DF3"/>
    <w:rsid w:val="23A06ACE"/>
    <w:rsid w:val="23A72D1A"/>
    <w:rsid w:val="23FA3D93"/>
    <w:rsid w:val="240D7F6A"/>
    <w:rsid w:val="24DA1462"/>
    <w:rsid w:val="251F0377"/>
    <w:rsid w:val="25624527"/>
    <w:rsid w:val="25AA0D7C"/>
    <w:rsid w:val="25D43FBF"/>
    <w:rsid w:val="26215F4F"/>
    <w:rsid w:val="26751DF6"/>
    <w:rsid w:val="26AA16D4"/>
    <w:rsid w:val="284C2F0D"/>
    <w:rsid w:val="28C25271"/>
    <w:rsid w:val="290632D5"/>
    <w:rsid w:val="29C467B9"/>
    <w:rsid w:val="2A0C2A72"/>
    <w:rsid w:val="2B272BDA"/>
    <w:rsid w:val="2C575892"/>
    <w:rsid w:val="2C6C2814"/>
    <w:rsid w:val="2C6E439E"/>
    <w:rsid w:val="2C732934"/>
    <w:rsid w:val="2C8F073A"/>
    <w:rsid w:val="2CA67011"/>
    <w:rsid w:val="2D194E5C"/>
    <w:rsid w:val="2DE65B97"/>
    <w:rsid w:val="2E55261B"/>
    <w:rsid w:val="2EB060C2"/>
    <w:rsid w:val="30EA318F"/>
    <w:rsid w:val="313905F0"/>
    <w:rsid w:val="31AF08B2"/>
    <w:rsid w:val="31E70913"/>
    <w:rsid w:val="32D217E8"/>
    <w:rsid w:val="32F12805"/>
    <w:rsid w:val="32F732CA"/>
    <w:rsid w:val="32FC18D5"/>
    <w:rsid w:val="331C5AD4"/>
    <w:rsid w:val="334453A4"/>
    <w:rsid w:val="33C341A1"/>
    <w:rsid w:val="33D740F0"/>
    <w:rsid w:val="34906983"/>
    <w:rsid w:val="34A02F04"/>
    <w:rsid w:val="361433DA"/>
    <w:rsid w:val="366F37EB"/>
    <w:rsid w:val="367D4F11"/>
    <w:rsid w:val="36B36B59"/>
    <w:rsid w:val="36DF18FA"/>
    <w:rsid w:val="36E8167B"/>
    <w:rsid w:val="376C52A2"/>
    <w:rsid w:val="37A10C9D"/>
    <w:rsid w:val="37C5786B"/>
    <w:rsid w:val="37E8067A"/>
    <w:rsid w:val="38733E92"/>
    <w:rsid w:val="389E342F"/>
    <w:rsid w:val="38E56968"/>
    <w:rsid w:val="395C56DE"/>
    <w:rsid w:val="3A2E5676"/>
    <w:rsid w:val="3A6B617C"/>
    <w:rsid w:val="3A965B44"/>
    <w:rsid w:val="3AFE1F63"/>
    <w:rsid w:val="3B450A85"/>
    <w:rsid w:val="3B4F3BCB"/>
    <w:rsid w:val="3BAD598F"/>
    <w:rsid w:val="3CE05DC4"/>
    <w:rsid w:val="3D655CAD"/>
    <w:rsid w:val="3D73239C"/>
    <w:rsid w:val="3DC3562A"/>
    <w:rsid w:val="3DCF123E"/>
    <w:rsid w:val="3E3103B1"/>
    <w:rsid w:val="3F895DB9"/>
    <w:rsid w:val="3FC733A8"/>
    <w:rsid w:val="3FFE146B"/>
    <w:rsid w:val="401069C0"/>
    <w:rsid w:val="40B72A9F"/>
    <w:rsid w:val="412070D7"/>
    <w:rsid w:val="413D18AA"/>
    <w:rsid w:val="41971DBD"/>
    <w:rsid w:val="423F17DF"/>
    <w:rsid w:val="42440BA3"/>
    <w:rsid w:val="42886D23"/>
    <w:rsid w:val="43486471"/>
    <w:rsid w:val="435B43F6"/>
    <w:rsid w:val="43607C5E"/>
    <w:rsid w:val="43AE0137"/>
    <w:rsid w:val="43CC4B30"/>
    <w:rsid w:val="440C749E"/>
    <w:rsid w:val="44511123"/>
    <w:rsid w:val="44973170"/>
    <w:rsid w:val="452B604A"/>
    <w:rsid w:val="455A3219"/>
    <w:rsid w:val="457173F8"/>
    <w:rsid w:val="45A34DF4"/>
    <w:rsid w:val="45F823D0"/>
    <w:rsid w:val="46843C64"/>
    <w:rsid w:val="46893028"/>
    <w:rsid w:val="46DD3FA9"/>
    <w:rsid w:val="4734568A"/>
    <w:rsid w:val="47AE7CCF"/>
    <w:rsid w:val="47FA24B7"/>
    <w:rsid w:val="480C0CC5"/>
    <w:rsid w:val="48554C50"/>
    <w:rsid w:val="4956395B"/>
    <w:rsid w:val="499A6059"/>
    <w:rsid w:val="49C017DB"/>
    <w:rsid w:val="4A565917"/>
    <w:rsid w:val="4AE65862"/>
    <w:rsid w:val="4B3519D1"/>
    <w:rsid w:val="4B9B4251"/>
    <w:rsid w:val="4BC845F3"/>
    <w:rsid w:val="4BF413EA"/>
    <w:rsid w:val="4C9B3AB5"/>
    <w:rsid w:val="4D5A127B"/>
    <w:rsid w:val="4E524648"/>
    <w:rsid w:val="4E697BF2"/>
    <w:rsid w:val="4F640350"/>
    <w:rsid w:val="4F8C1172"/>
    <w:rsid w:val="507D710A"/>
    <w:rsid w:val="50844495"/>
    <w:rsid w:val="508670F0"/>
    <w:rsid w:val="50A873B9"/>
    <w:rsid w:val="50C52CA1"/>
    <w:rsid w:val="50E7551B"/>
    <w:rsid w:val="50F32112"/>
    <w:rsid w:val="51516E38"/>
    <w:rsid w:val="52C26DA5"/>
    <w:rsid w:val="52C84CF5"/>
    <w:rsid w:val="53D135FB"/>
    <w:rsid w:val="53E05781"/>
    <w:rsid w:val="53EE716F"/>
    <w:rsid w:val="54361EC0"/>
    <w:rsid w:val="546B0211"/>
    <w:rsid w:val="54E82BB7"/>
    <w:rsid w:val="551F6F5A"/>
    <w:rsid w:val="55B43D13"/>
    <w:rsid w:val="55DA38A0"/>
    <w:rsid w:val="55EB160A"/>
    <w:rsid w:val="562C3FA0"/>
    <w:rsid w:val="56864135"/>
    <w:rsid w:val="56924D1B"/>
    <w:rsid w:val="571660D2"/>
    <w:rsid w:val="585573E7"/>
    <w:rsid w:val="58773629"/>
    <w:rsid w:val="58B63D67"/>
    <w:rsid w:val="599252AD"/>
    <w:rsid w:val="599F6255"/>
    <w:rsid w:val="59E00D5A"/>
    <w:rsid w:val="59EA1396"/>
    <w:rsid w:val="5A322152"/>
    <w:rsid w:val="5A334C18"/>
    <w:rsid w:val="5BD65D63"/>
    <w:rsid w:val="5C2974BB"/>
    <w:rsid w:val="5C4B79F0"/>
    <w:rsid w:val="5C6164F3"/>
    <w:rsid w:val="5EB804F7"/>
    <w:rsid w:val="5EEF047E"/>
    <w:rsid w:val="5F4E6765"/>
    <w:rsid w:val="5F841038"/>
    <w:rsid w:val="5FC627A0"/>
    <w:rsid w:val="606A2F3D"/>
    <w:rsid w:val="607B2E53"/>
    <w:rsid w:val="60A77C5F"/>
    <w:rsid w:val="62196213"/>
    <w:rsid w:val="626A7D5A"/>
    <w:rsid w:val="638B5099"/>
    <w:rsid w:val="63E458EA"/>
    <w:rsid w:val="63EF6D4C"/>
    <w:rsid w:val="641F55CF"/>
    <w:rsid w:val="643A515D"/>
    <w:rsid w:val="64E8140A"/>
    <w:rsid w:val="65CF150A"/>
    <w:rsid w:val="65ED4F2A"/>
    <w:rsid w:val="65EF576E"/>
    <w:rsid w:val="66EC10AB"/>
    <w:rsid w:val="67234BE8"/>
    <w:rsid w:val="675A37D7"/>
    <w:rsid w:val="67863276"/>
    <w:rsid w:val="67C37F93"/>
    <w:rsid w:val="67D5211A"/>
    <w:rsid w:val="68565E67"/>
    <w:rsid w:val="68590208"/>
    <w:rsid w:val="686C39B1"/>
    <w:rsid w:val="68B72934"/>
    <w:rsid w:val="68C36416"/>
    <w:rsid w:val="691C4BBB"/>
    <w:rsid w:val="6975655B"/>
    <w:rsid w:val="69A9737D"/>
    <w:rsid w:val="69EB1FDC"/>
    <w:rsid w:val="6A5B6461"/>
    <w:rsid w:val="6AF5553D"/>
    <w:rsid w:val="6B715CB5"/>
    <w:rsid w:val="6B817AEE"/>
    <w:rsid w:val="6B9E401E"/>
    <w:rsid w:val="6C1A6998"/>
    <w:rsid w:val="6E1B45FE"/>
    <w:rsid w:val="6F382B26"/>
    <w:rsid w:val="701962D0"/>
    <w:rsid w:val="711C77D0"/>
    <w:rsid w:val="71AD1D19"/>
    <w:rsid w:val="73051406"/>
    <w:rsid w:val="730B69EF"/>
    <w:rsid w:val="73325069"/>
    <w:rsid w:val="73A77042"/>
    <w:rsid w:val="73BF77DA"/>
    <w:rsid w:val="73C3551C"/>
    <w:rsid w:val="73ED0541"/>
    <w:rsid w:val="73F71B2F"/>
    <w:rsid w:val="74D73D6C"/>
    <w:rsid w:val="7524075C"/>
    <w:rsid w:val="75F53ABC"/>
    <w:rsid w:val="762B1157"/>
    <w:rsid w:val="76963418"/>
    <w:rsid w:val="76C07BAD"/>
    <w:rsid w:val="76C64F98"/>
    <w:rsid w:val="7808527E"/>
    <w:rsid w:val="788C4531"/>
    <w:rsid w:val="791F31F5"/>
    <w:rsid w:val="79792DFF"/>
    <w:rsid w:val="79D80E07"/>
    <w:rsid w:val="79E420E8"/>
    <w:rsid w:val="7A863AB8"/>
    <w:rsid w:val="7AB427B8"/>
    <w:rsid w:val="7ACA4716"/>
    <w:rsid w:val="7AF44B79"/>
    <w:rsid w:val="7B747F48"/>
    <w:rsid w:val="7B914152"/>
    <w:rsid w:val="7CEA3F9E"/>
    <w:rsid w:val="7DA939D5"/>
    <w:rsid w:val="7DBA5E29"/>
    <w:rsid w:val="7DE92023"/>
    <w:rsid w:val="7ECE1CDB"/>
    <w:rsid w:val="7ED45A9B"/>
    <w:rsid w:val="7EDA7FF8"/>
    <w:rsid w:val="7F1D0EAA"/>
    <w:rsid w:val="7F477001"/>
    <w:rsid w:val="7F637BB3"/>
    <w:rsid w:val="7F774919"/>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4">
    <w:name w:val="Body Text Indent 2"/>
    <w:basedOn w:val="1"/>
    <w:qFormat/>
    <w:uiPriority w:val="0"/>
    <w:pPr>
      <w:ind w:firstLine="630"/>
    </w:pPr>
    <w:rPr>
      <w:sz w:val="32"/>
      <w:szCs w:val="20"/>
    </w:rPr>
  </w:style>
  <w:style w:type="paragraph" w:styleId="5">
    <w:name w:val="footer"/>
    <w:basedOn w:val="1"/>
    <w:next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font2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eastAsia" w:ascii="宋体" w:hAnsi="宋体" w:eastAsia="宋体" w:cs="宋体"/>
      <w:color w:val="000000"/>
      <w:sz w:val="20"/>
      <w:szCs w:val="20"/>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4568</Words>
  <Characters>4774</Characters>
  <Lines>39</Lines>
  <Paragraphs>11</Paragraphs>
  <TotalTime>0</TotalTime>
  <ScaleCrop>false</ScaleCrop>
  <LinksUpToDate>false</LinksUpToDate>
  <CharactersWithSpaces>4821</CharactersWithSpaces>
  <Application>WPS Office_12.1.0.26895_F1E327BC-269C-435d-A152-05C5408002CA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2025-10-31T03:20:00Z</dcterms:created>
  <dc:creator>LGYY-USER</dc:creator>
  <cp:lastModifiedBy>不为什么</cp:lastModifiedBy>
  <dcterms:modified xsi:type="dcterms:W3CDTF">2026-06-16T13:09:05Z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eyJoZGlkIjoiYmRlNGQ1ZjU3MjI2Mjc5OGQyNmEwZjVkN2FlOTUyMGQiLCJ1c2VySWQiOiI4MjU2MjIwOTUifQ==</vt:lpwstr>
  </property>
  <property fmtid="{D5CDD505-2E9C-101B-9397-08002B2CF9AE}" pid="4" name="ICV">
    <vt:lpwstr>82E431C40719474DACFFA6860810B570_13</vt:lpwstr>
  </property>
</Properties>
</file>