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3F16" w14:textId="77777777" w:rsidR="004833EC" w:rsidRPr="00376DFB" w:rsidRDefault="00053212">
      <w:pPr>
        <w:keepNext/>
        <w:keepLines/>
        <w:spacing w:line="312" w:lineRule="auto"/>
        <w:jc w:val="center"/>
        <w:rPr>
          <w:rFonts w:asciiTheme="majorEastAsia" w:eastAsiaTheme="majorEastAsia" w:hAnsiTheme="majorEastAsia" w:cs="微软雅黑"/>
          <w:b/>
          <w:bCs/>
          <w:color w:val="000000" w:themeColor="text1"/>
          <w:kern w:val="44"/>
          <w:sz w:val="32"/>
          <w:szCs w:val="30"/>
        </w:rPr>
      </w:pPr>
      <w:bookmarkStart w:id="0" w:name="_Toc344816509"/>
      <w:r w:rsidRPr="00376DFB">
        <w:rPr>
          <w:rFonts w:asciiTheme="majorEastAsia" w:eastAsiaTheme="majorEastAsia" w:hAnsiTheme="majorEastAsia" w:cs="微软雅黑" w:hint="eastAsia"/>
          <w:b/>
          <w:bCs/>
          <w:color w:val="000000" w:themeColor="text1"/>
          <w:kern w:val="44"/>
          <w:sz w:val="32"/>
          <w:szCs w:val="30"/>
        </w:rPr>
        <w:t>柳州市</w:t>
      </w:r>
      <w:r w:rsidRPr="00376DFB">
        <w:rPr>
          <w:rFonts w:asciiTheme="majorEastAsia" w:eastAsiaTheme="majorEastAsia" w:hAnsiTheme="majorEastAsia" w:cs="微软雅黑"/>
          <w:b/>
          <w:bCs/>
          <w:color w:val="000000" w:themeColor="text1"/>
          <w:kern w:val="44"/>
          <w:sz w:val="32"/>
          <w:szCs w:val="30"/>
        </w:rPr>
        <w:t>工人医院</w:t>
      </w:r>
      <w:r w:rsidRPr="00376DFB">
        <w:rPr>
          <w:rFonts w:asciiTheme="majorEastAsia" w:eastAsiaTheme="majorEastAsia" w:hAnsiTheme="majorEastAsia" w:cs="微软雅黑" w:hint="eastAsia"/>
          <w:b/>
          <w:bCs/>
          <w:color w:val="000000" w:themeColor="text1"/>
          <w:kern w:val="44"/>
          <w:sz w:val="32"/>
          <w:szCs w:val="30"/>
        </w:rPr>
        <w:t>医务管理系统升级技术参数要求</w:t>
      </w:r>
    </w:p>
    <w:p w14:paraId="509B8F80" w14:textId="77777777" w:rsidR="004833EC" w:rsidRPr="00376DFB" w:rsidRDefault="004833EC">
      <w:pPr>
        <w:keepNext/>
        <w:keepLines/>
        <w:spacing w:line="312" w:lineRule="auto"/>
        <w:ind w:leftChars="200" w:left="420"/>
        <w:jc w:val="left"/>
        <w:rPr>
          <w:rFonts w:ascii="宋体" w:eastAsia="宋体" w:hAnsi="宋体" w:cs="微软雅黑"/>
          <w:b/>
          <w:bCs/>
          <w:color w:val="000000" w:themeColor="text1"/>
          <w:kern w:val="44"/>
          <w:sz w:val="24"/>
          <w:szCs w:val="24"/>
        </w:rPr>
      </w:pPr>
    </w:p>
    <w:p w14:paraId="31E81170" w14:textId="77777777" w:rsidR="004833EC" w:rsidRPr="00376DFB" w:rsidRDefault="004833EC">
      <w:pPr>
        <w:pStyle w:val="a0"/>
        <w:rPr>
          <w:color w:val="000000" w:themeColor="text1"/>
          <w:lang w:val="en-US"/>
        </w:rPr>
      </w:pPr>
    </w:p>
    <w:bookmarkEnd w:id="0"/>
    <w:p w14:paraId="67674F9C"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一、项目背景</w:t>
      </w:r>
    </w:p>
    <w:p w14:paraId="73B720F7"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随着医疗卫生行业快速发展与患者就医需求持续提升，传统医务管理模式已难以满足现代医院高效运营和精细化管理的发展要求，加之 2018 年国家卫生健康委发布《医疗技术临床应用管理办法》，对医务人员医疗技术临床应用及档案规范化管理</w:t>
      </w:r>
      <w:proofErr w:type="gramStart"/>
      <w:r w:rsidRPr="00376DFB">
        <w:rPr>
          <w:rFonts w:ascii="宋体" w:eastAsia="宋体" w:hAnsi="宋体" w:hint="eastAsia"/>
          <w:color w:val="000000" w:themeColor="text1"/>
          <w:sz w:val="24"/>
          <w:szCs w:val="24"/>
        </w:rPr>
        <w:t>作出</w:t>
      </w:r>
      <w:proofErr w:type="gramEnd"/>
      <w:r w:rsidRPr="00376DFB">
        <w:rPr>
          <w:rFonts w:ascii="宋体" w:eastAsia="宋体" w:hAnsi="宋体" w:hint="eastAsia"/>
          <w:color w:val="000000" w:themeColor="text1"/>
          <w:sz w:val="24"/>
          <w:szCs w:val="24"/>
        </w:rPr>
        <w:t>明确规定，而我院现有医务管理系统在信息化、规范化、流程化建设上仍存在短板，无法实时精准掌握医务人员综合情况、支撑医务职能高效管控，为全面提升医院医务管理能力，推动传统管理模式向现代化新型管理模式转</w:t>
      </w:r>
      <w:bookmarkStart w:id="1" w:name="_GoBack"/>
      <w:bookmarkEnd w:id="1"/>
      <w:r w:rsidRPr="00376DFB">
        <w:rPr>
          <w:rFonts w:ascii="宋体" w:eastAsia="宋体" w:hAnsi="宋体" w:hint="eastAsia"/>
          <w:color w:val="000000" w:themeColor="text1"/>
          <w:sz w:val="24"/>
          <w:szCs w:val="24"/>
        </w:rPr>
        <w:t>型升级，我院</w:t>
      </w:r>
      <w:proofErr w:type="gramStart"/>
      <w:r w:rsidRPr="00376DFB">
        <w:rPr>
          <w:rFonts w:ascii="宋体" w:eastAsia="宋体" w:hAnsi="宋体" w:hint="eastAsia"/>
          <w:color w:val="000000" w:themeColor="text1"/>
          <w:sz w:val="24"/>
          <w:szCs w:val="24"/>
        </w:rPr>
        <w:t>特启动</w:t>
      </w:r>
      <w:proofErr w:type="gramEnd"/>
      <w:r w:rsidRPr="00376DFB">
        <w:rPr>
          <w:rFonts w:ascii="宋体" w:eastAsia="宋体" w:hAnsi="宋体" w:hint="eastAsia"/>
          <w:color w:val="000000" w:themeColor="text1"/>
          <w:sz w:val="24"/>
          <w:szCs w:val="24"/>
        </w:rPr>
        <w:t>本次医务管理系统升级改造项目，项目将依托 HIS 等现有业务系统，运用智能化、信息化技术推进医院新一代数据中心建设，</w:t>
      </w:r>
      <w:proofErr w:type="gramStart"/>
      <w:r w:rsidRPr="00376DFB">
        <w:rPr>
          <w:rFonts w:ascii="宋体" w:eastAsia="宋体" w:hAnsi="宋体" w:hint="eastAsia"/>
          <w:color w:val="000000" w:themeColor="text1"/>
          <w:sz w:val="24"/>
          <w:szCs w:val="24"/>
        </w:rPr>
        <w:t>完善全</w:t>
      </w:r>
      <w:proofErr w:type="gramEnd"/>
      <w:r w:rsidRPr="00376DFB">
        <w:rPr>
          <w:rFonts w:ascii="宋体" w:eastAsia="宋体" w:hAnsi="宋体" w:hint="eastAsia"/>
          <w:color w:val="000000" w:themeColor="text1"/>
          <w:sz w:val="24"/>
          <w:szCs w:val="24"/>
        </w:rPr>
        <w:t>流程医疗服务体系，坚持以病人为中心的服务理念，构建可迭代更新的长效支撑体系，持续提升医疗服务质量与运营效率，进一步增强医院综合竞争实力。</w:t>
      </w:r>
    </w:p>
    <w:p w14:paraId="670BAB26" w14:textId="77777777" w:rsidR="004833EC" w:rsidRPr="00376DFB" w:rsidRDefault="004833EC">
      <w:pPr>
        <w:spacing w:line="312" w:lineRule="auto"/>
        <w:rPr>
          <w:rFonts w:ascii="宋体" w:eastAsia="宋体" w:hAnsi="宋体"/>
          <w:color w:val="000000" w:themeColor="text1"/>
          <w:sz w:val="24"/>
          <w:szCs w:val="24"/>
        </w:rPr>
      </w:pPr>
    </w:p>
    <w:p w14:paraId="31921FAC"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二、项目建设内容及要求</w:t>
      </w:r>
    </w:p>
    <w:tbl>
      <w:tblPr>
        <w:tblStyle w:val="a8"/>
        <w:tblW w:w="8520" w:type="dxa"/>
        <w:jc w:val="center"/>
        <w:tblLayout w:type="fixed"/>
        <w:tblLook w:val="04A0" w:firstRow="1" w:lastRow="0" w:firstColumn="1" w:lastColumn="0" w:noHBand="0" w:noVBand="1"/>
      </w:tblPr>
      <w:tblGrid>
        <w:gridCol w:w="674"/>
        <w:gridCol w:w="1134"/>
        <w:gridCol w:w="1134"/>
        <w:gridCol w:w="5578"/>
      </w:tblGrid>
      <w:tr w:rsidR="00376DFB" w:rsidRPr="00376DFB" w14:paraId="53E90CC3" w14:textId="77777777">
        <w:trPr>
          <w:jc w:val="center"/>
        </w:trPr>
        <w:tc>
          <w:tcPr>
            <w:tcW w:w="674" w:type="dxa"/>
            <w:vAlign w:val="center"/>
          </w:tcPr>
          <w:p w14:paraId="52FE18CC"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序号</w:t>
            </w:r>
          </w:p>
        </w:tc>
        <w:tc>
          <w:tcPr>
            <w:tcW w:w="1134" w:type="dxa"/>
            <w:vAlign w:val="center"/>
          </w:tcPr>
          <w:p w14:paraId="01A52117"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模块</w:t>
            </w:r>
          </w:p>
        </w:tc>
        <w:tc>
          <w:tcPr>
            <w:tcW w:w="1134" w:type="dxa"/>
            <w:vAlign w:val="center"/>
          </w:tcPr>
          <w:p w14:paraId="0D36BF6E"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功能</w:t>
            </w:r>
          </w:p>
        </w:tc>
        <w:tc>
          <w:tcPr>
            <w:tcW w:w="5578" w:type="dxa"/>
            <w:vAlign w:val="center"/>
          </w:tcPr>
          <w:p w14:paraId="22D7CC04"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内涵描述</w:t>
            </w:r>
          </w:p>
        </w:tc>
      </w:tr>
      <w:tr w:rsidR="00376DFB" w:rsidRPr="00376DFB" w14:paraId="246C3310" w14:textId="77777777">
        <w:trPr>
          <w:jc w:val="center"/>
        </w:trPr>
        <w:tc>
          <w:tcPr>
            <w:tcW w:w="674" w:type="dxa"/>
            <w:vMerge w:val="restart"/>
            <w:vAlign w:val="center"/>
          </w:tcPr>
          <w:p w14:paraId="497BEAF5"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color w:val="000000" w:themeColor="text1"/>
              </w:rPr>
              <w:t>1</w:t>
            </w:r>
          </w:p>
        </w:tc>
        <w:tc>
          <w:tcPr>
            <w:tcW w:w="1134" w:type="dxa"/>
            <w:vMerge w:val="restart"/>
            <w:vAlign w:val="center"/>
          </w:tcPr>
          <w:p w14:paraId="2F655466"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资质授权</w:t>
            </w:r>
          </w:p>
        </w:tc>
        <w:tc>
          <w:tcPr>
            <w:tcW w:w="1134" w:type="dxa"/>
            <w:vAlign w:val="center"/>
          </w:tcPr>
          <w:p w14:paraId="799EBE4B"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资质管理</w:t>
            </w:r>
          </w:p>
        </w:tc>
        <w:tc>
          <w:tcPr>
            <w:tcW w:w="5578" w:type="dxa"/>
            <w:vAlign w:val="center"/>
          </w:tcPr>
          <w:p w14:paraId="492E7323" w14:textId="77777777" w:rsidR="004833EC" w:rsidRPr="00376DFB" w:rsidRDefault="00053212">
            <w:pPr>
              <w:spacing w:line="312" w:lineRule="auto"/>
              <w:jc w:val="left"/>
              <w:rPr>
                <w:rFonts w:ascii="宋体" w:eastAsia="宋体" w:hAnsi="宋体"/>
                <w:color w:val="000000" w:themeColor="text1"/>
              </w:rPr>
            </w:pPr>
            <w:bookmarkStart w:id="2" w:name="OLE_LINK1"/>
            <w:bookmarkStart w:id="3" w:name="OLE_LINK2"/>
            <w:r w:rsidRPr="00376DFB">
              <w:rPr>
                <w:rFonts w:ascii="宋体" w:eastAsia="宋体" w:hAnsi="宋体" w:hint="eastAsia"/>
                <w:color w:val="000000" w:themeColor="text1"/>
              </w:rPr>
              <w:t>优化资质申请、审批流程，支持移动端审批；支持资质到期自动提醒、资质材料在线上传与归档、审批进度实时查询与历史记录留存。</w:t>
            </w:r>
            <w:bookmarkEnd w:id="2"/>
            <w:bookmarkEnd w:id="3"/>
          </w:p>
        </w:tc>
      </w:tr>
      <w:tr w:rsidR="00376DFB" w:rsidRPr="00376DFB" w14:paraId="46CEDB29" w14:textId="77777777">
        <w:trPr>
          <w:jc w:val="center"/>
        </w:trPr>
        <w:tc>
          <w:tcPr>
            <w:tcW w:w="674" w:type="dxa"/>
            <w:vMerge/>
            <w:vAlign w:val="center"/>
          </w:tcPr>
          <w:p w14:paraId="255AFE99"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37537422"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46EA6C34"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授权管理</w:t>
            </w:r>
          </w:p>
        </w:tc>
        <w:tc>
          <w:tcPr>
            <w:tcW w:w="5578" w:type="dxa"/>
            <w:vAlign w:val="center"/>
          </w:tcPr>
          <w:p w14:paraId="1DCE201D"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优化授权管理、事中监管，支持移动端提示风险预警；实现授权动态调整、超权限操作拦截、授权日志全程留痕、异常行为实时告警。</w:t>
            </w:r>
          </w:p>
        </w:tc>
      </w:tr>
      <w:tr w:rsidR="00376DFB" w:rsidRPr="00376DFB" w14:paraId="275CFD55" w14:textId="77777777">
        <w:trPr>
          <w:jc w:val="center"/>
        </w:trPr>
        <w:tc>
          <w:tcPr>
            <w:tcW w:w="674" w:type="dxa"/>
            <w:vMerge/>
            <w:vAlign w:val="center"/>
          </w:tcPr>
          <w:p w14:paraId="74251EA7"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50DFDDC0"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28C4B8AC"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能力展示</w:t>
            </w:r>
          </w:p>
        </w:tc>
        <w:tc>
          <w:tcPr>
            <w:tcW w:w="5578" w:type="dxa"/>
            <w:vAlign w:val="center"/>
          </w:tcPr>
          <w:p w14:paraId="6946E7A3"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优化个人、科室技术能力数据展示，直接点击下探查询详细数据，保持数据动态更新；支持多维度筛选、图表可视化展示、数据导出。</w:t>
            </w:r>
          </w:p>
        </w:tc>
      </w:tr>
      <w:tr w:rsidR="00376DFB" w:rsidRPr="00376DFB" w14:paraId="7BB60C87" w14:textId="77777777">
        <w:trPr>
          <w:jc w:val="center"/>
        </w:trPr>
        <w:tc>
          <w:tcPr>
            <w:tcW w:w="674" w:type="dxa"/>
            <w:vMerge/>
            <w:vAlign w:val="center"/>
          </w:tcPr>
          <w:p w14:paraId="64C66DA2"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7790861D"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1D725A91"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技术目录</w:t>
            </w:r>
          </w:p>
        </w:tc>
        <w:tc>
          <w:tcPr>
            <w:tcW w:w="5578" w:type="dxa"/>
            <w:vAlign w:val="center"/>
          </w:tcPr>
          <w:p w14:paraId="11E2C063"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优化批量管理技术目录，支持按个人、科室查询并管理；支持技术目录新增 / 停用 / 修订、权限关联配置。</w:t>
            </w:r>
          </w:p>
        </w:tc>
      </w:tr>
      <w:tr w:rsidR="00376DFB" w:rsidRPr="00376DFB" w14:paraId="396B24CA" w14:textId="77777777">
        <w:trPr>
          <w:jc w:val="center"/>
        </w:trPr>
        <w:tc>
          <w:tcPr>
            <w:tcW w:w="674" w:type="dxa"/>
            <w:vMerge w:val="restart"/>
            <w:vAlign w:val="center"/>
          </w:tcPr>
          <w:p w14:paraId="42D9FECD"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2</w:t>
            </w:r>
          </w:p>
        </w:tc>
        <w:tc>
          <w:tcPr>
            <w:tcW w:w="1134" w:type="dxa"/>
            <w:vMerge w:val="restart"/>
            <w:vAlign w:val="center"/>
          </w:tcPr>
          <w:p w14:paraId="604BDC07"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医疗质量管理</w:t>
            </w:r>
          </w:p>
        </w:tc>
        <w:tc>
          <w:tcPr>
            <w:tcW w:w="1134" w:type="dxa"/>
            <w:vAlign w:val="center"/>
          </w:tcPr>
          <w:p w14:paraId="3709EEE3"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业务学习管理</w:t>
            </w:r>
          </w:p>
        </w:tc>
        <w:tc>
          <w:tcPr>
            <w:tcW w:w="5578" w:type="dxa"/>
            <w:vAlign w:val="center"/>
          </w:tcPr>
          <w:p w14:paraId="0F11D5EF"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t>支持临床科室按月份上</w:t>
            </w:r>
            <w:proofErr w:type="gramStart"/>
            <w:r w:rsidRPr="00376DFB">
              <w:rPr>
                <w:rFonts w:ascii="宋体" w:eastAsia="宋体" w:hAnsi="宋体" w:hint="eastAsia"/>
                <w:color w:val="000000" w:themeColor="text1"/>
                <w:kern w:val="2"/>
                <w:sz w:val="21"/>
                <w:szCs w:val="22"/>
                <w:lang w:val="en-US"/>
              </w:rPr>
              <w:t>传学习</w:t>
            </w:r>
            <w:proofErr w:type="gramEnd"/>
            <w:r w:rsidRPr="00376DFB">
              <w:rPr>
                <w:rFonts w:ascii="宋体" w:eastAsia="宋体" w:hAnsi="宋体" w:hint="eastAsia"/>
                <w:color w:val="000000" w:themeColor="text1"/>
                <w:kern w:val="2"/>
                <w:sz w:val="21"/>
                <w:szCs w:val="22"/>
                <w:lang w:val="en-US"/>
              </w:rPr>
              <w:t>计划和学习记录，由医务科审核。支持快速汇总学习计划上传及完成情况、</w:t>
            </w:r>
            <w:r w:rsidRPr="00376DFB">
              <w:rPr>
                <w:rFonts w:ascii="宋体" w:eastAsia="宋体" w:hAnsi="宋体"/>
                <w:color w:val="000000" w:themeColor="text1"/>
                <w:kern w:val="2"/>
                <w:sz w:val="21"/>
                <w:szCs w:val="22"/>
                <w:lang w:val="en-US"/>
              </w:rPr>
              <w:t>未完成提醒</w:t>
            </w:r>
            <w:r w:rsidRPr="00376DFB">
              <w:rPr>
                <w:rFonts w:ascii="宋体" w:eastAsia="宋体" w:hAnsi="宋体" w:hint="eastAsia"/>
                <w:color w:val="000000" w:themeColor="text1"/>
                <w:kern w:val="2"/>
                <w:sz w:val="21"/>
                <w:szCs w:val="22"/>
                <w:lang w:val="en-US"/>
              </w:rPr>
              <w:t>。</w:t>
            </w:r>
          </w:p>
        </w:tc>
      </w:tr>
      <w:tr w:rsidR="00376DFB" w:rsidRPr="00376DFB" w14:paraId="4B06B922" w14:textId="77777777">
        <w:trPr>
          <w:jc w:val="center"/>
        </w:trPr>
        <w:tc>
          <w:tcPr>
            <w:tcW w:w="674" w:type="dxa"/>
            <w:vMerge/>
            <w:vAlign w:val="center"/>
          </w:tcPr>
          <w:p w14:paraId="4BD71C0D"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3420DA16"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24258CE3"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数据报表</w:t>
            </w:r>
          </w:p>
        </w:tc>
        <w:tc>
          <w:tcPr>
            <w:tcW w:w="5578" w:type="dxa"/>
            <w:vAlign w:val="center"/>
          </w:tcPr>
          <w:p w14:paraId="1846D82E"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t>1. 数据报表支持点击跳转查看明细；</w:t>
            </w:r>
          </w:p>
          <w:p w14:paraId="7A1D96DD"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lastRenderedPageBreak/>
              <w:t>2. 重构优化报表：科室手术报表、医生手术报表、科室技术能力报表、个人技术能力报表、科室年度手术报表、个人年度手术报表等；</w:t>
            </w:r>
          </w:p>
          <w:p w14:paraId="3AF2F6FD"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t>3. 支持报表自定义筛选、时间段查询、数据导出（Excel）、定期自动生成。</w:t>
            </w:r>
          </w:p>
          <w:p w14:paraId="17F15F58"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t>4. 根据医院数据提取需求，进行板块内报表制作、完善和更改等工作。</w:t>
            </w:r>
          </w:p>
        </w:tc>
      </w:tr>
      <w:tr w:rsidR="00376DFB" w:rsidRPr="00376DFB" w14:paraId="6ECAFDB2" w14:textId="77777777">
        <w:trPr>
          <w:jc w:val="center"/>
        </w:trPr>
        <w:tc>
          <w:tcPr>
            <w:tcW w:w="674" w:type="dxa"/>
            <w:vMerge/>
            <w:vAlign w:val="center"/>
          </w:tcPr>
          <w:p w14:paraId="544BB480"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33CA6B75"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3BD20BB5"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数据导入</w:t>
            </w:r>
          </w:p>
        </w:tc>
        <w:tc>
          <w:tcPr>
            <w:tcW w:w="5578" w:type="dxa"/>
            <w:vAlign w:val="center"/>
          </w:tcPr>
          <w:p w14:paraId="0F4CD8F7" w14:textId="77777777" w:rsidR="004833EC" w:rsidRPr="00376DFB" w:rsidRDefault="00053212">
            <w:pPr>
              <w:pStyle w:val="a0"/>
              <w:spacing w:line="312" w:lineRule="auto"/>
              <w:rPr>
                <w:rFonts w:ascii="宋体" w:eastAsia="宋体" w:hAnsi="宋体"/>
                <w:color w:val="000000" w:themeColor="text1"/>
                <w:kern w:val="2"/>
                <w:sz w:val="21"/>
                <w:szCs w:val="22"/>
                <w:lang w:val="en-US"/>
              </w:rPr>
            </w:pPr>
            <w:r w:rsidRPr="00376DFB">
              <w:rPr>
                <w:rFonts w:ascii="宋体" w:eastAsia="宋体" w:hAnsi="宋体" w:hint="eastAsia"/>
                <w:color w:val="000000" w:themeColor="text1"/>
                <w:kern w:val="2"/>
                <w:sz w:val="21"/>
                <w:szCs w:val="22"/>
                <w:lang w:val="en-US"/>
              </w:rPr>
              <w:t>支持手动按日期导入手术并发症、非计划重返手术室再次手术、术后感染、SSI相关数据，汇总到数据报表；支持批量导入、格式校验、错误提示、导入日志留存、数据去重与修正。</w:t>
            </w:r>
          </w:p>
        </w:tc>
      </w:tr>
      <w:tr w:rsidR="00376DFB" w:rsidRPr="00376DFB" w14:paraId="31EBAEF5" w14:textId="77777777">
        <w:trPr>
          <w:jc w:val="center"/>
        </w:trPr>
        <w:tc>
          <w:tcPr>
            <w:tcW w:w="674" w:type="dxa"/>
            <w:vMerge/>
            <w:vAlign w:val="center"/>
          </w:tcPr>
          <w:p w14:paraId="0AA8DFB1"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724AD1E3"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617F1136"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公立医院绩效考核指标</w:t>
            </w:r>
          </w:p>
        </w:tc>
        <w:tc>
          <w:tcPr>
            <w:tcW w:w="5578" w:type="dxa"/>
            <w:vAlign w:val="center"/>
          </w:tcPr>
          <w:p w14:paraId="7CADAAA2"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支持统计公立医院绩效考核指标：1. 出院患者</w:t>
            </w:r>
            <w:proofErr w:type="gramStart"/>
            <w:r w:rsidRPr="00376DFB">
              <w:rPr>
                <w:rFonts w:ascii="宋体" w:eastAsia="宋体" w:hAnsi="宋体" w:hint="eastAsia"/>
                <w:color w:val="000000" w:themeColor="text1"/>
              </w:rPr>
              <w:t>手术占</w:t>
            </w:r>
            <w:proofErr w:type="gramEnd"/>
            <w:r w:rsidRPr="00376DFB">
              <w:rPr>
                <w:rFonts w:ascii="宋体" w:eastAsia="宋体" w:hAnsi="宋体" w:hint="eastAsia"/>
                <w:color w:val="000000" w:themeColor="text1"/>
              </w:rPr>
              <w:t>比；2. 出院患者微创</w:t>
            </w:r>
            <w:proofErr w:type="gramStart"/>
            <w:r w:rsidRPr="00376DFB">
              <w:rPr>
                <w:rFonts w:ascii="宋体" w:eastAsia="宋体" w:hAnsi="宋体" w:hint="eastAsia"/>
                <w:color w:val="000000" w:themeColor="text1"/>
              </w:rPr>
              <w:t>手术占</w:t>
            </w:r>
            <w:proofErr w:type="gramEnd"/>
            <w:r w:rsidRPr="00376DFB">
              <w:rPr>
                <w:rFonts w:ascii="宋体" w:eastAsia="宋体" w:hAnsi="宋体" w:hint="eastAsia"/>
                <w:color w:val="000000" w:themeColor="text1"/>
              </w:rPr>
              <w:t>比；3. 出院患者四级</w:t>
            </w:r>
            <w:proofErr w:type="gramStart"/>
            <w:r w:rsidRPr="00376DFB">
              <w:rPr>
                <w:rFonts w:ascii="宋体" w:eastAsia="宋体" w:hAnsi="宋体" w:hint="eastAsia"/>
                <w:color w:val="000000" w:themeColor="text1"/>
              </w:rPr>
              <w:t>手术占</w:t>
            </w:r>
            <w:proofErr w:type="gramEnd"/>
            <w:r w:rsidRPr="00376DFB">
              <w:rPr>
                <w:rFonts w:ascii="宋体" w:eastAsia="宋体" w:hAnsi="宋体" w:hint="eastAsia"/>
                <w:color w:val="000000" w:themeColor="text1"/>
              </w:rPr>
              <w:t>比；支持指标自动计算、数据溯源、周期统计、对比分析</w:t>
            </w:r>
          </w:p>
        </w:tc>
      </w:tr>
      <w:tr w:rsidR="00376DFB" w:rsidRPr="00376DFB" w14:paraId="0EF75215" w14:textId="77777777">
        <w:trPr>
          <w:jc w:val="center"/>
        </w:trPr>
        <w:tc>
          <w:tcPr>
            <w:tcW w:w="674" w:type="dxa"/>
            <w:vAlign w:val="center"/>
          </w:tcPr>
          <w:p w14:paraId="416CDD93"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color w:val="000000" w:themeColor="text1"/>
              </w:rPr>
              <w:t>3</w:t>
            </w:r>
          </w:p>
        </w:tc>
        <w:tc>
          <w:tcPr>
            <w:tcW w:w="1134" w:type="dxa"/>
            <w:vAlign w:val="center"/>
          </w:tcPr>
          <w:p w14:paraId="669E14CE"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项目预算管理</w:t>
            </w:r>
          </w:p>
        </w:tc>
        <w:tc>
          <w:tcPr>
            <w:tcW w:w="1134" w:type="dxa"/>
            <w:vAlign w:val="center"/>
          </w:tcPr>
          <w:p w14:paraId="7AA06FD8"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项目预算管理</w:t>
            </w:r>
          </w:p>
        </w:tc>
        <w:tc>
          <w:tcPr>
            <w:tcW w:w="5578" w:type="dxa"/>
            <w:vAlign w:val="center"/>
          </w:tcPr>
          <w:p w14:paraId="20C5E1D8"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根据医院需求，开发重点项目预算管理，实现追踪项目预算使用情况；支持执行监控、超支预警、决算汇总、明细查询与报表导出。</w:t>
            </w:r>
          </w:p>
        </w:tc>
      </w:tr>
      <w:tr w:rsidR="00376DFB" w:rsidRPr="00376DFB" w14:paraId="4807CB1E" w14:textId="77777777">
        <w:trPr>
          <w:jc w:val="center"/>
        </w:trPr>
        <w:tc>
          <w:tcPr>
            <w:tcW w:w="674" w:type="dxa"/>
            <w:vMerge w:val="restart"/>
            <w:vAlign w:val="center"/>
          </w:tcPr>
          <w:p w14:paraId="152AA260"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color w:val="000000" w:themeColor="text1"/>
              </w:rPr>
              <w:t>4</w:t>
            </w:r>
          </w:p>
        </w:tc>
        <w:tc>
          <w:tcPr>
            <w:tcW w:w="1134" w:type="dxa"/>
            <w:vMerge w:val="restart"/>
            <w:vAlign w:val="center"/>
          </w:tcPr>
          <w:p w14:paraId="431D9796"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医务项目管理</w:t>
            </w:r>
          </w:p>
        </w:tc>
        <w:tc>
          <w:tcPr>
            <w:tcW w:w="1134" w:type="dxa"/>
            <w:vAlign w:val="center"/>
          </w:tcPr>
          <w:p w14:paraId="61E7D595"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项目管理</w:t>
            </w:r>
          </w:p>
        </w:tc>
        <w:tc>
          <w:tcPr>
            <w:tcW w:w="5578" w:type="dxa"/>
            <w:vAlign w:val="center"/>
          </w:tcPr>
          <w:p w14:paraId="61822707"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支持医务科按类别及时间发布项目，其他科室按要求上传文件；支持快速汇总项目完成情况、进度跟踪、逾期提醒、结果审核、材料归档。</w:t>
            </w:r>
          </w:p>
        </w:tc>
      </w:tr>
      <w:tr w:rsidR="00376DFB" w:rsidRPr="00376DFB" w14:paraId="6FE094E2" w14:textId="77777777">
        <w:trPr>
          <w:jc w:val="center"/>
        </w:trPr>
        <w:tc>
          <w:tcPr>
            <w:tcW w:w="674" w:type="dxa"/>
            <w:vMerge/>
            <w:vAlign w:val="center"/>
          </w:tcPr>
          <w:p w14:paraId="47C2987D"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1C5FE1FC"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3D522C64"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模板管理</w:t>
            </w:r>
          </w:p>
        </w:tc>
        <w:tc>
          <w:tcPr>
            <w:tcW w:w="5578" w:type="dxa"/>
            <w:vAlign w:val="center"/>
          </w:tcPr>
          <w:p w14:paraId="79E50914"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支持新增、上传、下载项目模板；支持模板分类、在线预览与快速调用</w:t>
            </w:r>
          </w:p>
        </w:tc>
      </w:tr>
      <w:tr w:rsidR="00376DFB" w:rsidRPr="00376DFB" w14:paraId="15964BA2" w14:textId="77777777">
        <w:trPr>
          <w:jc w:val="center"/>
        </w:trPr>
        <w:tc>
          <w:tcPr>
            <w:tcW w:w="674" w:type="dxa"/>
            <w:vMerge/>
            <w:vAlign w:val="center"/>
          </w:tcPr>
          <w:p w14:paraId="38208CD9"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1CE785E3"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64BEA24F"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页面集成</w:t>
            </w:r>
          </w:p>
        </w:tc>
        <w:tc>
          <w:tcPr>
            <w:tcW w:w="5578" w:type="dxa"/>
            <w:vAlign w:val="center"/>
          </w:tcPr>
          <w:p w14:paraId="0DEF88DD"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如医院his系统支持，协助对接，以实现集成化、一体化避免医务人员需要切换使用不同的系统账号。</w:t>
            </w:r>
          </w:p>
        </w:tc>
      </w:tr>
      <w:tr w:rsidR="00376DFB" w:rsidRPr="00376DFB" w14:paraId="18BB1019" w14:textId="77777777">
        <w:trPr>
          <w:jc w:val="center"/>
        </w:trPr>
        <w:tc>
          <w:tcPr>
            <w:tcW w:w="674" w:type="dxa"/>
            <w:vMerge w:val="restart"/>
            <w:vAlign w:val="center"/>
          </w:tcPr>
          <w:p w14:paraId="7771DAD5"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color w:val="000000" w:themeColor="text1"/>
              </w:rPr>
              <w:t>5</w:t>
            </w:r>
          </w:p>
        </w:tc>
        <w:tc>
          <w:tcPr>
            <w:tcW w:w="1134" w:type="dxa"/>
            <w:vMerge w:val="restart"/>
            <w:vAlign w:val="center"/>
          </w:tcPr>
          <w:p w14:paraId="5E22EDF8"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移动端</w:t>
            </w:r>
          </w:p>
        </w:tc>
        <w:tc>
          <w:tcPr>
            <w:tcW w:w="1134" w:type="dxa"/>
            <w:vAlign w:val="center"/>
          </w:tcPr>
          <w:p w14:paraId="743DC1B8"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移动审批</w:t>
            </w:r>
          </w:p>
        </w:tc>
        <w:tc>
          <w:tcPr>
            <w:tcW w:w="5578" w:type="dxa"/>
            <w:vAlign w:val="center"/>
          </w:tcPr>
          <w:p w14:paraId="49766A38"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重构移动审批功能，对接企业微信，实现医务工作便捷性与及时性；支持待办提醒、一键审批、流程查看、附件预览、意见填写与消息推送。形成督导、反馈、整改、分析评价闭环管理。</w:t>
            </w:r>
          </w:p>
        </w:tc>
      </w:tr>
      <w:tr w:rsidR="00376DFB" w:rsidRPr="00376DFB" w14:paraId="6C937699" w14:textId="77777777">
        <w:trPr>
          <w:jc w:val="center"/>
        </w:trPr>
        <w:tc>
          <w:tcPr>
            <w:tcW w:w="674" w:type="dxa"/>
            <w:vMerge/>
            <w:vAlign w:val="center"/>
          </w:tcPr>
          <w:p w14:paraId="00FF8FC5"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2627A728"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264A5440"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移动查询</w:t>
            </w:r>
          </w:p>
        </w:tc>
        <w:tc>
          <w:tcPr>
            <w:tcW w:w="5578" w:type="dxa"/>
            <w:vAlign w:val="center"/>
          </w:tcPr>
          <w:p w14:paraId="7C426822"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支持移动端查询个人 / 科室资质、技术能力、学习记录、项目进度等数据。</w:t>
            </w:r>
          </w:p>
        </w:tc>
      </w:tr>
      <w:tr w:rsidR="00376DFB" w:rsidRPr="00376DFB" w14:paraId="3ED117FD" w14:textId="77777777">
        <w:trPr>
          <w:jc w:val="center"/>
        </w:trPr>
        <w:tc>
          <w:tcPr>
            <w:tcW w:w="674" w:type="dxa"/>
            <w:vMerge/>
            <w:vAlign w:val="center"/>
          </w:tcPr>
          <w:p w14:paraId="56B9A885"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34591AEA"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64C14E24"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消息推送</w:t>
            </w:r>
          </w:p>
        </w:tc>
        <w:tc>
          <w:tcPr>
            <w:tcW w:w="5578" w:type="dxa"/>
            <w:vAlign w:val="center"/>
          </w:tcPr>
          <w:p w14:paraId="73753A4C"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通过</w:t>
            </w:r>
            <w:proofErr w:type="gramStart"/>
            <w:r w:rsidRPr="00376DFB">
              <w:rPr>
                <w:rFonts w:ascii="宋体" w:eastAsia="宋体" w:hAnsi="宋体" w:hint="eastAsia"/>
                <w:color w:val="000000" w:themeColor="text1"/>
              </w:rPr>
              <w:t>企业微信推送</w:t>
            </w:r>
            <w:proofErr w:type="gramEnd"/>
            <w:r w:rsidRPr="00376DFB">
              <w:rPr>
                <w:rFonts w:ascii="宋体" w:eastAsia="宋体" w:hAnsi="宋体" w:hint="eastAsia"/>
                <w:color w:val="000000" w:themeColor="text1"/>
              </w:rPr>
              <w:t>资质到期、授权预警、学习提醒、项目逾期、审批待办等消息，支持消息分类与已读未读标识。</w:t>
            </w:r>
          </w:p>
        </w:tc>
      </w:tr>
      <w:tr w:rsidR="00376DFB" w:rsidRPr="00376DFB" w14:paraId="27EA7727" w14:textId="77777777">
        <w:trPr>
          <w:jc w:val="center"/>
        </w:trPr>
        <w:tc>
          <w:tcPr>
            <w:tcW w:w="674" w:type="dxa"/>
            <w:vMerge w:val="restart"/>
            <w:vAlign w:val="center"/>
          </w:tcPr>
          <w:p w14:paraId="7651D92A"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lastRenderedPageBreak/>
              <w:t>6</w:t>
            </w:r>
          </w:p>
        </w:tc>
        <w:tc>
          <w:tcPr>
            <w:tcW w:w="1134" w:type="dxa"/>
            <w:vMerge w:val="restart"/>
            <w:vAlign w:val="center"/>
          </w:tcPr>
          <w:p w14:paraId="4EF74BB5"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系统管理</w:t>
            </w:r>
          </w:p>
        </w:tc>
        <w:tc>
          <w:tcPr>
            <w:tcW w:w="1134" w:type="dxa"/>
            <w:vAlign w:val="center"/>
          </w:tcPr>
          <w:p w14:paraId="4FE3931C"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用户权限管理</w:t>
            </w:r>
          </w:p>
        </w:tc>
        <w:tc>
          <w:tcPr>
            <w:tcW w:w="5578" w:type="dxa"/>
            <w:vAlign w:val="center"/>
          </w:tcPr>
          <w:p w14:paraId="2DCCCC9E"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支持角色配置、权限细分、用户增删改查、登录日志、操作日志审计，保障系统数据安全。</w:t>
            </w:r>
          </w:p>
        </w:tc>
      </w:tr>
      <w:tr w:rsidR="00376DFB" w:rsidRPr="00376DFB" w14:paraId="41E010DB" w14:textId="77777777">
        <w:trPr>
          <w:jc w:val="center"/>
        </w:trPr>
        <w:tc>
          <w:tcPr>
            <w:tcW w:w="674" w:type="dxa"/>
            <w:vMerge/>
            <w:vAlign w:val="center"/>
          </w:tcPr>
          <w:p w14:paraId="09D20582"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66D8F5AD"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4DCE6AC2"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数据安全</w:t>
            </w:r>
          </w:p>
        </w:tc>
        <w:tc>
          <w:tcPr>
            <w:tcW w:w="5578" w:type="dxa"/>
            <w:vAlign w:val="center"/>
          </w:tcPr>
          <w:p w14:paraId="3650DF0C"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支持数据备份与恢复、敏感数据加密、操作留痕、异常登录检测。</w:t>
            </w:r>
          </w:p>
        </w:tc>
      </w:tr>
      <w:tr w:rsidR="00376DFB" w:rsidRPr="00376DFB" w14:paraId="3A2638EA" w14:textId="77777777">
        <w:trPr>
          <w:jc w:val="center"/>
        </w:trPr>
        <w:tc>
          <w:tcPr>
            <w:tcW w:w="674" w:type="dxa"/>
            <w:vMerge/>
            <w:vAlign w:val="center"/>
          </w:tcPr>
          <w:p w14:paraId="62FBB4E1" w14:textId="77777777" w:rsidR="004833EC" w:rsidRPr="00376DFB" w:rsidRDefault="004833EC">
            <w:pPr>
              <w:spacing w:line="312" w:lineRule="auto"/>
              <w:jc w:val="center"/>
              <w:rPr>
                <w:rFonts w:ascii="宋体" w:eastAsia="宋体" w:hAnsi="宋体"/>
                <w:color w:val="000000" w:themeColor="text1"/>
              </w:rPr>
            </w:pPr>
          </w:p>
        </w:tc>
        <w:tc>
          <w:tcPr>
            <w:tcW w:w="1134" w:type="dxa"/>
            <w:vMerge/>
            <w:vAlign w:val="center"/>
          </w:tcPr>
          <w:p w14:paraId="4BA95E6F" w14:textId="77777777" w:rsidR="004833EC" w:rsidRPr="00376DFB" w:rsidRDefault="004833EC">
            <w:pPr>
              <w:spacing w:line="312" w:lineRule="auto"/>
              <w:jc w:val="center"/>
              <w:rPr>
                <w:rFonts w:ascii="宋体" w:eastAsia="宋体" w:hAnsi="宋体"/>
                <w:color w:val="000000" w:themeColor="text1"/>
              </w:rPr>
            </w:pPr>
          </w:p>
        </w:tc>
        <w:tc>
          <w:tcPr>
            <w:tcW w:w="1134" w:type="dxa"/>
            <w:vAlign w:val="center"/>
          </w:tcPr>
          <w:p w14:paraId="43C0315D"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系统日志</w:t>
            </w:r>
          </w:p>
        </w:tc>
        <w:tc>
          <w:tcPr>
            <w:tcW w:w="5578" w:type="dxa"/>
            <w:vAlign w:val="center"/>
          </w:tcPr>
          <w:p w14:paraId="79B73F19"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记录系统登录、操作、导入、审批、异常等全流程日志，支持日志查询、导出与审计追溯。</w:t>
            </w:r>
          </w:p>
        </w:tc>
      </w:tr>
      <w:tr w:rsidR="00376DFB" w:rsidRPr="00376DFB" w14:paraId="634E9C2A" w14:textId="77777777">
        <w:trPr>
          <w:jc w:val="center"/>
        </w:trPr>
        <w:tc>
          <w:tcPr>
            <w:tcW w:w="674" w:type="dxa"/>
            <w:vMerge w:val="restart"/>
            <w:vAlign w:val="center"/>
          </w:tcPr>
          <w:p w14:paraId="4FA43C09"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7</w:t>
            </w:r>
          </w:p>
        </w:tc>
        <w:tc>
          <w:tcPr>
            <w:tcW w:w="1134" w:type="dxa"/>
            <w:vMerge w:val="restart"/>
            <w:vAlign w:val="center"/>
          </w:tcPr>
          <w:p w14:paraId="39CDB702"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接口管理</w:t>
            </w:r>
          </w:p>
        </w:tc>
        <w:tc>
          <w:tcPr>
            <w:tcW w:w="1134" w:type="dxa"/>
            <w:vAlign w:val="center"/>
          </w:tcPr>
          <w:p w14:paraId="05082CB2" w14:textId="77777777" w:rsidR="004833EC" w:rsidRPr="00376DFB" w:rsidRDefault="00053212">
            <w:pPr>
              <w:spacing w:line="312" w:lineRule="auto"/>
              <w:jc w:val="center"/>
              <w:rPr>
                <w:rFonts w:ascii="宋体" w:eastAsia="宋体" w:hAnsi="宋体"/>
                <w:color w:val="000000" w:themeColor="text1"/>
              </w:rPr>
            </w:pPr>
            <w:r w:rsidRPr="00376DFB">
              <w:rPr>
                <w:rFonts w:ascii="宋体" w:eastAsia="宋体" w:hAnsi="宋体" w:hint="eastAsia"/>
                <w:color w:val="000000" w:themeColor="text1"/>
              </w:rPr>
              <w:t>外部系统对接</w:t>
            </w:r>
          </w:p>
        </w:tc>
        <w:tc>
          <w:tcPr>
            <w:tcW w:w="5578" w:type="dxa"/>
            <w:vAlign w:val="center"/>
          </w:tcPr>
          <w:p w14:paraId="575AD949"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支持与 HIS、电子病历、人力资源管理系统等系统对接，实现基础数据、业务数据双向同步。</w:t>
            </w:r>
          </w:p>
        </w:tc>
      </w:tr>
      <w:tr w:rsidR="00376DFB" w:rsidRPr="00376DFB" w14:paraId="710733F1" w14:textId="77777777">
        <w:trPr>
          <w:jc w:val="center"/>
        </w:trPr>
        <w:tc>
          <w:tcPr>
            <w:tcW w:w="674" w:type="dxa"/>
            <w:vMerge/>
            <w:vAlign w:val="center"/>
          </w:tcPr>
          <w:p w14:paraId="374469A5" w14:textId="77777777" w:rsidR="004833EC" w:rsidRPr="00376DFB" w:rsidRDefault="004833EC">
            <w:pPr>
              <w:rPr>
                <w:color w:val="000000" w:themeColor="text1"/>
              </w:rPr>
            </w:pPr>
          </w:p>
        </w:tc>
        <w:tc>
          <w:tcPr>
            <w:tcW w:w="1134" w:type="dxa"/>
            <w:vMerge/>
            <w:vAlign w:val="center"/>
          </w:tcPr>
          <w:p w14:paraId="41C4AC0E" w14:textId="77777777" w:rsidR="004833EC" w:rsidRPr="00376DFB" w:rsidRDefault="004833EC">
            <w:pPr>
              <w:rPr>
                <w:color w:val="000000" w:themeColor="text1"/>
              </w:rPr>
            </w:pPr>
          </w:p>
        </w:tc>
        <w:tc>
          <w:tcPr>
            <w:tcW w:w="1134" w:type="dxa"/>
            <w:vAlign w:val="center"/>
          </w:tcPr>
          <w:p w14:paraId="4A4E4DB0" w14:textId="77777777" w:rsidR="004833EC" w:rsidRPr="00376DFB" w:rsidRDefault="00053212">
            <w:pPr>
              <w:spacing w:line="312" w:lineRule="auto"/>
              <w:jc w:val="center"/>
              <w:rPr>
                <w:rFonts w:ascii="宋体" w:eastAsia="宋体" w:hAnsi="宋体"/>
                <w:color w:val="000000" w:themeColor="text1"/>
              </w:rPr>
            </w:pPr>
            <w:proofErr w:type="gramStart"/>
            <w:r w:rsidRPr="00376DFB">
              <w:rPr>
                <w:rFonts w:ascii="宋体" w:eastAsia="宋体" w:hAnsi="宋体" w:hint="eastAsia"/>
                <w:color w:val="000000" w:themeColor="text1"/>
              </w:rPr>
              <w:t>企业微信对接</w:t>
            </w:r>
            <w:proofErr w:type="gramEnd"/>
          </w:p>
        </w:tc>
        <w:tc>
          <w:tcPr>
            <w:tcW w:w="5578" w:type="dxa"/>
            <w:vAlign w:val="center"/>
          </w:tcPr>
          <w:p w14:paraId="4E119C5B" w14:textId="77777777" w:rsidR="004833EC" w:rsidRPr="00376DFB" w:rsidRDefault="00053212">
            <w:pPr>
              <w:spacing w:line="312" w:lineRule="auto"/>
              <w:jc w:val="left"/>
              <w:rPr>
                <w:rFonts w:ascii="宋体" w:eastAsia="宋体" w:hAnsi="宋体"/>
                <w:color w:val="000000" w:themeColor="text1"/>
              </w:rPr>
            </w:pPr>
            <w:r w:rsidRPr="00376DFB">
              <w:rPr>
                <w:rFonts w:ascii="宋体" w:eastAsia="宋体" w:hAnsi="宋体" w:hint="eastAsia"/>
                <w:color w:val="000000" w:themeColor="text1"/>
              </w:rPr>
              <w:t>完成消息推送、移动审批、用户身份校验、待办集成等接口开发与联调。</w:t>
            </w:r>
          </w:p>
        </w:tc>
      </w:tr>
    </w:tbl>
    <w:p w14:paraId="5300DF86"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三、对接口及系统改造的要求</w:t>
      </w:r>
    </w:p>
    <w:p w14:paraId="639F3876" w14:textId="77777777" w:rsidR="004833EC" w:rsidRPr="00376DFB" w:rsidRDefault="00053212">
      <w:pPr>
        <w:spacing w:line="312" w:lineRule="auto"/>
        <w:rPr>
          <w:rFonts w:ascii="宋体" w:eastAsia="宋体" w:hAnsi="宋体" w:cs="宋体"/>
          <w:b/>
          <w:bCs/>
          <w:color w:val="000000" w:themeColor="text1"/>
          <w:sz w:val="24"/>
          <w:szCs w:val="24"/>
        </w:rPr>
      </w:pPr>
      <w:r w:rsidRPr="00376DFB">
        <w:rPr>
          <w:rFonts w:ascii="宋体" w:eastAsia="宋体" w:hAnsi="宋体" w:cs="宋体" w:hint="eastAsia"/>
          <w:b/>
          <w:bCs/>
          <w:color w:val="000000" w:themeColor="text1"/>
          <w:sz w:val="24"/>
          <w:szCs w:val="24"/>
        </w:rPr>
        <w:tab/>
        <w:t>质保期和维保期内免费实现以下要求：</w:t>
      </w:r>
    </w:p>
    <w:p w14:paraId="1D9F777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3.1提供全面的接口技术，与第三方系统共享数据和功能，这些接口技术包括中间件技术接口、WEBSEVICE通用接口、数据库级接口、文件文本接口等。</w:t>
      </w:r>
    </w:p>
    <w:p w14:paraId="6719306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14:paraId="35136AFE"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1C1FE00"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3.4提供软件免费升级及个性化修改服务，免费实现院方的个性化需求；软件自身错误类问题提供永久性免费修改服务；</w:t>
      </w:r>
    </w:p>
    <w:p w14:paraId="4F64F91D"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3.5免费提供医院新增业务信息系统的对接、免费实现医院上级管理部门要求的系统接口对接要求。</w:t>
      </w:r>
    </w:p>
    <w:p w14:paraId="1376AB5D"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3.6若医院更换已对接的业务系统、乙方须免费提供与新业务系统的对接及联调服务。</w:t>
      </w:r>
    </w:p>
    <w:p w14:paraId="04CC3DC0"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3.7项目软件系统不限定用户数、并发数、不限定医疗集团</w:t>
      </w:r>
      <w:proofErr w:type="gramStart"/>
      <w:r w:rsidRPr="00376DFB">
        <w:rPr>
          <w:rFonts w:ascii="宋体" w:eastAsia="宋体" w:hAnsi="宋体" w:hint="eastAsia"/>
          <w:color w:val="000000" w:themeColor="text1"/>
          <w:sz w:val="24"/>
          <w:szCs w:val="24"/>
        </w:rPr>
        <w:t>内部及院区</w:t>
      </w:r>
      <w:proofErr w:type="gramEnd"/>
      <w:r w:rsidRPr="00376DFB">
        <w:rPr>
          <w:rFonts w:ascii="宋体" w:eastAsia="宋体" w:hAnsi="宋体" w:hint="eastAsia"/>
          <w:color w:val="000000" w:themeColor="text1"/>
          <w:sz w:val="24"/>
          <w:szCs w:val="24"/>
        </w:rPr>
        <w:t>使用。</w:t>
      </w:r>
    </w:p>
    <w:p w14:paraId="738B03DC"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lastRenderedPageBreak/>
        <w:t>四、项目实施要求</w:t>
      </w:r>
    </w:p>
    <w:p w14:paraId="28985D97"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4.1驻场、实施工期要求：合同签订后，1</w:t>
      </w:r>
      <w:r w:rsidRPr="00376DFB">
        <w:rPr>
          <w:rFonts w:ascii="宋体" w:eastAsia="宋体" w:hAnsi="宋体"/>
          <w:color w:val="000000" w:themeColor="text1"/>
          <w:sz w:val="24"/>
          <w:szCs w:val="24"/>
        </w:rPr>
        <w:t>0</w:t>
      </w:r>
      <w:r w:rsidRPr="00376DFB">
        <w:rPr>
          <w:rFonts w:ascii="宋体" w:eastAsia="宋体" w:hAnsi="宋体" w:hint="eastAsia"/>
          <w:color w:val="000000" w:themeColor="text1"/>
          <w:sz w:val="24"/>
          <w:szCs w:val="24"/>
        </w:rPr>
        <w:t>个工作日内项目实施人员必须进场，系统需在</w:t>
      </w:r>
      <w:r w:rsidRPr="00376DFB">
        <w:rPr>
          <w:rFonts w:ascii="宋体" w:eastAsia="宋体" w:hAnsi="宋体"/>
          <w:color w:val="000000" w:themeColor="text1"/>
          <w:sz w:val="24"/>
          <w:szCs w:val="24"/>
        </w:rPr>
        <w:t>2</w:t>
      </w:r>
      <w:r w:rsidRPr="00376DFB">
        <w:rPr>
          <w:rFonts w:ascii="宋体" w:eastAsia="宋体" w:hAnsi="宋体" w:hint="eastAsia"/>
          <w:color w:val="000000" w:themeColor="text1"/>
          <w:sz w:val="24"/>
          <w:szCs w:val="24"/>
        </w:rPr>
        <w:t>个月内完成项目实施上线，请分别列出每个系统实施的工作计划及周期。</w:t>
      </w:r>
    </w:p>
    <w:p w14:paraId="6AF41B87"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4.2驻场人员要求：</w:t>
      </w:r>
    </w:p>
    <w:p w14:paraId="3CB8419E"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实施工程师：项目驻场实施工程师需有2年以上本厂商同等项目实施经验。项目实施阶段，驻场实施工程师不得少于</w:t>
      </w:r>
      <w:r w:rsidRPr="00376DFB">
        <w:rPr>
          <w:rFonts w:ascii="宋体" w:eastAsia="宋体" w:hAnsi="宋体"/>
          <w:color w:val="000000" w:themeColor="text1"/>
          <w:sz w:val="24"/>
          <w:szCs w:val="24"/>
        </w:rPr>
        <w:t>1</w:t>
      </w:r>
      <w:r w:rsidRPr="00376DFB">
        <w:rPr>
          <w:rFonts w:ascii="宋体" w:eastAsia="宋体" w:hAnsi="宋体" w:hint="eastAsia"/>
          <w:color w:val="000000" w:themeColor="text1"/>
          <w:sz w:val="24"/>
          <w:szCs w:val="24"/>
        </w:rPr>
        <w:t>名。</w:t>
      </w:r>
    </w:p>
    <w:p w14:paraId="0BBFBF3A" w14:textId="72BD53A3"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开发工程师：项目驻场开发工程师需有2年以上本厂商同类型项目开发经验。项目实施和上线阶段，如不能按项目阶段计划正常开展工作的，医院书面提出要求，驻场开发人员不得少于</w:t>
      </w:r>
      <w:r w:rsidR="008B66B0" w:rsidRPr="00376DFB">
        <w:rPr>
          <w:rFonts w:ascii="宋体" w:eastAsia="宋体" w:hAnsi="宋体"/>
          <w:color w:val="000000" w:themeColor="text1"/>
          <w:sz w:val="24"/>
          <w:szCs w:val="24"/>
        </w:rPr>
        <w:t>1</w:t>
      </w:r>
      <w:r w:rsidR="008B66B0" w:rsidRPr="00376DFB">
        <w:rPr>
          <w:rFonts w:ascii="宋体" w:eastAsia="宋体" w:hAnsi="宋体" w:hint="eastAsia"/>
          <w:color w:val="000000" w:themeColor="text1"/>
          <w:sz w:val="24"/>
          <w:szCs w:val="24"/>
        </w:rPr>
        <w:t>人</w:t>
      </w:r>
      <w:r w:rsidRPr="00376DFB">
        <w:rPr>
          <w:rFonts w:ascii="宋体" w:eastAsia="宋体" w:hAnsi="宋体" w:hint="eastAsia"/>
          <w:color w:val="000000" w:themeColor="text1"/>
          <w:sz w:val="24"/>
          <w:szCs w:val="24"/>
        </w:rPr>
        <w:t>。</w:t>
      </w:r>
    </w:p>
    <w:p w14:paraId="4445069A"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如需更换开发工程师、实施工程师，厂商需提交书面申请，经院方同意才可更换。</w:t>
      </w:r>
    </w:p>
    <w:p w14:paraId="6321449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竞标文件中需提供软件提供商项目驻场人员清单（含项目开发和项目实施人员），清单中标明驻场人员详细信息，如姓名、联系方式、技术职称、</w:t>
      </w:r>
      <w:proofErr w:type="gramStart"/>
      <w:r w:rsidRPr="00376DFB">
        <w:rPr>
          <w:rFonts w:ascii="宋体" w:eastAsia="宋体" w:hAnsi="宋体" w:hint="eastAsia"/>
          <w:color w:val="000000" w:themeColor="text1"/>
          <w:sz w:val="24"/>
          <w:szCs w:val="24"/>
        </w:rPr>
        <w:t>社保证明</w:t>
      </w:r>
      <w:proofErr w:type="gramEnd"/>
      <w:r w:rsidRPr="00376DFB">
        <w:rPr>
          <w:rFonts w:ascii="宋体" w:eastAsia="宋体" w:hAnsi="宋体" w:hint="eastAsia"/>
          <w:color w:val="000000" w:themeColor="text1"/>
          <w:sz w:val="24"/>
          <w:szCs w:val="24"/>
        </w:rPr>
        <w:t>（不少于半年）等。</w:t>
      </w:r>
    </w:p>
    <w:p w14:paraId="2F27506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4.3因厂商与院方存在对需求理解有差异的可能性，要求所有软件功能需求的响应以院方意见为准。</w:t>
      </w:r>
    </w:p>
    <w:p w14:paraId="4F367C05"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4.4培训要求：</w:t>
      </w:r>
    </w:p>
    <w:p w14:paraId="4838781D"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培训应至少包括但不限于：软硬件系统的安装、部署、维护方法、系统的功能使用培训；</w:t>
      </w:r>
    </w:p>
    <w:p w14:paraId="3BE07B37"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五、售后服务及其他要求</w:t>
      </w:r>
    </w:p>
    <w:p w14:paraId="73EA365A"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110421F4"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5.2安装调试要求：安装调试、提供完善的设备及软件系统使用中文操作手册、图纸、网络详细拓扑图、系统配置、功能配置、设备配置及互联记录。</w:t>
      </w:r>
    </w:p>
    <w:p w14:paraId="3184E1D2"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5.3原厂技术人员免费提供售后服务，含电话支持、现场响应、远程操作、网上客</w:t>
      </w:r>
      <w:proofErr w:type="gramStart"/>
      <w:r w:rsidRPr="00376DFB">
        <w:rPr>
          <w:rFonts w:ascii="宋体" w:eastAsia="宋体" w:hAnsi="宋体" w:hint="eastAsia"/>
          <w:color w:val="000000" w:themeColor="text1"/>
          <w:sz w:val="24"/>
          <w:szCs w:val="24"/>
        </w:rPr>
        <w:t>服中心</w:t>
      </w:r>
      <w:proofErr w:type="gramEnd"/>
      <w:r w:rsidRPr="00376DFB">
        <w:rPr>
          <w:rFonts w:ascii="宋体" w:eastAsia="宋体" w:hAnsi="宋体" w:hint="eastAsia"/>
          <w:color w:val="000000" w:themeColor="text1"/>
          <w:sz w:val="24"/>
          <w:szCs w:val="24"/>
        </w:rPr>
        <w:t>等多种方式服务，应做到7×24小时全天候电话</w:t>
      </w:r>
      <w:proofErr w:type="gramStart"/>
      <w:r w:rsidRPr="00376DFB">
        <w:rPr>
          <w:rFonts w:ascii="宋体" w:eastAsia="宋体" w:hAnsi="宋体" w:hint="eastAsia"/>
          <w:color w:val="000000" w:themeColor="text1"/>
          <w:sz w:val="24"/>
          <w:szCs w:val="24"/>
        </w:rPr>
        <w:t>或微信等</w:t>
      </w:r>
      <w:proofErr w:type="gramEnd"/>
      <w:r w:rsidRPr="00376DFB">
        <w:rPr>
          <w:rFonts w:ascii="宋体" w:eastAsia="宋体" w:hAnsi="宋体" w:hint="eastAsia"/>
          <w:color w:val="000000" w:themeColor="text1"/>
          <w:sz w:val="24"/>
          <w:szCs w:val="24"/>
        </w:rPr>
        <w:t>常用联系方式响应。</w:t>
      </w:r>
      <w:bookmarkStart w:id="4" w:name="_Toc507405798"/>
      <w:r w:rsidRPr="00376DFB">
        <w:rPr>
          <w:rFonts w:ascii="宋体" w:eastAsia="宋体" w:hAnsi="宋体" w:hint="eastAsia"/>
          <w:color w:val="000000" w:themeColor="text1"/>
          <w:sz w:val="24"/>
          <w:szCs w:val="24"/>
        </w:rPr>
        <w:t>当出现故障时，接到故障通知后，原厂技术人员应在30分钟内响应，远程技术支持无法解决的，</w:t>
      </w:r>
      <w:r w:rsidRPr="00376DFB">
        <w:rPr>
          <w:rFonts w:ascii="宋体" w:eastAsia="宋体" w:hAnsi="宋体"/>
          <w:color w:val="000000" w:themeColor="text1"/>
          <w:sz w:val="24"/>
          <w:szCs w:val="24"/>
        </w:rPr>
        <w:t>48</w:t>
      </w:r>
      <w:r w:rsidRPr="00376DFB">
        <w:rPr>
          <w:rFonts w:ascii="宋体" w:eastAsia="宋体" w:hAnsi="宋体" w:hint="eastAsia"/>
          <w:color w:val="000000" w:themeColor="text1"/>
          <w:sz w:val="24"/>
          <w:szCs w:val="24"/>
        </w:rPr>
        <w:t>小时内需到达现场处理修复，并调查分析事故原因。</w:t>
      </w:r>
    </w:p>
    <w:p w14:paraId="10683ECD"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5.4供应商提供原厂技术人员定期巡检服务，定期通过电话或其他方式访问用户，了解产品使用情况及网络安全情况，按院方要求巡检（国家法定节假日前</w:t>
      </w:r>
      <w:r w:rsidRPr="00376DFB">
        <w:rPr>
          <w:rFonts w:ascii="宋体" w:eastAsia="宋体" w:hAnsi="宋体" w:hint="eastAsia"/>
          <w:color w:val="000000" w:themeColor="text1"/>
          <w:sz w:val="24"/>
          <w:szCs w:val="24"/>
        </w:rPr>
        <w:lastRenderedPageBreak/>
        <w:t>巡检或按院方需求时间巡检），每季度巡检不得少于一次，并形成巡检报告（内容涉及此产品服务器\相关设备的运行情况）反馈给我院。</w:t>
      </w:r>
    </w:p>
    <w:p w14:paraId="29871CE4"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5.5免费系统改造，</w:t>
      </w:r>
      <w:proofErr w:type="gramStart"/>
      <w:r w:rsidRPr="00376DFB">
        <w:rPr>
          <w:rFonts w:ascii="宋体" w:eastAsia="宋体" w:hAnsi="宋体" w:hint="eastAsia"/>
          <w:color w:val="000000" w:themeColor="text1"/>
          <w:sz w:val="24"/>
          <w:szCs w:val="24"/>
        </w:rPr>
        <w:t>支持信创电脑</w:t>
      </w:r>
      <w:proofErr w:type="gramEnd"/>
      <w:r w:rsidRPr="00376DFB">
        <w:rPr>
          <w:rFonts w:ascii="宋体" w:eastAsia="宋体" w:hAnsi="宋体" w:hint="eastAsia"/>
          <w:color w:val="000000" w:themeColor="text1"/>
          <w:sz w:val="24"/>
          <w:szCs w:val="24"/>
        </w:rPr>
        <w:t>和服务器。</w:t>
      </w:r>
    </w:p>
    <w:p w14:paraId="30889043"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六、违约责任</w:t>
      </w:r>
    </w:p>
    <w:p w14:paraId="5A4A77B3"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6.1投标方所提供的软件规格、技术标准等质量不合格的，应及时更换，更换不及时的按逾期交付处罚；因质量问题我院不同意接收，投标方应向我院支付违约货款额5%违约金并赔偿我院经济损失。</w:t>
      </w:r>
    </w:p>
    <w:p w14:paraId="3C0E03E4"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6.2若投标方提供的产品或软件侵犯了第三方合法权益而引发的任何纠纷或诉讼，均由投标方负责交涉并承担全部责任。</w:t>
      </w:r>
    </w:p>
    <w:p w14:paraId="498ED19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3</w:t>
      </w:r>
      <w:r w:rsidRPr="00376DFB">
        <w:rPr>
          <w:rFonts w:ascii="宋体" w:eastAsia="宋体" w:hAnsi="宋体" w:hint="eastAsia"/>
          <w:color w:val="000000" w:themeColor="text1"/>
          <w:sz w:val="24"/>
          <w:szCs w:val="24"/>
        </w:rPr>
        <w:t>投标方逾期交付的，每天向甲方偿付违约货款额3‰违约金，但违约金累计不得超过违约货款额 5% ，超过30天对方有权解除合同，违约方承担因此给对方造成的经济损失；</w:t>
      </w:r>
    </w:p>
    <w:p w14:paraId="07D52C72"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4</w:t>
      </w:r>
      <w:r w:rsidRPr="00376DFB">
        <w:rPr>
          <w:rFonts w:ascii="宋体" w:eastAsia="宋体" w:hAnsi="宋体" w:hint="eastAsia"/>
          <w:color w:val="000000" w:themeColor="text1"/>
          <w:sz w:val="24"/>
          <w:szCs w:val="24"/>
        </w:rPr>
        <w:t>售后服务违约：</w:t>
      </w:r>
    </w:p>
    <w:p w14:paraId="3579A0D8"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4</w:t>
      </w:r>
      <w:r w:rsidRPr="00376DFB">
        <w:rPr>
          <w:rFonts w:ascii="宋体" w:eastAsia="宋体" w:hAnsi="宋体" w:hint="eastAsia"/>
          <w:color w:val="000000" w:themeColor="text1"/>
          <w:sz w:val="24"/>
          <w:szCs w:val="24"/>
        </w:rPr>
        <w:t>.1每缺少1次巡检记录，投标方应向甲方支付违约金</w:t>
      </w:r>
      <w:r w:rsidRPr="00376DFB">
        <w:rPr>
          <w:rFonts w:ascii="宋体" w:eastAsia="宋体" w:hAnsi="宋体"/>
          <w:color w:val="000000" w:themeColor="text1"/>
          <w:sz w:val="24"/>
          <w:szCs w:val="24"/>
        </w:rPr>
        <w:t>2</w:t>
      </w:r>
      <w:r w:rsidRPr="00376DFB">
        <w:rPr>
          <w:rFonts w:ascii="宋体" w:eastAsia="宋体" w:hAnsi="宋体" w:hint="eastAsia"/>
          <w:color w:val="000000" w:themeColor="text1"/>
          <w:sz w:val="24"/>
          <w:szCs w:val="24"/>
        </w:rPr>
        <w:t>000元；</w:t>
      </w:r>
    </w:p>
    <w:p w14:paraId="484C9F83"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4</w:t>
      </w:r>
      <w:r w:rsidRPr="00376DFB">
        <w:rPr>
          <w:rFonts w:ascii="宋体" w:eastAsia="宋体" w:hAnsi="宋体" w:hint="eastAsia"/>
          <w:color w:val="000000" w:themeColor="text1"/>
          <w:sz w:val="24"/>
          <w:szCs w:val="24"/>
        </w:rPr>
        <w:t>.</w:t>
      </w:r>
      <w:r w:rsidRPr="00376DFB">
        <w:rPr>
          <w:rFonts w:ascii="宋体" w:eastAsia="宋体" w:hAnsi="宋体"/>
          <w:color w:val="000000" w:themeColor="text1"/>
          <w:sz w:val="24"/>
          <w:szCs w:val="24"/>
        </w:rPr>
        <w:t>2</w:t>
      </w:r>
      <w:r w:rsidRPr="00376DFB">
        <w:rPr>
          <w:rFonts w:ascii="宋体" w:eastAsia="宋体" w:hAnsi="宋体" w:hint="eastAsia"/>
          <w:color w:val="000000" w:themeColor="text1"/>
          <w:sz w:val="24"/>
          <w:szCs w:val="24"/>
        </w:rPr>
        <w:t>投标方未按本技术要求和响应文件中规定的其他服务承诺提供售后服务的，每次投标方应按合同合计金额的5% 向甲方支付违约金。</w:t>
      </w:r>
    </w:p>
    <w:p w14:paraId="5CC7FD6A"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5</w:t>
      </w:r>
      <w:r w:rsidRPr="00376DFB">
        <w:rPr>
          <w:rFonts w:ascii="宋体" w:eastAsia="宋体" w:hAnsi="宋体" w:hint="eastAsia"/>
          <w:color w:val="000000" w:themeColor="text1"/>
          <w:sz w:val="24"/>
          <w:szCs w:val="24"/>
        </w:rPr>
        <w:t>合同签订后</w:t>
      </w:r>
      <w:r w:rsidRPr="00376DFB">
        <w:rPr>
          <w:rFonts w:ascii="宋体" w:eastAsia="宋体" w:hAnsi="宋体"/>
          <w:color w:val="000000" w:themeColor="text1"/>
          <w:sz w:val="24"/>
          <w:szCs w:val="24"/>
        </w:rPr>
        <w:t>10</w:t>
      </w:r>
      <w:r w:rsidRPr="00376DFB">
        <w:rPr>
          <w:rFonts w:ascii="宋体" w:eastAsia="宋体" w:hAnsi="宋体" w:hint="eastAsia"/>
          <w:color w:val="000000" w:themeColor="text1"/>
          <w:sz w:val="24"/>
          <w:szCs w:val="24"/>
        </w:rPr>
        <w:t>个工作日内进场实施，每个模块计划实施周期需在合同内写明。</w:t>
      </w:r>
      <w:proofErr w:type="gramStart"/>
      <w:r w:rsidRPr="00376DFB">
        <w:rPr>
          <w:rFonts w:ascii="宋体" w:eastAsia="宋体" w:hAnsi="宋体" w:hint="eastAsia"/>
          <w:color w:val="000000" w:themeColor="text1"/>
          <w:sz w:val="24"/>
          <w:szCs w:val="24"/>
        </w:rPr>
        <w:t>因软件</w:t>
      </w:r>
      <w:proofErr w:type="gramEnd"/>
      <w:r w:rsidRPr="00376DFB">
        <w:rPr>
          <w:rFonts w:ascii="宋体" w:eastAsia="宋体" w:hAnsi="宋体" w:hint="eastAsia"/>
          <w:color w:val="000000" w:themeColor="text1"/>
          <w:sz w:val="24"/>
          <w:szCs w:val="24"/>
        </w:rPr>
        <w:t>提供商原因逾期</w:t>
      </w:r>
      <w:proofErr w:type="gramStart"/>
      <w:r w:rsidRPr="00376DFB">
        <w:rPr>
          <w:rFonts w:ascii="宋体" w:eastAsia="宋体" w:hAnsi="宋体" w:hint="eastAsia"/>
          <w:color w:val="000000" w:themeColor="text1"/>
          <w:sz w:val="24"/>
          <w:szCs w:val="24"/>
        </w:rPr>
        <w:t>不</w:t>
      </w:r>
      <w:proofErr w:type="gramEnd"/>
      <w:r w:rsidRPr="00376DFB">
        <w:rPr>
          <w:rFonts w:ascii="宋体" w:eastAsia="宋体" w:hAnsi="宋体" w:hint="eastAsia"/>
          <w:color w:val="000000" w:themeColor="text1"/>
          <w:sz w:val="24"/>
          <w:szCs w:val="24"/>
        </w:rPr>
        <w:t>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w:t>
      </w:r>
      <w:proofErr w:type="gramStart"/>
      <w:r w:rsidRPr="00376DFB">
        <w:rPr>
          <w:rFonts w:ascii="宋体" w:eastAsia="宋体" w:hAnsi="宋体" w:hint="eastAsia"/>
          <w:color w:val="000000" w:themeColor="text1"/>
          <w:sz w:val="24"/>
          <w:szCs w:val="24"/>
        </w:rPr>
        <w:t>做为</w:t>
      </w:r>
      <w:proofErr w:type="gramEnd"/>
      <w:r w:rsidRPr="00376DFB">
        <w:rPr>
          <w:rFonts w:ascii="宋体" w:eastAsia="宋体" w:hAnsi="宋体" w:hint="eastAsia"/>
          <w:color w:val="000000" w:themeColor="text1"/>
          <w:sz w:val="24"/>
          <w:szCs w:val="24"/>
        </w:rPr>
        <w:t>违约金支付给甲方。</w:t>
      </w:r>
    </w:p>
    <w:p w14:paraId="051C88B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6</w:t>
      </w:r>
      <w:r w:rsidRPr="00376DFB">
        <w:rPr>
          <w:rFonts w:ascii="宋体" w:eastAsia="宋体" w:hAnsi="宋体" w:hint="eastAsia"/>
          <w:color w:val="000000" w:themeColor="text1"/>
          <w:sz w:val="24"/>
          <w:szCs w:val="24"/>
        </w:rPr>
        <w:t>任何一方违反本技术要求中“保密、廉洁条款”要求的，应承担相应的违约责任并赔偿由此造成的损失，损失累计金额超过合同款项的5%的，损失方同时有权终止合同并收回已付款项。</w:t>
      </w:r>
    </w:p>
    <w:p w14:paraId="5289229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7</w:t>
      </w:r>
      <w:r w:rsidRPr="00376DFB">
        <w:rPr>
          <w:rFonts w:ascii="宋体" w:eastAsia="宋体" w:hAnsi="宋体" w:hint="eastAsia"/>
          <w:color w:val="000000" w:themeColor="text1"/>
          <w:sz w:val="24"/>
          <w:szCs w:val="24"/>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06C2324D"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8</w:t>
      </w:r>
      <w:r w:rsidRPr="00376DFB">
        <w:rPr>
          <w:rFonts w:ascii="宋体" w:eastAsia="宋体" w:hAnsi="宋体" w:hint="eastAsia"/>
          <w:color w:val="000000" w:themeColor="text1"/>
          <w:sz w:val="24"/>
          <w:szCs w:val="24"/>
        </w:rPr>
        <w:t>厂商不得在提供的硬件及软件系统中设置包括且不限于如：软硬件加密狗、加密软件、时间锁、授权码等限制硬件及软件系统正常运行的措施，</w:t>
      </w:r>
      <w:r w:rsidRPr="00376DFB">
        <w:rPr>
          <w:rFonts w:ascii="宋体" w:eastAsia="宋体" w:hAnsi="宋体"/>
          <w:color w:val="000000" w:themeColor="text1"/>
          <w:sz w:val="24"/>
          <w:szCs w:val="24"/>
        </w:rPr>
        <w:t>如有</w:t>
      </w:r>
      <w:r w:rsidRPr="00376DFB">
        <w:rPr>
          <w:rFonts w:ascii="宋体" w:eastAsia="宋体" w:hAnsi="宋体" w:hint="eastAsia"/>
          <w:color w:val="000000" w:themeColor="text1"/>
          <w:sz w:val="24"/>
          <w:szCs w:val="24"/>
        </w:rPr>
        <w:t>特</w:t>
      </w:r>
      <w:r w:rsidRPr="00376DFB">
        <w:rPr>
          <w:rFonts w:ascii="宋体" w:eastAsia="宋体" w:hAnsi="宋体" w:hint="eastAsia"/>
          <w:color w:val="000000" w:themeColor="text1"/>
          <w:sz w:val="24"/>
          <w:szCs w:val="24"/>
        </w:rPr>
        <w:lastRenderedPageBreak/>
        <w:t>殊</w:t>
      </w:r>
      <w:r w:rsidRPr="00376DFB">
        <w:rPr>
          <w:rFonts w:ascii="宋体" w:eastAsia="宋体" w:hAnsi="宋体"/>
          <w:color w:val="000000" w:themeColor="text1"/>
          <w:sz w:val="24"/>
          <w:szCs w:val="24"/>
        </w:rPr>
        <w:t>需要</w:t>
      </w:r>
      <w:r w:rsidRPr="00376DFB">
        <w:rPr>
          <w:rFonts w:ascii="宋体" w:eastAsia="宋体" w:hAnsi="宋体" w:hint="eastAsia"/>
          <w:color w:val="000000" w:themeColor="text1"/>
          <w:sz w:val="24"/>
          <w:szCs w:val="24"/>
        </w:rPr>
        <w:t>必须提交</w:t>
      </w:r>
      <w:r w:rsidRPr="00376DFB">
        <w:rPr>
          <w:rFonts w:ascii="宋体" w:eastAsia="宋体" w:hAnsi="宋体"/>
          <w:color w:val="000000" w:themeColor="text1"/>
          <w:sz w:val="24"/>
          <w:szCs w:val="24"/>
        </w:rPr>
        <w:t>纸质</w:t>
      </w:r>
      <w:r w:rsidRPr="00376DFB">
        <w:rPr>
          <w:rFonts w:ascii="宋体" w:eastAsia="宋体" w:hAnsi="宋体" w:hint="eastAsia"/>
          <w:color w:val="000000" w:themeColor="text1"/>
          <w:sz w:val="24"/>
          <w:szCs w:val="24"/>
        </w:rPr>
        <w:t>文件说明</w:t>
      </w:r>
      <w:r w:rsidRPr="00376DFB">
        <w:rPr>
          <w:rFonts w:ascii="宋体" w:eastAsia="宋体" w:hAnsi="宋体"/>
          <w:color w:val="000000" w:themeColor="text1"/>
          <w:sz w:val="24"/>
          <w:szCs w:val="24"/>
        </w:rPr>
        <w:t>，经过我院</w:t>
      </w:r>
      <w:r w:rsidRPr="00376DFB">
        <w:rPr>
          <w:rFonts w:ascii="宋体" w:eastAsia="宋体" w:hAnsi="宋体" w:hint="eastAsia"/>
          <w:color w:val="000000" w:themeColor="text1"/>
          <w:sz w:val="24"/>
          <w:szCs w:val="24"/>
        </w:rPr>
        <w:t>签字同意</w:t>
      </w:r>
      <w:r w:rsidRPr="00376DFB">
        <w:rPr>
          <w:rFonts w:ascii="宋体" w:eastAsia="宋体" w:hAnsi="宋体"/>
          <w:color w:val="000000" w:themeColor="text1"/>
          <w:sz w:val="24"/>
          <w:szCs w:val="24"/>
        </w:rPr>
        <w:t>才可设置</w:t>
      </w:r>
      <w:r w:rsidRPr="00376DFB">
        <w:rPr>
          <w:rFonts w:ascii="宋体" w:eastAsia="宋体" w:hAnsi="宋体" w:hint="eastAsia"/>
          <w:color w:val="000000" w:themeColor="text1"/>
          <w:sz w:val="24"/>
          <w:szCs w:val="24"/>
        </w:rPr>
        <w:t>，否则视为乙方违约，乙方需要支付医院违约金</w:t>
      </w:r>
      <w:r w:rsidRPr="00376DFB">
        <w:rPr>
          <w:rFonts w:ascii="宋体" w:eastAsia="宋体" w:hAnsi="宋体"/>
          <w:color w:val="000000" w:themeColor="text1"/>
          <w:sz w:val="24"/>
          <w:szCs w:val="24"/>
        </w:rPr>
        <w:t>2</w:t>
      </w:r>
      <w:r w:rsidRPr="00376DFB">
        <w:rPr>
          <w:rFonts w:ascii="宋体" w:eastAsia="宋体" w:hAnsi="宋体" w:hint="eastAsia"/>
          <w:color w:val="000000" w:themeColor="text1"/>
          <w:sz w:val="24"/>
          <w:szCs w:val="24"/>
        </w:rPr>
        <w:t>00000元（贰拾万元），在此基础上医院有权要求乙方退回甲方已支付的所有款项。如对医院造成损失的，甲方有权要求乙方赔偿。</w:t>
      </w:r>
    </w:p>
    <w:p w14:paraId="0E9010F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9厂商驻场工程师人员变更必须得到医院书面同意，否则视为</w:t>
      </w:r>
      <w:r w:rsidRPr="00376DFB">
        <w:rPr>
          <w:rFonts w:ascii="宋体" w:eastAsia="宋体" w:hAnsi="宋体" w:hint="eastAsia"/>
          <w:color w:val="000000" w:themeColor="text1"/>
          <w:sz w:val="24"/>
          <w:szCs w:val="24"/>
        </w:rPr>
        <w:t>乙方</w:t>
      </w:r>
      <w:r w:rsidRPr="00376DFB">
        <w:rPr>
          <w:rFonts w:ascii="宋体" w:eastAsia="宋体" w:hAnsi="宋体"/>
          <w:color w:val="000000" w:themeColor="text1"/>
          <w:sz w:val="24"/>
          <w:szCs w:val="24"/>
        </w:rPr>
        <w:t>违约，</w:t>
      </w:r>
      <w:r w:rsidRPr="00376DFB">
        <w:rPr>
          <w:rFonts w:ascii="宋体" w:eastAsia="宋体" w:hAnsi="宋体" w:hint="eastAsia"/>
          <w:color w:val="000000" w:themeColor="text1"/>
          <w:sz w:val="24"/>
          <w:szCs w:val="24"/>
        </w:rPr>
        <w:t>甲</w:t>
      </w:r>
      <w:r w:rsidRPr="00376DFB">
        <w:rPr>
          <w:rFonts w:ascii="宋体" w:eastAsia="宋体" w:hAnsi="宋体"/>
          <w:color w:val="000000" w:themeColor="text1"/>
          <w:sz w:val="24"/>
          <w:szCs w:val="24"/>
        </w:rPr>
        <w:t>方有权按500</w:t>
      </w:r>
      <w:r w:rsidRPr="00376DFB">
        <w:rPr>
          <w:rFonts w:ascii="宋体" w:eastAsia="宋体" w:hAnsi="宋体" w:hint="eastAsia"/>
          <w:color w:val="000000" w:themeColor="text1"/>
          <w:sz w:val="24"/>
          <w:szCs w:val="24"/>
        </w:rPr>
        <w:t>0</w:t>
      </w:r>
      <w:r w:rsidRPr="00376DFB">
        <w:rPr>
          <w:rFonts w:ascii="宋体" w:eastAsia="宋体" w:hAnsi="宋体"/>
          <w:color w:val="000000" w:themeColor="text1"/>
          <w:sz w:val="24"/>
          <w:szCs w:val="24"/>
        </w:rPr>
        <w:t>元/人/次从合同总款中扣除</w:t>
      </w:r>
      <w:r w:rsidRPr="00376DFB">
        <w:rPr>
          <w:rFonts w:ascii="宋体" w:eastAsia="宋体" w:hAnsi="宋体" w:hint="eastAsia"/>
          <w:color w:val="000000" w:themeColor="text1"/>
          <w:sz w:val="24"/>
          <w:szCs w:val="24"/>
        </w:rPr>
        <w:t>。</w:t>
      </w:r>
    </w:p>
    <w:p w14:paraId="178483E3"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6.</w:t>
      </w:r>
      <w:r w:rsidRPr="00376DFB">
        <w:rPr>
          <w:rFonts w:ascii="宋体" w:eastAsia="宋体" w:hAnsi="宋体"/>
          <w:color w:val="000000" w:themeColor="text1"/>
          <w:sz w:val="24"/>
          <w:szCs w:val="24"/>
        </w:rPr>
        <w:t>10</w:t>
      </w:r>
      <w:r w:rsidRPr="00376DFB">
        <w:rPr>
          <w:rFonts w:ascii="宋体" w:eastAsia="宋体" w:hAnsi="宋体" w:hint="eastAsia"/>
          <w:color w:val="000000" w:themeColor="text1"/>
          <w:sz w:val="24"/>
          <w:szCs w:val="24"/>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14:paraId="737059F7"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bookmarkStart w:id="5" w:name="_Toc507405799"/>
      <w:bookmarkStart w:id="6" w:name="_Toc507405800"/>
      <w:bookmarkEnd w:id="4"/>
      <w:r w:rsidRPr="00376DFB">
        <w:rPr>
          <w:rFonts w:ascii="宋体" w:hAnsi="宋体" w:hint="eastAsia"/>
          <w:bCs w:val="0"/>
          <w:color w:val="000000" w:themeColor="text1"/>
          <w:sz w:val="32"/>
          <w:szCs w:val="32"/>
        </w:rPr>
        <w:t>七、保密、廉洁协议</w:t>
      </w:r>
    </w:p>
    <w:p w14:paraId="15102191"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24449953"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7.2 双方不得以任何方式向第三方泄露本项目的软件技术、设计方案以及功能配置等内容。</w:t>
      </w:r>
    </w:p>
    <w:p w14:paraId="41DEBAD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7.3不以任何方式向第三方泄露在本协议开发实施过程中获取的经济、技术、数据以及双方其他非公开的信息。</w:t>
      </w:r>
    </w:p>
    <w:p w14:paraId="321A4C4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097C6A5B"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7.5保密期限自本合同生效之日起永久有效，如乙方需解除保密协议需向甲方提出书面申请，双方协商同意签字确认后方可解除。</w:t>
      </w:r>
    </w:p>
    <w:p w14:paraId="6675E0E5"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八、报价</w:t>
      </w:r>
    </w:p>
    <w:p w14:paraId="3FE9EF63"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8.1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036FF245"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8.2竞标文件需提供维保期方案及报价。</w:t>
      </w:r>
    </w:p>
    <w:p w14:paraId="153CB1C8"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8.3竞标文件需提供系统详细图文介绍。系统实施验收参照本技术文档及竞</w:t>
      </w:r>
      <w:r w:rsidRPr="00376DFB">
        <w:rPr>
          <w:rFonts w:ascii="宋体" w:eastAsia="宋体" w:hAnsi="宋体" w:hint="eastAsia"/>
          <w:color w:val="000000" w:themeColor="text1"/>
          <w:sz w:val="24"/>
          <w:szCs w:val="24"/>
        </w:rPr>
        <w:lastRenderedPageBreak/>
        <w:t>标文件提供的图文介绍为依据。</w:t>
      </w:r>
    </w:p>
    <w:p w14:paraId="251F546F"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8.4如项目功能二次开发内容涉及我院采购的第三方产品，请在标书内标明哪些功能的实现需要二次开发接口。</w:t>
      </w:r>
    </w:p>
    <w:p w14:paraId="22777BB1" w14:textId="77777777" w:rsidR="004833EC" w:rsidRPr="00376DFB" w:rsidRDefault="00053212">
      <w:pPr>
        <w:pStyle w:val="1"/>
        <w:numPr>
          <w:ilvl w:val="0"/>
          <w:numId w:val="0"/>
        </w:numPr>
        <w:spacing w:before="0" w:after="0" w:line="312" w:lineRule="auto"/>
        <w:rPr>
          <w:rFonts w:ascii="宋体" w:hAnsi="宋体"/>
          <w:bCs w:val="0"/>
          <w:color w:val="000000" w:themeColor="text1"/>
          <w:sz w:val="32"/>
          <w:szCs w:val="32"/>
        </w:rPr>
      </w:pPr>
      <w:r w:rsidRPr="00376DFB">
        <w:rPr>
          <w:rFonts w:ascii="宋体" w:hAnsi="宋体" w:hint="eastAsia"/>
          <w:bCs w:val="0"/>
          <w:color w:val="000000" w:themeColor="text1"/>
          <w:sz w:val="32"/>
          <w:szCs w:val="32"/>
        </w:rPr>
        <w:t>九、付款方式</w:t>
      </w:r>
      <w:bookmarkEnd w:id="5"/>
    </w:p>
    <w:p w14:paraId="373713AC" w14:textId="77777777" w:rsidR="004833EC" w:rsidRPr="00376DFB" w:rsidRDefault="00053212">
      <w:pPr>
        <w:spacing w:line="312" w:lineRule="auto"/>
        <w:ind w:firstLineChars="200" w:firstLine="480"/>
        <w:rPr>
          <w:rFonts w:ascii="宋体" w:eastAsia="宋体" w:hAnsi="宋体"/>
          <w:color w:val="000000" w:themeColor="text1"/>
          <w:sz w:val="24"/>
          <w:szCs w:val="24"/>
        </w:rPr>
      </w:pPr>
      <w:r w:rsidRPr="00376DFB">
        <w:rPr>
          <w:rFonts w:ascii="宋体" w:eastAsia="宋体" w:hAnsi="宋体" w:hint="eastAsia"/>
          <w:color w:val="000000" w:themeColor="text1"/>
          <w:sz w:val="24"/>
          <w:szCs w:val="24"/>
        </w:rPr>
        <w:t>项目双方签订合同，合同中所有功能及模块实施完毕，项目上线稳定运行1个月后，用户支付合同款项的30%；合同中所有功能及模块实施完毕，系统上线稳定运行3个月后，启动项目验收，验收合格后甲方支付合同款项的60%，自验收合格之日起，</w:t>
      </w:r>
      <w:bookmarkEnd w:id="6"/>
      <w:r w:rsidRPr="00376DFB">
        <w:rPr>
          <w:rFonts w:ascii="宋体" w:eastAsia="宋体" w:hAnsi="宋体" w:hint="eastAsia"/>
          <w:color w:val="000000" w:themeColor="text1"/>
          <w:sz w:val="24"/>
          <w:szCs w:val="24"/>
        </w:rPr>
        <w:t>稳定运行1年后，甲方支付合同款项的10%（不计利息）。</w:t>
      </w:r>
    </w:p>
    <w:sectPr w:rsidR="004833EC" w:rsidRPr="00376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214CA"/>
    <w:rsid w:val="000323FB"/>
    <w:rsid w:val="00053212"/>
    <w:rsid w:val="000A3B00"/>
    <w:rsid w:val="000E2410"/>
    <w:rsid w:val="000E61CB"/>
    <w:rsid w:val="0014570F"/>
    <w:rsid w:val="001A11FC"/>
    <w:rsid w:val="001A1C12"/>
    <w:rsid w:val="002304EA"/>
    <w:rsid w:val="00291EAA"/>
    <w:rsid w:val="002A29C0"/>
    <w:rsid w:val="00306E6E"/>
    <w:rsid w:val="00320A05"/>
    <w:rsid w:val="00376DFB"/>
    <w:rsid w:val="003E62A6"/>
    <w:rsid w:val="003E62DF"/>
    <w:rsid w:val="003F4D1C"/>
    <w:rsid w:val="00400ADB"/>
    <w:rsid w:val="00434723"/>
    <w:rsid w:val="00435C7C"/>
    <w:rsid w:val="00481560"/>
    <w:rsid w:val="004833EC"/>
    <w:rsid w:val="00491534"/>
    <w:rsid w:val="004A3246"/>
    <w:rsid w:val="004A60E5"/>
    <w:rsid w:val="004D3BA6"/>
    <w:rsid w:val="00537269"/>
    <w:rsid w:val="00580CC3"/>
    <w:rsid w:val="00592350"/>
    <w:rsid w:val="005A0419"/>
    <w:rsid w:val="005D449A"/>
    <w:rsid w:val="005E2FE8"/>
    <w:rsid w:val="00612DA2"/>
    <w:rsid w:val="00661946"/>
    <w:rsid w:val="0068796C"/>
    <w:rsid w:val="0069644E"/>
    <w:rsid w:val="006A3CAE"/>
    <w:rsid w:val="006C202C"/>
    <w:rsid w:val="006D434E"/>
    <w:rsid w:val="00724960"/>
    <w:rsid w:val="008B66B0"/>
    <w:rsid w:val="008C25F7"/>
    <w:rsid w:val="008C322F"/>
    <w:rsid w:val="00955B51"/>
    <w:rsid w:val="009812BF"/>
    <w:rsid w:val="00A140D3"/>
    <w:rsid w:val="00A83BB7"/>
    <w:rsid w:val="00A92CED"/>
    <w:rsid w:val="00AB2E87"/>
    <w:rsid w:val="00B43E99"/>
    <w:rsid w:val="00B65880"/>
    <w:rsid w:val="00B759E0"/>
    <w:rsid w:val="00BD5D3D"/>
    <w:rsid w:val="00D131CB"/>
    <w:rsid w:val="00D43894"/>
    <w:rsid w:val="00D5380E"/>
    <w:rsid w:val="00D7670D"/>
    <w:rsid w:val="00D93972"/>
    <w:rsid w:val="00DC1FBB"/>
    <w:rsid w:val="00DC5151"/>
    <w:rsid w:val="00E61AD4"/>
    <w:rsid w:val="00F13AA1"/>
    <w:rsid w:val="00F249EF"/>
    <w:rsid w:val="00F24D9C"/>
    <w:rsid w:val="00F72A44"/>
    <w:rsid w:val="038608DA"/>
    <w:rsid w:val="06DF14B2"/>
    <w:rsid w:val="072E01FC"/>
    <w:rsid w:val="08741252"/>
    <w:rsid w:val="0A791D80"/>
    <w:rsid w:val="0F2A1F3D"/>
    <w:rsid w:val="109B068D"/>
    <w:rsid w:val="12D1790A"/>
    <w:rsid w:val="14782DB8"/>
    <w:rsid w:val="14AF00BD"/>
    <w:rsid w:val="153D4F2B"/>
    <w:rsid w:val="165C1DAE"/>
    <w:rsid w:val="16ED2D59"/>
    <w:rsid w:val="174D1CA9"/>
    <w:rsid w:val="17536FF6"/>
    <w:rsid w:val="17541870"/>
    <w:rsid w:val="19151124"/>
    <w:rsid w:val="1A251034"/>
    <w:rsid w:val="1AA944D3"/>
    <w:rsid w:val="1B5C436C"/>
    <w:rsid w:val="1B91509A"/>
    <w:rsid w:val="1D9262D5"/>
    <w:rsid w:val="22293C01"/>
    <w:rsid w:val="224243ED"/>
    <w:rsid w:val="235806F1"/>
    <w:rsid w:val="24DA1462"/>
    <w:rsid w:val="251F0377"/>
    <w:rsid w:val="25D43FBF"/>
    <w:rsid w:val="26AA16D4"/>
    <w:rsid w:val="284C2F0D"/>
    <w:rsid w:val="290632D5"/>
    <w:rsid w:val="2C6E439E"/>
    <w:rsid w:val="2C8F073A"/>
    <w:rsid w:val="2CA67011"/>
    <w:rsid w:val="2E55261B"/>
    <w:rsid w:val="34906983"/>
    <w:rsid w:val="34A02F04"/>
    <w:rsid w:val="367D4F11"/>
    <w:rsid w:val="395C56DE"/>
    <w:rsid w:val="3A6B617C"/>
    <w:rsid w:val="3A965B44"/>
    <w:rsid w:val="3B4F3BCB"/>
    <w:rsid w:val="3D655CAD"/>
    <w:rsid w:val="3DCF123E"/>
    <w:rsid w:val="3E3103B1"/>
    <w:rsid w:val="3FFE146B"/>
    <w:rsid w:val="41971DBD"/>
    <w:rsid w:val="43CC4B30"/>
    <w:rsid w:val="44511123"/>
    <w:rsid w:val="455A3219"/>
    <w:rsid w:val="457173F8"/>
    <w:rsid w:val="47FA24B7"/>
    <w:rsid w:val="480C0CC5"/>
    <w:rsid w:val="49C017DB"/>
    <w:rsid w:val="4BF413EA"/>
    <w:rsid w:val="4F640350"/>
    <w:rsid w:val="507D710A"/>
    <w:rsid w:val="50844495"/>
    <w:rsid w:val="508670F0"/>
    <w:rsid w:val="50A873B9"/>
    <w:rsid w:val="52C84CF5"/>
    <w:rsid w:val="54361EC0"/>
    <w:rsid w:val="54E82BB7"/>
    <w:rsid w:val="55B43D13"/>
    <w:rsid w:val="562C3FA0"/>
    <w:rsid w:val="56864135"/>
    <w:rsid w:val="585573E7"/>
    <w:rsid w:val="5A334C18"/>
    <w:rsid w:val="5C2974BB"/>
    <w:rsid w:val="5C4B79F0"/>
    <w:rsid w:val="5C6164F3"/>
    <w:rsid w:val="5EEF047E"/>
    <w:rsid w:val="606A2F3D"/>
    <w:rsid w:val="607B2E53"/>
    <w:rsid w:val="63EF6D4C"/>
    <w:rsid w:val="65EF576E"/>
    <w:rsid w:val="67234BE8"/>
    <w:rsid w:val="67C37F93"/>
    <w:rsid w:val="686C39B1"/>
    <w:rsid w:val="68B72934"/>
    <w:rsid w:val="69A9737D"/>
    <w:rsid w:val="6A5B6461"/>
    <w:rsid w:val="6B9E401E"/>
    <w:rsid w:val="6C1A6998"/>
    <w:rsid w:val="711C77D0"/>
    <w:rsid w:val="73051406"/>
    <w:rsid w:val="73F71B2F"/>
    <w:rsid w:val="7524075C"/>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B931"/>
  <w15:docId w15:val="{ED5DEB70-DD4C-4F29-9AE5-5965F791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2">
    <w:name w:val="Body Text Indent 2"/>
    <w:basedOn w:val="a"/>
    <w:qFormat/>
    <w:pPr>
      <w:ind w:firstLine="630"/>
    </w:pPr>
    <w:rPr>
      <w:sz w:val="32"/>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807</Words>
  <Characters>4603</Characters>
  <Application>Microsoft Office Word</Application>
  <DocSecurity>0</DocSecurity>
  <Lines>38</Lines>
  <Paragraphs>10</Paragraphs>
  <ScaleCrop>false</ScaleCrop>
  <Company>Microsoft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Lgyy</cp:lastModifiedBy>
  <cp:revision>4</cp:revision>
  <dcterms:created xsi:type="dcterms:W3CDTF">2026-05-20T07:35:00Z</dcterms:created>
  <dcterms:modified xsi:type="dcterms:W3CDTF">2026-05-20T09:04:00Z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eyJoZGlkIjoiMWE4MDFhOWFjNWI5YjYxZDk2YTllZmE2NDU5YzgyNTAiLCJ1c2VySWQiOiIyODY1MTc2NzEifQ==</vt:lpwstr>
  </property>
  <property fmtid="{D5CDD505-2E9C-101B-9397-08002B2CF9AE}" pid="4" name="ICV">
    <vt:lpwstr>65DBD9A91523458BAEFF28B96301EF95_13</vt:lpwstr>
  </property>
</Properties>
</file>