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42A2C">
      <w:pPr>
        <w:keepNext w:val="0"/>
        <w:keepLines w:val="0"/>
        <w:pageBreakBefore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lang w:val="en-US" w:eastAsia="zh-CN"/>
        </w:rPr>
        <w:t>柳州市工人医院年度电力市场化交易采购</w:t>
      </w:r>
    </w:p>
    <w:p w14:paraId="081C78D5">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一、项目名称</w:t>
      </w:r>
    </w:p>
    <w:p w14:paraId="062487A4">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柳州市工人医院年度电力市场化交易采购</w:t>
      </w:r>
    </w:p>
    <w:p w14:paraId="5DB2C950">
      <w:pPr>
        <w:keepNext w:val="0"/>
        <w:keepLines w:val="0"/>
        <w:pageBreakBefore w:val="0"/>
        <w:tabs>
          <w:tab w:val="left" w:pos="7275"/>
        </w:tabs>
        <w:kinsoku/>
        <w:wordWrap/>
        <w:overflowPunct/>
        <w:topLinePunct w:val="0"/>
        <w:autoSpaceDE/>
        <w:autoSpaceDN/>
        <w:bidi w:val="0"/>
        <w:snapToGrid/>
        <w:spacing w:line="40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二、项目概况</w:t>
      </w:r>
    </w:p>
    <w:p w14:paraId="474EA9B5">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为了降低医院用电成本，拟实行通过售电公司购电实现电价差优惠。计划采购2026-2027年度的电能量，合计用电量约50000兆瓦时（以实际发生额为准）。</w:t>
      </w:r>
    </w:p>
    <w:p w14:paraId="29E22840">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三、投标人/供应商资格条件</w:t>
      </w:r>
    </w:p>
    <w:p w14:paraId="0A4780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投标人需为</w:t>
      </w:r>
      <w:r>
        <w:rPr>
          <w:rFonts w:hint="eastAsia" w:ascii="宋体" w:hAnsi="宋体" w:eastAsia="宋体" w:cs="宋体"/>
          <w:color w:val="auto"/>
          <w:sz w:val="24"/>
          <w:szCs w:val="24"/>
          <w:lang w:val="en-US" w:eastAsia="zh-CN"/>
        </w:rPr>
        <w:t>国内注册（指按国家有关规定要求注册的）具备独立法人资格的售电企业；具有电力交易市场售电公司资格。</w:t>
      </w:r>
    </w:p>
    <w:p w14:paraId="3813A4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年内在经营活动中没有重大违法记录和不良信用记录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在电力交易中心没有客户投诉记录。</w:t>
      </w:r>
    </w:p>
    <w:p w14:paraId="60C4D0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3.投标人提供有效的“营业执照”副本复印件（3证合一）；</w:t>
      </w:r>
    </w:p>
    <w:p w14:paraId="262376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2026年缴纳保函金额在3000万以上（保函有效期至少覆盖到2027年底）。</w:t>
      </w:r>
    </w:p>
    <w:p w14:paraId="562DFF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lang w:val="en-US" w:eastAsia="zh-CN"/>
        </w:rPr>
        <w:t>不接受联合体投标。</w:t>
      </w:r>
    </w:p>
    <w:p w14:paraId="428852EF">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四、项目内容</w:t>
      </w:r>
    </w:p>
    <w:p w14:paraId="3ACFD9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采购内容清单：</w:t>
      </w:r>
    </w:p>
    <w:tbl>
      <w:tblPr>
        <w:tblStyle w:val="19"/>
        <w:tblpPr w:leftFromText="180" w:rightFromText="180" w:vertAnchor="text" w:horzAnchor="page" w:tblpXSpec="center" w:tblpY="317"/>
        <w:tblOverlap w:val="never"/>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1"/>
        <w:gridCol w:w="1337"/>
        <w:gridCol w:w="1023"/>
        <w:gridCol w:w="1377"/>
        <w:gridCol w:w="3300"/>
        <w:gridCol w:w="787"/>
      </w:tblGrid>
      <w:tr w14:paraId="262B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9155" w:type="dxa"/>
            <w:gridSpan w:val="6"/>
            <w:noWrap w:val="0"/>
            <w:vAlign w:val="top"/>
          </w:tcPr>
          <w:p w14:paraId="7D0C62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柳州市工人医院2026-2027年度的用电量</w:t>
            </w:r>
          </w:p>
        </w:tc>
      </w:tr>
      <w:tr w14:paraId="2D2E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1331" w:type="dxa"/>
            <w:noWrap w:val="0"/>
            <w:vAlign w:val="center"/>
          </w:tcPr>
          <w:p w14:paraId="0B81B2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p>
        </w:tc>
        <w:tc>
          <w:tcPr>
            <w:tcW w:w="1337" w:type="dxa"/>
            <w:noWrap w:val="0"/>
            <w:vAlign w:val="center"/>
          </w:tcPr>
          <w:p w14:paraId="13638F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tc>
        <w:tc>
          <w:tcPr>
            <w:tcW w:w="1023" w:type="dxa"/>
            <w:noWrap w:val="0"/>
            <w:vAlign w:val="center"/>
          </w:tcPr>
          <w:p w14:paraId="52E019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电压</w:t>
            </w:r>
          </w:p>
          <w:p w14:paraId="6A5CE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等级</w:t>
            </w:r>
          </w:p>
        </w:tc>
        <w:tc>
          <w:tcPr>
            <w:tcW w:w="1377" w:type="dxa"/>
            <w:noWrap w:val="0"/>
            <w:vAlign w:val="center"/>
          </w:tcPr>
          <w:p w14:paraId="76B43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预估电量</w:t>
            </w:r>
          </w:p>
          <w:p w14:paraId="1AF84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（兆瓦时）</w:t>
            </w:r>
          </w:p>
        </w:tc>
        <w:tc>
          <w:tcPr>
            <w:tcW w:w="3300" w:type="dxa"/>
            <w:noWrap w:val="0"/>
            <w:vAlign w:val="center"/>
          </w:tcPr>
          <w:p w14:paraId="79540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p w14:paraId="51F000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（元/兆瓦时）</w:t>
            </w:r>
          </w:p>
        </w:tc>
        <w:tc>
          <w:tcPr>
            <w:tcW w:w="787" w:type="dxa"/>
            <w:noWrap w:val="0"/>
            <w:vAlign w:val="center"/>
          </w:tcPr>
          <w:p w14:paraId="49306F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r>
      <w:tr w14:paraId="755A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jc w:val="center"/>
        </w:trPr>
        <w:tc>
          <w:tcPr>
            <w:tcW w:w="1331" w:type="dxa"/>
            <w:noWrap w:val="0"/>
            <w:vAlign w:val="center"/>
          </w:tcPr>
          <w:p w14:paraId="0C9260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柳州市工人医院</w:t>
            </w:r>
          </w:p>
        </w:tc>
        <w:tc>
          <w:tcPr>
            <w:tcW w:w="1337" w:type="dxa"/>
            <w:noWrap w:val="0"/>
            <w:vAlign w:val="center"/>
          </w:tcPr>
          <w:p w14:paraId="42CB0B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柳州市柳南区和平路156号</w:t>
            </w:r>
          </w:p>
        </w:tc>
        <w:tc>
          <w:tcPr>
            <w:tcW w:w="1023" w:type="dxa"/>
            <w:noWrap w:val="0"/>
            <w:vAlign w:val="center"/>
          </w:tcPr>
          <w:p w14:paraId="1AE2E3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KV</w:t>
            </w:r>
          </w:p>
        </w:tc>
        <w:tc>
          <w:tcPr>
            <w:tcW w:w="1377" w:type="dxa"/>
            <w:noWrap w:val="0"/>
            <w:vAlign w:val="center"/>
          </w:tcPr>
          <w:p w14:paraId="67CFD5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50000</w:t>
            </w:r>
          </w:p>
        </w:tc>
        <w:tc>
          <w:tcPr>
            <w:tcW w:w="3300" w:type="dxa"/>
            <w:noWrap w:val="0"/>
            <w:vAlign w:val="center"/>
          </w:tcPr>
          <w:p w14:paraId="17BA09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i w:val="0"/>
                <w:iCs w:val="0"/>
                <w:color w:val="000000"/>
                <w:kern w:val="2"/>
                <w:sz w:val="24"/>
                <w:szCs w:val="24"/>
                <w:u w:val="none"/>
                <w:lang w:val="en-US" w:eastAsia="zh-CN" w:bidi="ar-SA"/>
              </w:rPr>
              <w:t>采用“年度市场电量交易双边协商燃煤均价（元/兆瓦时）+现货均价”的联动结算模式，固定价格联动比例：</w:t>
            </w:r>
            <w:r>
              <w:rPr>
                <w:rFonts w:hint="eastAsia" w:ascii="宋体" w:hAnsi="宋体" w:eastAsia="宋体" w:cs="宋体"/>
                <w:b/>
                <w:bCs/>
                <w:i w:val="0"/>
                <w:iCs w:val="0"/>
                <w:color w:val="000000"/>
                <w:kern w:val="2"/>
                <w:sz w:val="24"/>
                <w:szCs w:val="24"/>
                <w:u w:val="single"/>
                <w:lang w:val="en-US" w:eastAsia="zh-CN" w:bidi="ar-SA"/>
              </w:rPr>
              <w:t xml:space="preserve">   </w:t>
            </w:r>
            <w:r>
              <w:rPr>
                <w:rFonts w:hint="eastAsia" w:ascii="宋体" w:hAnsi="宋体" w:eastAsia="宋体" w:cs="宋体"/>
                <w:b/>
                <w:bCs/>
                <w:i w:val="0"/>
                <w:iCs w:val="0"/>
                <w:color w:val="000000"/>
                <w:kern w:val="2"/>
                <w:sz w:val="24"/>
                <w:szCs w:val="24"/>
                <w:u w:val="none"/>
                <w:lang w:val="en-US" w:eastAsia="zh-CN" w:bidi="ar-SA"/>
              </w:rPr>
              <w:t>%（其中固定价格所占权重（即联动比例）由报价方在0%至100%（含本数）范围内自行确认并报价，剩余权重对应现货均价）</w:t>
            </w:r>
          </w:p>
        </w:tc>
        <w:tc>
          <w:tcPr>
            <w:tcW w:w="787" w:type="dxa"/>
            <w:noWrap w:val="0"/>
            <w:vAlign w:val="center"/>
          </w:tcPr>
          <w:p w14:paraId="4AE913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r>
      <w:tr w14:paraId="48C58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1331" w:type="dxa"/>
            <w:noWrap w:val="0"/>
            <w:vAlign w:val="center"/>
          </w:tcPr>
          <w:p w14:paraId="4F8573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p>
        </w:tc>
        <w:tc>
          <w:tcPr>
            <w:tcW w:w="1337" w:type="dxa"/>
            <w:noWrap w:val="0"/>
            <w:vAlign w:val="center"/>
          </w:tcPr>
          <w:p w14:paraId="4AC65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1023" w:type="dxa"/>
            <w:noWrap w:val="0"/>
            <w:vAlign w:val="center"/>
          </w:tcPr>
          <w:p w14:paraId="7E84F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1377" w:type="dxa"/>
            <w:noWrap w:val="0"/>
            <w:vAlign w:val="center"/>
          </w:tcPr>
          <w:p w14:paraId="018F1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3300" w:type="dxa"/>
            <w:noWrap w:val="0"/>
            <w:vAlign w:val="center"/>
          </w:tcPr>
          <w:p w14:paraId="3A3F0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787" w:type="dxa"/>
            <w:noWrap w:val="0"/>
            <w:vAlign w:val="center"/>
          </w:tcPr>
          <w:p w14:paraId="450AD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r>
    </w:tbl>
    <w:p w14:paraId="3BDB47A9">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注：以上内容包含运输、拆除、搬运、安装人工和所有税费等所有费用。</w:t>
      </w:r>
    </w:p>
    <w:p w14:paraId="5BB6A848">
      <w:pPr>
        <w:keepNext w:val="0"/>
        <w:keepLines w:val="0"/>
        <w:pageBreakBefore w:val="0"/>
        <w:numPr>
          <w:ilvl w:val="0"/>
          <w:numId w:val="1"/>
        </w:numPr>
        <w:kinsoku/>
        <w:wordWrap/>
        <w:overflowPunct/>
        <w:topLinePunct w:val="0"/>
        <w:autoSpaceDE/>
        <w:autoSpaceDN/>
        <w:bidi w:val="0"/>
        <w:snapToGrid/>
        <w:spacing w:line="40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招标要求</w:t>
      </w:r>
    </w:p>
    <w:p w14:paraId="129CA9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标注“</w:t>
      </w:r>
      <w:r>
        <w:rPr>
          <w:rFonts w:hint="eastAsia" w:ascii="宋体" w:hAnsi="宋体" w:eastAsia="宋体" w:cs="宋体"/>
          <w:color w:val="auto"/>
          <w:sz w:val="24"/>
          <w:szCs w:val="24"/>
        </w:rPr>
        <w:t>★</w:t>
      </w:r>
      <w:r>
        <w:rPr>
          <w:rFonts w:hint="eastAsia" w:ascii="宋体" w:hAnsi="宋体" w:eastAsia="宋体" w:cs="宋体"/>
          <w:b/>
          <w:bCs/>
          <w:color w:val="auto"/>
          <w:sz w:val="24"/>
          <w:szCs w:val="24"/>
        </w:rPr>
        <w:t>”的条款或要求系指实质性条款或实质性要求，必须满足，如存在负偏离将导致投标被否决。非标注“★”的一般技术参数仅为参考要求，不作为废标项，投标人根据自身情况自行响应。</w:t>
      </w:r>
    </w:p>
    <w:p w14:paraId="71EDB7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投标人承诺，当投标价高于南方电网代购价格时，以南方电网代购价格结算；当投标价低于南方电网代购价格时，以投标价格结算。确保甲方市场化交易的价格不高于南方电网代购价格。</w:t>
      </w:r>
    </w:p>
    <w:p w14:paraId="42FC61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投标人2025年电厂侧交易总购电量≥10亿千瓦时（需提供与电厂购电合同或交易系统批发交易电量截图）。</w:t>
      </w:r>
    </w:p>
    <w:p w14:paraId="182256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投标人2025年市场实际结算电量不低于20亿千瓦时（以电力交易中心的盖章结算电量截图为依据）。</w:t>
      </w:r>
    </w:p>
    <w:p w14:paraId="60473EAA">
      <w:pPr>
        <w:pStyle w:val="11"/>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4.★投标人获得广西电力交易中心AA信用评价及以上。</w:t>
      </w:r>
    </w:p>
    <w:p w14:paraId="4AD6A7C2">
      <w:pPr>
        <w:pStyle w:val="11"/>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5.投标人位列2025年度广西售电公司绿色电力（绿证）交易TOP企业榜单。</w:t>
      </w:r>
    </w:p>
    <w:p w14:paraId="1BCE35B4">
      <w:pPr>
        <w:pStyle w:val="11"/>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ascii="宋体" w:hAnsi="宋体" w:eastAsia="宋体" w:cs="宋体"/>
          <w:color w:val="auto"/>
          <w:kern w:val="2"/>
          <w:sz w:val="24"/>
          <w:szCs w:val="24"/>
          <w:lang w:val="en-US" w:eastAsia="zh-CN" w:bidi="ar-SA"/>
        </w:rPr>
        <w:t>具有不少于3人及以上的专职持证交易人员。</w:t>
      </w:r>
    </w:p>
    <w:p w14:paraId="3632C05B">
      <w:pPr>
        <w:keepNext w:val="0"/>
        <w:keepLines w:val="0"/>
        <w:pageBreakBefore w:val="0"/>
        <w:widowControl/>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7.对用户承诺偏差电量考核:投标人承担采购人各品种电量全部偏差电量考核及可能的处罚费用。</w:t>
      </w:r>
    </w:p>
    <w:p w14:paraId="1779CD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8．承诺因合同期限内，投标人如被取消广西省内销售售电资格或解除合同，投标人应承担违约责任，除赔偿违约金外（违约金不低于合同总价的20%），还需赔偿采购人更换电力交易代理商造成的更换成本。</w:t>
      </w:r>
    </w:p>
    <w:p w14:paraId="31444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9.投标人须提供近3年内广西电力交易零售平台商城累计销售量证明材料。</w:t>
      </w:r>
    </w:p>
    <w:p w14:paraId="33730F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10.投标人须提供2026年1至4月广西电力交易月度结算依据证明文件。</w:t>
      </w:r>
    </w:p>
    <w:p w14:paraId="27B41245">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、报价方式及合同</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rPr>
        <w:t>期</w:t>
      </w:r>
    </w:p>
    <w:p w14:paraId="67C7C884">
      <w:pPr>
        <w:keepNext w:val="0"/>
        <w:keepLines w:val="0"/>
        <w:pageBreakBefore w:val="0"/>
        <w:numPr>
          <w:ilvl w:val="0"/>
          <w:numId w:val="2"/>
        </w:numPr>
        <w:kinsoku/>
        <w:wordWrap/>
        <w:overflowPunct/>
        <w:topLinePunct w:val="0"/>
        <w:autoSpaceDE/>
        <w:autoSpaceDN/>
        <w:bidi w:val="0"/>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报价：采用“年度市场电量交易双边协商燃煤均价（元/兆瓦时）+现货均价”的联动结算模式，固定价格联动比例：</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其中固定价格所占权重（即联动比例）由报价方在0%至100%（含本数）范围内自行确认并报价，剩余权重对应现货均价），各投标企业根据医院的用电特性及用电体量情况进行报价，由投标企业结合我院的情况自主编写（所报价格均为含税价）。</w:t>
      </w:r>
    </w:p>
    <w:p w14:paraId="0997C0B8">
      <w:pPr>
        <w:keepNext w:val="0"/>
        <w:keepLines w:val="0"/>
        <w:pageBreakBefore w:val="0"/>
        <w:numPr>
          <w:ilvl w:val="0"/>
          <w:numId w:val="2"/>
        </w:numPr>
        <w:kinsoku/>
        <w:wordWrap/>
        <w:overflowPunct/>
        <w:topLinePunct w:val="0"/>
        <w:autoSpaceDE/>
        <w:autoSpaceDN/>
        <w:bidi w:val="0"/>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价格最多可保留3位小数、且在2026年度电量上下限价格内(交易电量价格未包含电网输配电价、政府基金及附加、市损益分摊、峰谷尖浮动价格、煤电容量分摊费等)。</w:t>
      </w:r>
    </w:p>
    <w:p w14:paraId="32629966">
      <w:pPr>
        <w:keepNext w:val="0"/>
        <w:keepLines w:val="0"/>
        <w:pageBreakBefore w:val="0"/>
        <w:numPr>
          <w:ilvl w:val="0"/>
          <w:numId w:val="2"/>
        </w:numPr>
        <w:kinsoku/>
        <w:wordWrap/>
        <w:overflowPunct/>
        <w:topLinePunct w:val="0"/>
        <w:autoSpaceDE/>
        <w:autoSpaceDN/>
        <w:bidi w:val="0"/>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承诺采购人的全电量参与交易、平衡采购人电量偏差和承担采购人电量偏差考核和考核费用，投标人无法保障和承诺的报价无效（注：服务执行期间，涉及的标杆电价、输配电价、政府性基金及附加按照广西省价格主管部门最新下发的价格文件执行）。</w:t>
      </w:r>
    </w:p>
    <w:p w14:paraId="09EA6272">
      <w:pPr>
        <w:pStyle w:val="5"/>
        <w:keepNext w:val="0"/>
        <w:keepLines w:val="0"/>
        <w:pageBreakBefore w:val="0"/>
        <w:numPr>
          <w:ilvl w:val="0"/>
          <w:numId w:val="2"/>
        </w:numPr>
        <w:kinsoku/>
        <w:wordWrap/>
        <w:overflowPunct/>
        <w:topLinePunct w:val="0"/>
        <w:autoSpaceDE/>
        <w:autoSpaceDN/>
        <w:bidi w:val="0"/>
        <w:snapToGrid/>
        <w:spacing w:line="4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合同服务期至2027年12月。</w:t>
      </w:r>
    </w:p>
    <w:p w14:paraId="4EC2E905">
      <w:pPr>
        <w:keepNext w:val="0"/>
        <w:keepLines w:val="0"/>
        <w:pageBreakBefore w:val="0"/>
        <w:numPr>
          <w:ilvl w:val="0"/>
          <w:numId w:val="2"/>
        </w:numPr>
        <w:kinsoku/>
        <w:wordWrap/>
        <w:overflowPunct/>
        <w:topLinePunct w:val="0"/>
        <w:autoSpaceDE/>
        <w:autoSpaceDN/>
        <w:bidi w:val="0"/>
        <w:snapToGrid/>
        <w:spacing w:line="40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本次招标不涉及付款方式，原电费缴纳方式不变。</w:t>
      </w:r>
    </w:p>
    <w:p w14:paraId="46DACC1D">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rPr>
      </w:pPr>
      <w:bookmarkStart w:id="0" w:name="_GoBack"/>
      <w:bookmarkEnd w:id="0"/>
    </w:p>
    <w:p w14:paraId="55071E85">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总务科</w:t>
      </w:r>
    </w:p>
    <w:p w14:paraId="08D37734">
      <w:pPr>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hAnsi="宋体" w:eastAsia="宋体" w:cs="宋体"/>
          <w:color w:val="auto"/>
          <w:sz w:val="24"/>
          <w:szCs w:val="24"/>
          <w:lang w:val="en-US" w:eastAsia="zh-CN"/>
        </w:rPr>
        <w:t>9</w:t>
      </w:r>
      <w:r>
        <w:rPr>
          <w:rFonts w:hint="eastAsia" w:ascii="宋体" w:hAnsi="宋体" w:eastAsia="宋体" w:cs="宋体"/>
          <w:color w:val="auto"/>
          <w:sz w:val="24"/>
          <w:szCs w:val="24"/>
        </w:rPr>
        <w:t>日</w:t>
      </w: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0EFC1"/>
    <w:multiLevelType w:val="singleLevel"/>
    <w:tmpl w:val="AA40EFC1"/>
    <w:lvl w:ilvl="0" w:tentative="0">
      <w:start w:val="1"/>
      <w:numFmt w:val="decimal"/>
      <w:suff w:val="nothing"/>
      <w:lvlText w:val="%1．"/>
      <w:lvlJc w:val="left"/>
      <w:pPr>
        <w:ind w:left="0" w:firstLine="400"/>
      </w:pPr>
      <w:rPr>
        <w:rFonts w:hint="default"/>
      </w:rPr>
    </w:lvl>
  </w:abstractNum>
  <w:abstractNum w:abstractNumId="1">
    <w:nsid w:val="D5D7E54C"/>
    <w:multiLevelType w:val="singleLevel"/>
    <w:tmpl w:val="D5D7E54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M0ODYwZTQwMzg1YTFlYTgwYTFiMDUxZDQ0NjcifQ=="/>
  </w:docVars>
  <w:rsids>
    <w:rsidRoot w:val="53C91D89"/>
    <w:rsid w:val="00294195"/>
    <w:rsid w:val="004E3DD1"/>
    <w:rsid w:val="009300F8"/>
    <w:rsid w:val="00B4760B"/>
    <w:rsid w:val="010951A7"/>
    <w:rsid w:val="029006F1"/>
    <w:rsid w:val="030A15F1"/>
    <w:rsid w:val="03435C52"/>
    <w:rsid w:val="041744FB"/>
    <w:rsid w:val="042621F8"/>
    <w:rsid w:val="047E1FB9"/>
    <w:rsid w:val="04AA6AEB"/>
    <w:rsid w:val="05B0028B"/>
    <w:rsid w:val="05C74289"/>
    <w:rsid w:val="05DD01AD"/>
    <w:rsid w:val="06D663A6"/>
    <w:rsid w:val="07664AA9"/>
    <w:rsid w:val="09D22773"/>
    <w:rsid w:val="0AD409A0"/>
    <w:rsid w:val="0C29450A"/>
    <w:rsid w:val="0CCD4E33"/>
    <w:rsid w:val="0CF90920"/>
    <w:rsid w:val="0D052F8B"/>
    <w:rsid w:val="0DEC388F"/>
    <w:rsid w:val="0DFB3956"/>
    <w:rsid w:val="0E1F0604"/>
    <w:rsid w:val="11424D1C"/>
    <w:rsid w:val="11634099"/>
    <w:rsid w:val="1202325C"/>
    <w:rsid w:val="128571E5"/>
    <w:rsid w:val="12C344A6"/>
    <w:rsid w:val="139F4F81"/>
    <w:rsid w:val="13E7274D"/>
    <w:rsid w:val="144D6A10"/>
    <w:rsid w:val="149F3026"/>
    <w:rsid w:val="14F70FF5"/>
    <w:rsid w:val="158A71B2"/>
    <w:rsid w:val="1623579A"/>
    <w:rsid w:val="171C1FFC"/>
    <w:rsid w:val="17AA5816"/>
    <w:rsid w:val="17CB6A54"/>
    <w:rsid w:val="17F07302"/>
    <w:rsid w:val="185A3EE7"/>
    <w:rsid w:val="186E6B0B"/>
    <w:rsid w:val="188A0ED1"/>
    <w:rsid w:val="18905D9B"/>
    <w:rsid w:val="19AB7B33"/>
    <w:rsid w:val="1B000B55"/>
    <w:rsid w:val="1C52663A"/>
    <w:rsid w:val="1D97056E"/>
    <w:rsid w:val="1DC51825"/>
    <w:rsid w:val="1E1D2544"/>
    <w:rsid w:val="1F7B2D1C"/>
    <w:rsid w:val="1FBD62B1"/>
    <w:rsid w:val="20B16B03"/>
    <w:rsid w:val="20C62594"/>
    <w:rsid w:val="219B01F8"/>
    <w:rsid w:val="21A07DC1"/>
    <w:rsid w:val="21A904D3"/>
    <w:rsid w:val="22E362D2"/>
    <w:rsid w:val="23A83B2E"/>
    <w:rsid w:val="24BB5C18"/>
    <w:rsid w:val="25333665"/>
    <w:rsid w:val="26963B9B"/>
    <w:rsid w:val="26D52249"/>
    <w:rsid w:val="28865645"/>
    <w:rsid w:val="2967317C"/>
    <w:rsid w:val="29EB6A59"/>
    <w:rsid w:val="2A962AEA"/>
    <w:rsid w:val="2B9F66A7"/>
    <w:rsid w:val="2BC77052"/>
    <w:rsid w:val="2BD52A2A"/>
    <w:rsid w:val="2C022C0C"/>
    <w:rsid w:val="2CB404AC"/>
    <w:rsid w:val="2CD66967"/>
    <w:rsid w:val="2CDF3794"/>
    <w:rsid w:val="2E852EAB"/>
    <w:rsid w:val="2FC63D74"/>
    <w:rsid w:val="30D0413E"/>
    <w:rsid w:val="31040C94"/>
    <w:rsid w:val="312B0FAC"/>
    <w:rsid w:val="31F22A68"/>
    <w:rsid w:val="32EE083A"/>
    <w:rsid w:val="34272BB6"/>
    <w:rsid w:val="34D91454"/>
    <w:rsid w:val="35AC53AF"/>
    <w:rsid w:val="382A29C0"/>
    <w:rsid w:val="39B90520"/>
    <w:rsid w:val="3A1D70AA"/>
    <w:rsid w:val="3A875A71"/>
    <w:rsid w:val="3B866CAE"/>
    <w:rsid w:val="3DBF1E06"/>
    <w:rsid w:val="3E2C4BB7"/>
    <w:rsid w:val="3F2B5630"/>
    <w:rsid w:val="3F640D97"/>
    <w:rsid w:val="3F664045"/>
    <w:rsid w:val="40012417"/>
    <w:rsid w:val="40D46D12"/>
    <w:rsid w:val="4172433C"/>
    <w:rsid w:val="417D3E89"/>
    <w:rsid w:val="419A0FA7"/>
    <w:rsid w:val="41A13939"/>
    <w:rsid w:val="41B74C86"/>
    <w:rsid w:val="420F3F6D"/>
    <w:rsid w:val="421C47E7"/>
    <w:rsid w:val="42872172"/>
    <w:rsid w:val="42B208A8"/>
    <w:rsid w:val="42D9561B"/>
    <w:rsid w:val="446B68C4"/>
    <w:rsid w:val="45960004"/>
    <w:rsid w:val="47A37881"/>
    <w:rsid w:val="47F24951"/>
    <w:rsid w:val="481370C4"/>
    <w:rsid w:val="485C4F2C"/>
    <w:rsid w:val="489B4B75"/>
    <w:rsid w:val="49634BF7"/>
    <w:rsid w:val="4B95142D"/>
    <w:rsid w:val="4CAE123E"/>
    <w:rsid w:val="4D1B00DF"/>
    <w:rsid w:val="4D926C66"/>
    <w:rsid w:val="4FF57096"/>
    <w:rsid w:val="50E85F0B"/>
    <w:rsid w:val="52F3051F"/>
    <w:rsid w:val="53C91D89"/>
    <w:rsid w:val="541F6363"/>
    <w:rsid w:val="546C53B3"/>
    <w:rsid w:val="55617B80"/>
    <w:rsid w:val="56103636"/>
    <w:rsid w:val="561D501A"/>
    <w:rsid w:val="56515FE9"/>
    <w:rsid w:val="568D4870"/>
    <w:rsid w:val="574C1419"/>
    <w:rsid w:val="5A447D2A"/>
    <w:rsid w:val="5A7A7DD3"/>
    <w:rsid w:val="5B7A2695"/>
    <w:rsid w:val="5CB3223D"/>
    <w:rsid w:val="5CEF488A"/>
    <w:rsid w:val="5DF64A8D"/>
    <w:rsid w:val="5E40418F"/>
    <w:rsid w:val="5F1324D4"/>
    <w:rsid w:val="5F442227"/>
    <w:rsid w:val="5FD111D8"/>
    <w:rsid w:val="623A7395"/>
    <w:rsid w:val="627438C2"/>
    <w:rsid w:val="63814B5D"/>
    <w:rsid w:val="64C96A6A"/>
    <w:rsid w:val="680C7FB1"/>
    <w:rsid w:val="6A9B7D71"/>
    <w:rsid w:val="6AE954B5"/>
    <w:rsid w:val="6BA044C1"/>
    <w:rsid w:val="6C557385"/>
    <w:rsid w:val="6C775AF2"/>
    <w:rsid w:val="6C9C532D"/>
    <w:rsid w:val="6E5E469C"/>
    <w:rsid w:val="6F0453DE"/>
    <w:rsid w:val="6F250725"/>
    <w:rsid w:val="6F395FEB"/>
    <w:rsid w:val="70D5531A"/>
    <w:rsid w:val="71212378"/>
    <w:rsid w:val="717766ED"/>
    <w:rsid w:val="72625B8C"/>
    <w:rsid w:val="72F50D26"/>
    <w:rsid w:val="73BB4BC8"/>
    <w:rsid w:val="74607426"/>
    <w:rsid w:val="74C13C0D"/>
    <w:rsid w:val="76B33626"/>
    <w:rsid w:val="76C91732"/>
    <w:rsid w:val="77120156"/>
    <w:rsid w:val="77A81974"/>
    <w:rsid w:val="77DD02F3"/>
    <w:rsid w:val="7951073D"/>
    <w:rsid w:val="79562EED"/>
    <w:rsid w:val="7AC124B5"/>
    <w:rsid w:val="7AF9322A"/>
    <w:rsid w:val="7B161079"/>
    <w:rsid w:val="7B6660C0"/>
    <w:rsid w:val="7CAF0D43"/>
    <w:rsid w:val="7CC12FE9"/>
    <w:rsid w:val="7D0A0C4E"/>
    <w:rsid w:val="7DBC3A33"/>
    <w:rsid w:val="7DFD69D9"/>
    <w:rsid w:val="7EB76882"/>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spacing w:line="360" w:lineRule="auto"/>
      <w:ind w:firstLine="480" w:firstLineChars="200"/>
    </w:pPr>
    <w:rPr>
      <w:rFonts w:ascii="宋体" w:hAnsi="宋体"/>
      <w:sz w:val="24"/>
    </w:rPr>
  </w:style>
  <w:style w:type="paragraph" w:customStyle="1" w:styleId="12">
    <w:name w:val="Char Char Char Char Char Char1 Char"/>
    <w:basedOn w:val="1"/>
    <w:qFormat/>
    <w:uiPriority w:val="0"/>
    <w:rPr>
      <w:sz w:val="24"/>
      <w:szCs w:val="24"/>
    </w:rPr>
  </w:style>
  <w:style w:type="character" w:customStyle="1" w:styleId="13">
    <w:name w:val="font21"/>
    <w:basedOn w:val="10"/>
    <w:qFormat/>
    <w:uiPriority w:val="0"/>
    <w:rPr>
      <w:rFonts w:hint="eastAsia" w:ascii="宋体" w:hAnsi="宋体" w:eastAsia="宋体" w:cs="宋体"/>
      <w:color w:val="000000"/>
      <w:sz w:val="24"/>
      <w:szCs w:val="24"/>
      <w:u w:val="none"/>
    </w:rPr>
  </w:style>
  <w:style w:type="character" w:customStyle="1" w:styleId="14">
    <w:name w:val="font31"/>
    <w:basedOn w:val="10"/>
    <w:qFormat/>
    <w:uiPriority w:val="0"/>
    <w:rPr>
      <w:rFonts w:hint="default" w:ascii="Times New Roman" w:hAnsi="Times New Roman" w:cs="Times New Roman"/>
      <w:color w:val="000000"/>
      <w:sz w:val="22"/>
      <w:szCs w:val="22"/>
      <w:u w:val="none"/>
    </w:rPr>
  </w:style>
  <w:style w:type="character" w:customStyle="1" w:styleId="15">
    <w:name w:val="font41"/>
    <w:basedOn w:val="10"/>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0"/>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1451</Words>
  <Characters>1537</Characters>
  <Lines>13</Lines>
  <Paragraphs>3</Paragraphs>
  <TotalTime>24</TotalTime>
  <ScaleCrop>false</ScaleCrop>
  <LinksUpToDate>false</LinksUpToDate>
  <CharactersWithSpaces>1644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2025-04-26T01:49:00Z</cp:lastPrinted>
  <dcterms:modified xsi:type="dcterms:W3CDTF">2026-06-11T08:09:14Z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3DC3E86B1CB5478E8DA22600D831ECCE_13</vt:lpwstr>
  </property>
  <property fmtid="{D5CDD505-2E9C-101B-9397-08002B2CF9AE}" pid="4" name="KSOTemplateDocerSaveRecord">
    <vt:lpwstr>eyJoZGlkIjoiYTc2ZGZiNzZiNDVlOGViOWVmM2JhOTY0NGJkNjUyYzgiLCJ1c2VySWQiOiIzMDI1MDEwMzEifQ==</vt:lpwstr>
  </property>
</Properties>
</file>