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77758">
      <w:pPr>
        <w:keepNext/>
        <w:keepLines/>
        <w:spacing w:line="312" w:lineRule="auto"/>
        <w:jc w:val="center"/>
        <w:rPr>
          <w:rFonts w:hint="eastAsia" w:ascii="宋体" w:hAnsi="宋体" w:eastAsia="宋体" w:cs="微软雅黑"/>
          <w:b/>
          <w:bCs/>
          <w:color w:val="000000" w:themeColor="text1"/>
          <w:kern w:val="44"/>
          <w:sz w:val="30"/>
          <w:szCs w:val="30"/>
          <w14:textFill>
            <w14:solidFill>
              <w14:schemeClr w14:val="tx1"/>
            </w14:solidFill>
          </w14:textFill>
        </w:rPr>
      </w:pPr>
      <w:bookmarkStart w:id="0" w:name="_Toc344816509"/>
      <w:r>
        <w:rPr>
          <w:rFonts w:hint="eastAsia" w:ascii="宋体" w:hAnsi="宋体" w:eastAsia="宋体" w:cs="微软雅黑"/>
          <w:b/>
          <w:bCs/>
          <w:color w:val="000000" w:themeColor="text1"/>
          <w:kern w:val="44"/>
          <w:sz w:val="30"/>
          <w:szCs w:val="30"/>
          <w14:textFill>
            <w14:solidFill>
              <w14:schemeClr w14:val="tx1"/>
            </w14:solidFill>
          </w14:textFill>
        </w:rPr>
        <w:t>柳州市</w:t>
      </w:r>
      <w:r>
        <w:rPr>
          <w:rFonts w:ascii="宋体" w:hAnsi="宋体" w:eastAsia="宋体" w:cs="微软雅黑"/>
          <w:b/>
          <w:bCs/>
          <w:color w:val="000000" w:themeColor="text1"/>
          <w:kern w:val="44"/>
          <w:sz w:val="30"/>
          <w:szCs w:val="30"/>
          <w14:textFill>
            <w14:solidFill>
              <w14:schemeClr w14:val="tx1"/>
            </w14:solidFill>
          </w14:textFill>
        </w:rPr>
        <w:t>工人医院</w:t>
      </w:r>
      <w:r>
        <w:rPr>
          <w:rFonts w:hint="eastAsia" w:ascii="宋体" w:hAnsi="宋体" w:eastAsia="宋体" w:cs="微软雅黑"/>
          <w:b/>
          <w:bCs/>
          <w:color w:val="000000" w:themeColor="text1"/>
          <w:kern w:val="44"/>
          <w:sz w:val="30"/>
          <w:szCs w:val="30"/>
          <w14:textFill>
            <w14:solidFill>
              <w14:schemeClr w14:val="tx1"/>
            </w14:solidFill>
          </w14:textFill>
        </w:rPr>
        <w:t>癌症机会性筛查信息系统技术参数要求</w:t>
      </w:r>
    </w:p>
    <w:p w14:paraId="224648B2">
      <w:pPr>
        <w:keepNext/>
        <w:keepLines/>
        <w:spacing w:line="312" w:lineRule="auto"/>
        <w:ind w:left="420" w:leftChars="200"/>
        <w:jc w:val="left"/>
        <w:rPr>
          <w:rFonts w:hint="eastAsia" w:ascii="宋体" w:hAnsi="宋体" w:eastAsia="宋体" w:cs="微软雅黑"/>
          <w:b/>
          <w:bCs/>
          <w:color w:val="000000" w:themeColor="text1"/>
          <w:kern w:val="44"/>
          <w:sz w:val="24"/>
          <w:szCs w:val="24"/>
          <w14:textFill>
            <w14:solidFill>
              <w14:schemeClr w14:val="tx1"/>
            </w14:solidFill>
          </w14:textFill>
        </w:rPr>
      </w:pPr>
    </w:p>
    <w:bookmarkEnd w:id="0"/>
    <w:p w14:paraId="47EDC56A">
      <w:pPr>
        <w:pStyle w:val="10"/>
        <w:spacing w:line="312" w:lineRule="auto"/>
        <w:ind w:firstLine="0" w:firstLineChars="0"/>
        <w:rPr>
          <w:rFonts w:hint="eastAsia"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一、项目背景</w:t>
      </w:r>
    </w:p>
    <w:p w14:paraId="080BB33A">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院作为区域医疗核心机构，承担着大量的肿瘤防治任务，亟需通过信息化手段规范筛查流程。现有工作以手工登记、纸质流转、人工随访为主，存在信息分散、流程繁琐、高危人群识别不准、随访跟踪不及时、数据统计滞后等问题，难以满足规范化、精细化、智能化管理需求。为落实国家癌症早诊早治与健康中国建设要求，提升我院癌症防控能力与诊疗服务质量，规范癌症机会性筛查全流程管理，健康管理部提出采购癌症机会性筛查信息系统。</w:t>
      </w:r>
    </w:p>
    <w:p w14:paraId="37155361">
      <w:pPr>
        <w:pStyle w:val="10"/>
        <w:spacing w:line="312" w:lineRule="auto"/>
        <w:ind w:firstLine="0" w:firstLineChars="0"/>
        <w:rPr>
          <w:color w:val="000000" w:themeColor="text1"/>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二、项目建设内容及要求</w:t>
      </w:r>
    </w:p>
    <w:tbl>
      <w:tblPr>
        <w:tblStyle w:val="8"/>
        <w:tblW w:w="862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984"/>
        <w:gridCol w:w="1020"/>
        <w:gridCol w:w="5634"/>
      </w:tblGrid>
      <w:tr w14:paraId="3F52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shd w:val="clear" w:color="auto" w:fill="A4A4A4" w:themeFill="background1" w:themeFillShade="A5"/>
            <w:noWrap/>
          </w:tcPr>
          <w:p w14:paraId="68CFC88F">
            <w:pPr>
              <w:rPr>
                <w:color w:val="000000" w:themeColor="text1"/>
                <w14:textFill>
                  <w14:solidFill>
                    <w14:schemeClr w14:val="tx1"/>
                  </w14:solidFill>
                </w14:textFill>
              </w:rPr>
            </w:pPr>
            <w:r>
              <w:rPr>
                <w:rFonts w:hint="eastAsia"/>
                <w:color w:val="000000" w:themeColor="text1"/>
                <w14:textFill>
                  <w14:solidFill>
                    <w14:schemeClr w14:val="tx1"/>
                  </w14:solidFill>
                </w14:textFill>
              </w:rPr>
              <w:t>序列</w:t>
            </w:r>
          </w:p>
        </w:tc>
        <w:tc>
          <w:tcPr>
            <w:tcW w:w="984" w:type="dxa"/>
            <w:shd w:val="clear" w:color="auto" w:fill="A4A4A4" w:themeFill="background1" w:themeFillShade="A5"/>
            <w:noWrap/>
          </w:tcPr>
          <w:p w14:paraId="4227A1A1">
            <w:pPr>
              <w:rPr>
                <w:color w:val="000000" w:themeColor="text1"/>
                <w14:textFill>
                  <w14:solidFill>
                    <w14:schemeClr w14:val="tx1"/>
                  </w14:solidFill>
                </w14:textFill>
              </w:rPr>
            </w:pPr>
            <w:r>
              <w:rPr>
                <w:rFonts w:hint="eastAsia"/>
                <w:color w:val="000000" w:themeColor="text1"/>
                <w14:textFill>
                  <w14:solidFill>
                    <w14:schemeClr w14:val="tx1"/>
                  </w14:solidFill>
                </w14:textFill>
              </w:rPr>
              <w:t>模块</w:t>
            </w:r>
          </w:p>
        </w:tc>
        <w:tc>
          <w:tcPr>
            <w:tcW w:w="1020" w:type="dxa"/>
            <w:shd w:val="clear" w:color="auto" w:fill="A4A4A4" w:themeFill="background1" w:themeFillShade="A5"/>
            <w:noWrap/>
          </w:tcPr>
          <w:p w14:paraId="0570705D">
            <w:pPr>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tc>
        <w:tc>
          <w:tcPr>
            <w:tcW w:w="5634" w:type="dxa"/>
            <w:shd w:val="clear" w:color="auto" w:fill="A4A4A4" w:themeFill="background1" w:themeFillShade="A5"/>
          </w:tcPr>
          <w:p w14:paraId="45934F37">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技术参数</w:t>
            </w:r>
          </w:p>
        </w:tc>
      </w:tr>
      <w:tr w14:paraId="2D3E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gridSpan w:val="4"/>
            <w:shd w:val="clear" w:color="auto" w:fill="BDD6EE" w:themeFill="accent1" w:themeFillTint="66"/>
            <w:noWrap/>
          </w:tcPr>
          <w:p w14:paraId="5BFE554C">
            <w:pPr>
              <w:widowControl/>
              <w:jc w:val="center"/>
              <w:rPr>
                <w:rFonts w:hint="eastAsia" w:ascii="仿宋" w:hAnsi="仿宋" w:eastAsia="仿宋" w:cs="宋体"/>
                <w:b/>
                <w:bCs/>
                <w:color w:val="000000" w:themeColor="text1"/>
                <w:kern w:val="0"/>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机会</w:t>
            </w:r>
            <w:r>
              <w:rPr>
                <w:rFonts w:hint="eastAsia" w:ascii="宋体" w:hAnsi="宋体" w:eastAsia="宋体"/>
                <w:color w:val="000000" w:themeColor="text1"/>
                <w:lang w:val="en-US" w:eastAsia="zh-CN"/>
                <w14:textFill>
                  <w14:solidFill>
                    <w14:schemeClr w14:val="tx1"/>
                  </w14:solidFill>
                </w14:textFill>
              </w:rPr>
              <w:t>性</w:t>
            </w:r>
            <w:r>
              <w:rPr>
                <w:rFonts w:hint="eastAsia" w:ascii="宋体" w:hAnsi="宋体" w:eastAsia="宋体"/>
                <w:color w:val="000000" w:themeColor="text1"/>
                <w14:textFill>
                  <w14:solidFill>
                    <w14:schemeClr w14:val="tx1"/>
                  </w14:solidFill>
                </w14:textFill>
              </w:rPr>
              <w:t>筛查管理</w:t>
            </w:r>
          </w:p>
        </w:tc>
      </w:tr>
      <w:tr w14:paraId="1894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4DCD9E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984" w:type="dxa"/>
            <w:vMerge w:val="restart"/>
          </w:tcPr>
          <w:p w14:paraId="107A86FF">
            <w:pPr>
              <w:spacing w:line="312" w:lineRule="auto"/>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人群管理</w:t>
            </w:r>
            <w:bookmarkStart w:id="4" w:name="_GoBack"/>
            <w:bookmarkEnd w:id="4"/>
          </w:p>
        </w:tc>
        <w:tc>
          <w:tcPr>
            <w:tcW w:w="1020" w:type="dxa"/>
            <w:vMerge w:val="restart"/>
          </w:tcPr>
          <w:p w14:paraId="57A16C8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风险评估管理</w:t>
            </w:r>
          </w:p>
        </w:tc>
        <w:tc>
          <w:tcPr>
            <w:tcW w:w="5634" w:type="dxa"/>
          </w:tcPr>
          <w:p w14:paraId="66CE6F68">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支持展示待风险评估的人群清单，支持按照待评估癌种进行搜索，支持代患者完成风险评估；支持新建患者并为其测评评估；支持查看风险评估的详细信息；</w:t>
            </w:r>
          </w:p>
        </w:tc>
      </w:tr>
      <w:tr w14:paraId="2AF7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5946765">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p>
        </w:tc>
        <w:tc>
          <w:tcPr>
            <w:tcW w:w="984" w:type="dxa"/>
            <w:vMerge w:val="continue"/>
          </w:tcPr>
          <w:p w14:paraId="0D2E770B">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694F583E">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23F93876">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针对风险评估的人群进行统计，支持展示评估人群的基本信息和癌种评估情况；支持查看患者评估问卷详情；支持多条件搜索；</w:t>
            </w:r>
          </w:p>
        </w:tc>
      </w:tr>
      <w:tr w14:paraId="3D5B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9A3ED74">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p>
        </w:tc>
        <w:tc>
          <w:tcPr>
            <w:tcW w:w="984" w:type="dxa"/>
            <w:vMerge w:val="continue"/>
          </w:tcPr>
          <w:p w14:paraId="445AFFE9">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60D95CFF">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0DD19C06">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支持展示无需评估患者清单，支持查看无需评估的原因；</w:t>
            </w:r>
          </w:p>
        </w:tc>
      </w:tr>
      <w:tr w14:paraId="7533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191DF5A">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p>
        </w:tc>
        <w:tc>
          <w:tcPr>
            <w:tcW w:w="984" w:type="dxa"/>
            <w:vMerge w:val="continue"/>
          </w:tcPr>
          <w:p w14:paraId="6438E789">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restart"/>
          </w:tcPr>
          <w:p w14:paraId="543232B8">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筛查预约管理</w:t>
            </w:r>
          </w:p>
        </w:tc>
        <w:tc>
          <w:tcPr>
            <w:tcW w:w="5634" w:type="dxa"/>
          </w:tcPr>
          <w:p w14:paraId="24D0B16F">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支持代患者完成筛查预约；</w:t>
            </w:r>
          </w:p>
        </w:tc>
      </w:tr>
      <w:tr w14:paraId="67EA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BB706C0">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w:t>
            </w:r>
          </w:p>
        </w:tc>
        <w:tc>
          <w:tcPr>
            <w:tcW w:w="984" w:type="dxa"/>
            <w:vMerge w:val="continue"/>
          </w:tcPr>
          <w:p w14:paraId="14F27561">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678AE231">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5614681D">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支持按权限查询所有管辖组织的预约数据；支持针对不同状态的预约数据进行到检操作；</w:t>
            </w:r>
          </w:p>
        </w:tc>
      </w:tr>
      <w:tr w14:paraId="4044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D1DE2DB">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984" w:type="dxa"/>
            <w:vMerge w:val="continue"/>
          </w:tcPr>
          <w:p w14:paraId="70D03AE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0E94BBCF">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7AF5BC4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支持针对不同状态的预约数据进行弃检操作；</w:t>
            </w:r>
          </w:p>
        </w:tc>
      </w:tr>
      <w:tr w14:paraId="7CD9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28CB19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7</w:t>
            </w:r>
          </w:p>
        </w:tc>
        <w:tc>
          <w:tcPr>
            <w:tcW w:w="984" w:type="dxa"/>
            <w:vMerge w:val="continue"/>
          </w:tcPr>
          <w:p w14:paraId="46941E5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6A86924C">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47A76BA4">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支持针对已完成筛查的患者数据，进行手工上传筛查报告，支持上传图片和填写文字说明两种报告；</w:t>
            </w:r>
          </w:p>
        </w:tc>
      </w:tr>
      <w:tr w14:paraId="660A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B78C74B">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8</w:t>
            </w:r>
          </w:p>
        </w:tc>
        <w:tc>
          <w:tcPr>
            <w:tcW w:w="984" w:type="dxa"/>
            <w:vMerge w:val="continue"/>
          </w:tcPr>
          <w:p w14:paraId="486B726F">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restart"/>
          </w:tcPr>
          <w:p w14:paraId="53824DE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健康随访管理</w:t>
            </w:r>
          </w:p>
        </w:tc>
        <w:tc>
          <w:tcPr>
            <w:tcW w:w="5634" w:type="dxa"/>
          </w:tcPr>
          <w:p w14:paraId="48F47A74">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支持按照系统生成的健康随访名单，进行随访任务分配，可分配给管理者有权限管辖组织机构的人员；</w:t>
            </w:r>
          </w:p>
        </w:tc>
      </w:tr>
      <w:tr w14:paraId="216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9FAEE6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9</w:t>
            </w:r>
          </w:p>
        </w:tc>
        <w:tc>
          <w:tcPr>
            <w:tcW w:w="984" w:type="dxa"/>
            <w:vMerge w:val="continue"/>
          </w:tcPr>
          <w:p w14:paraId="5743EA60">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1A989D8B">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6BE092D8">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展示管理者分配级工作人员的随访清单，支持查看随访待随访患者清单和待随访内容；支持按照姓名、癌种、分配时间等条件搜索；</w:t>
            </w:r>
          </w:p>
        </w:tc>
      </w:tr>
      <w:tr w14:paraId="7390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E844D6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10</w:t>
            </w:r>
          </w:p>
        </w:tc>
        <w:tc>
          <w:tcPr>
            <w:tcW w:w="984" w:type="dxa"/>
            <w:vMerge w:val="continue"/>
          </w:tcPr>
          <w:p w14:paraId="47EFDBEB">
            <w:pPr>
              <w:spacing w:line="312" w:lineRule="auto"/>
              <w:jc w:val="center"/>
              <w:rPr>
                <w:rFonts w:hint="eastAsia" w:ascii="宋体" w:hAnsi="宋体" w:eastAsia="宋体"/>
                <w:color w:val="000000" w:themeColor="text1"/>
                <w14:textFill>
                  <w14:solidFill>
                    <w14:schemeClr w14:val="tx1"/>
                  </w14:solidFill>
                </w14:textFill>
              </w:rPr>
            </w:pPr>
          </w:p>
        </w:tc>
        <w:tc>
          <w:tcPr>
            <w:tcW w:w="1020" w:type="dxa"/>
            <w:vMerge w:val="continue"/>
          </w:tcPr>
          <w:p w14:paraId="149A4B1A">
            <w:pPr>
              <w:spacing w:line="312" w:lineRule="auto"/>
              <w:jc w:val="center"/>
              <w:rPr>
                <w:rFonts w:hint="eastAsia" w:ascii="宋体" w:hAnsi="宋体" w:eastAsia="宋体"/>
                <w:color w:val="000000" w:themeColor="text1"/>
                <w14:textFill>
                  <w14:solidFill>
                    <w14:schemeClr w14:val="tx1"/>
                  </w14:solidFill>
                </w14:textFill>
              </w:rPr>
            </w:pPr>
          </w:p>
        </w:tc>
        <w:tc>
          <w:tcPr>
            <w:tcW w:w="5634" w:type="dxa"/>
          </w:tcPr>
          <w:p w14:paraId="7E3FE062">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支持查看工作人员完成随访的患者清单，支持查看完成随访的问卷详情；支持按照姓名、癌种、分配时间、随访人员、随访时间等条件搜索；</w:t>
            </w:r>
          </w:p>
        </w:tc>
      </w:tr>
      <w:tr w14:paraId="697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A97551A">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11</w:t>
            </w:r>
          </w:p>
        </w:tc>
        <w:tc>
          <w:tcPr>
            <w:tcW w:w="984" w:type="dxa"/>
            <w:vMerge w:val="restart"/>
          </w:tcPr>
          <w:p w14:paraId="2A531A12">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统计分析</w:t>
            </w:r>
          </w:p>
        </w:tc>
        <w:tc>
          <w:tcPr>
            <w:tcW w:w="1020" w:type="dxa"/>
          </w:tcPr>
          <w:p w14:paraId="511BE4E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核心指标统计分析</w:t>
            </w:r>
          </w:p>
        </w:tc>
        <w:tc>
          <w:tcPr>
            <w:tcW w:w="5634" w:type="dxa"/>
          </w:tcPr>
          <w:p w14:paraId="36294CE2">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支持核心指标的统计，支持按照整体和各癌种做洞察决策分析；</w:t>
            </w:r>
          </w:p>
        </w:tc>
      </w:tr>
      <w:tr w14:paraId="2D6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289F96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12</w:t>
            </w:r>
          </w:p>
        </w:tc>
        <w:tc>
          <w:tcPr>
            <w:tcW w:w="984" w:type="dxa"/>
            <w:vMerge w:val="continue"/>
          </w:tcPr>
          <w:p w14:paraId="7AA6F4C3">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6232D49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分癌种指标统计分析</w:t>
            </w:r>
          </w:p>
        </w:tc>
        <w:tc>
          <w:tcPr>
            <w:tcW w:w="5634" w:type="dxa"/>
          </w:tcPr>
          <w:p w14:paraId="53137B34">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支持查看医院上线各癌种的评估人数、高危人数、筛查率、阳性检出率等分析；</w:t>
            </w:r>
          </w:p>
        </w:tc>
      </w:tr>
      <w:tr w14:paraId="3922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047E78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13</w:t>
            </w:r>
          </w:p>
        </w:tc>
        <w:tc>
          <w:tcPr>
            <w:tcW w:w="984" w:type="dxa"/>
            <w:vMerge w:val="restart"/>
          </w:tcPr>
          <w:p w14:paraId="185DB50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系统监控</w:t>
            </w:r>
          </w:p>
        </w:tc>
        <w:tc>
          <w:tcPr>
            <w:tcW w:w="1020" w:type="dxa"/>
          </w:tcPr>
          <w:p w14:paraId="5DF79BB9">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数据下载中心</w:t>
            </w:r>
          </w:p>
        </w:tc>
        <w:tc>
          <w:tcPr>
            <w:tcW w:w="5634" w:type="dxa"/>
          </w:tcPr>
          <w:p w14:paraId="7F1DE68A">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支持通过权限分配控制数据下载和导出，支持记录下载账号；</w:t>
            </w:r>
          </w:p>
        </w:tc>
      </w:tr>
      <w:tr w14:paraId="204F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02891B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14</w:t>
            </w:r>
          </w:p>
        </w:tc>
        <w:tc>
          <w:tcPr>
            <w:tcW w:w="984" w:type="dxa"/>
            <w:vMerge w:val="continue"/>
          </w:tcPr>
          <w:p w14:paraId="0598510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3F6BFC9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日志统计</w:t>
            </w:r>
          </w:p>
        </w:tc>
        <w:tc>
          <w:tcPr>
            <w:tcW w:w="5634" w:type="dxa"/>
          </w:tcPr>
          <w:p w14:paraId="2CC518A6">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记录平台用户操作记录</w:t>
            </w:r>
          </w:p>
        </w:tc>
      </w:tr>
      <w:tr w14:paraId="4E8F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740CDB4">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15</w:t>
            </w:r>
          </w:p>
        </w:tc>
        <w:tc>
          <w:tcPr>
            <w:tcW w:w="984" w:type="dxa"/>
            <w:vMerge w:val="restart"/>
          </w:tcPr>
          <w:p w14:paraId="59ED18E3">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后台管理</w:t>
            </w:r>
          </w:p>
        </w:tc>
        <w:tc>
          <w:tcPr>
            <w:tcW w:w="1020" w:type="dxa"/>
          </w:tcPr>
          <w:p w14:paraId="77E0A0B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菜单管理</w:t>
            </w:r>
          </w:p>
        </w:tc>
        <w:tc>
          <w:tcPr>
            <w:tcW w:w="5634" w:type="dxa"/>
          </w:tcPr>
          <w:p w14:paraId="7F828E0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配置平台所属菜单及路径</w:t>
            </w:r>
          </w:p>
        </w:tc>
      </w:tr>
      <w:tr w14:paraId="3348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386A06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16</w:t>
            </w:r>
          </w:p>
        </w:tc>
        <w:tc>
          <w:tcPr>
            <w:tcW w:w="984" w:type="dxa"/>
            <w:vMerge w:val="continue"/>
          </w:tcPr>
          <w:p w14:paraId="43C1507F">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7EC5714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角色管理</w:t>
            </w:r>
          </w:p>
        </w:tc>
        <w:tc>
          <w:tcPr>
            <w:tcW w:w="5634" w:type="dxa"/>
          </w:tcPr>
          <w:p w14:paraId="779892E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支持新增/编辑/删除角色的功能菜单，初始化角色“市卫健委管理员”</w:t>
            </w:r>
          </w:p>
        </w:tc>
      </w:tr>
      <w:tr w14:paraId="6E30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8EC2F93">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17</w:t>
            </w:r>
          </w:p>
        </w:tc>
        <w:tc>
          <w:tcPr>
            <w:tcW w:w="984" w:type="dxa"/>
            <w:vMerge w:val="continue"/>
          </w:tcPr>
          <w:p w14:paraId="646B5B38">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7E9EBB3">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组织管理</w:t>
            </w:r>
          </w:p>
        </w:tc>
        <w:tc>
          <w:tcPr>
            <w:tcW w:w="5634" w:type="dxa"/>
          </w:tcPr>
          <w:p w14:paraId="440425F1">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支持新增/编辑/删除组织，初始化组织“卫健委管理部门”</w:t>
            </w:r>
          </w:p>
        </w:tc>
      </w:tr>
      <w:tr w14:paraId="7FB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F3DED92">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18</w:t>
            </w:r>
          </w:p>
        </w:tc>
        <w:tc>
          <w:tcPr>
            <w:tcW w:w="984" w:type="dxa"/>
            <w:vMerge w:val="continue"/>
          </w:tcPr>
          <w:p w14:paraId="77C1119C">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05CFF53A">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用户管理</w:t>
            </w:r>
          </w:p>
        </w:tc>
        <w:tc>
          <w:tcPr>
            <w:tcW w:w="5634" w:type="dxa"/>
          </w:tcPr>
          <w:p w14:paraId="15FF56DD">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给用户分配产品权限及数据权限</w:t>
            </w:r>
          </w:p>
        </w:tc>
      </w:tr>
      <w:tr w14:paraId="6D6A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7762FAC">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19</w:t>
            </w:r>
          </w:p>
        </w:tc>
        <w:tc>
          <w:tcPr>
            <w:tcW w:w="984" w:type="dxa"/>
            <w:vMerge w:val="continue"/>
          </w:tcPr>
          <w:p w14:paraId="6D0DFC9F">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C0F858A">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上线癌种及指标管理</w:t>
            </w:r>
          </w:p>
        </w:tc>
        <w:tc>
          <w:tcPr>
            <w:tcW w:w="5634" w:type="dxa"/>
          </w:tcPr>
          <w:p w14:paraId="5A82F7D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控制上线癌种和考核监测指标的显隐</w:t>
            </w:r>
          </w:p>
        </w:tc>
      </w:tr>
      <w:tr w14:paraId="77D2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gridSpan w:val="4"/>
            <w:shd w:val="clear" w:color="auto" w:fill="BDD6EE" w:themeFill="accent1" w:themeFillTint="66"/>
          </w:tcPr>
          <w:p w14:paraId="2FDD7F28">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数据治理服务</w:t>
            </w:r>
          </w:p>
        </w:tc>
      </w:tr>
      <w:tr w14:paraId="6F63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BD10E0C">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984" w:type="dxa"/>
            <w:vMerge w:val="restart"/>
          </w:tcPr>
          <w:p w14:paraId="289C79B9">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数据结构化及归一化服务</w:t>
            </w:r>
          </w:p>
        </w:tc>
        <w:tc>
          <w:tcPr>
            <w:tcW w:w="1020" w:type="dxa"/>
          </w:tcPr>
          <w:p w14:paraId="15F686DA">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肺癌</w:t>
            </w:r>
          </w:p>
        </w:tc>
        <w:tc>
          <w:tcPr>
            <w:tcW w:w="5634" w:type="dxa"/>
          </w:tcPr>
          <w:p w14:paraId="2DA0081A">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现病史、既往史、病程记录、检查结论等文本中完成肺癌诊断名称、部位、次级解剖部位、淋巴结、状态词、时间等相关实体提取，完成部位与诊断名称、诊断名称与状态词、部位与次级、诊断名称与时间等关系映射及诊断术语归一化处理、部位术语归一化处理、状态词术语归一化处理等</w:t>
            </w:r>
          </w:p>
        </w:tc>
      </w:tr>
      <w:tr w14:paraId="7C2F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CC8BE96">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p>
        </w:tc>
        <w:tc>
          <w:tcPr>
            <w:tcW w:w="984" w:type="dxa"/>
            <w:vMerge w:val="continue"/>
          </w:tcPr>
          <w:p w14:paraId="3C88B7A3">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3C44899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胃癌</w:t>
            </w:r>
          </w:p>
        </w:tc>
        <w:tc>
          <w:tcPr>
            <w:tcW w:w="5634" w:type="dxa"/>
          </w:tcPr>
          <w:p w14:paraId="2C600F19">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个人史、现病史、既往史等文本中完成胃癌个体行为、频率词、单次用量、数值、时间等相关实体提取，完成个体行为与状态词、个体行为与数值、个体行为与单次用量、个体行为与时间等关系映射及个体行为术语归一化处理、状态词术语归一化处理、频率词术语归一化处理、数值术语归一化处理、单次用量术语归一化处理等</w:t>
            </w:r>
          </w:p>
        </w:tc>
      </w:tr>
      <w:tr w14:paraId="2804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EA5BB69">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p>
        </w:tc>
        <w:tc>
          <w:tcPr>
            <w:tcW w:w="984" w:type="dxa"/>
            <w:vMerge w:val="continue"/>
          </w:tcPr>
          <w:p w14:paraId="113549DC">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7137A45">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肝癌</w:t>
            </w:r>
          </w:p>
        </w:tc>
        <w:tc>
          <w:tcPr>
            <w:tcW w:w="5634" w:type="dxa"/>
          </w:tcPr>
          <w:p w14:paraId="21467BB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家族史、病程记录等文本中完成肝癌亲属关系、诊断名称、年龄、数值、部位、次级解剖部位、状态词等相关实体提取，完成亲属与年龄、亲属与诊断、亲属与数值、亲属与年龄、亲属与数值等关系映射及亲属术语归一化处理、诊断名称术语归一化处理、年龄术语归一化处理、部位术语归一化处理、状态词术语归一化处理等</w:t>
            </w:r>
          </w:p>
        </w:tc>
      </w:tr>
      <w:tr w14:paraId="70D2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B6CF6AB">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p>
        </w:tc>
        <w:tc>
          <w:tcPr>
            <w:tcW w:w="984" w:type="dxa"/>
            <w:vMerge w:val="continue"/>
          </w:tcPr>
          <w:p w14:paraId="1AD38FE4">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3E3FC2A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结直肠癌</w:t>
            </w:r>
          </w:p>
        </w:tc>
        <w:tc>
          <w:tcPr>
            <w:tcW w:w="5634" w:type="dxa"/>
          </w:tcPr>
          <w:p w14:paraId="2F1C6EC5">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现病史、辅助检查、病程记录等文本中完成结直肠癌临床发现、体格检查、状态词、部位、次级解剖部位、淋巴结等相关实体提取，完成临床发现与部位、体格检查与临床发现、临床发现与状态词、临床发现与部位、部位与次级解剖部位等关系映射及临床发现术语归一化处理、体格检查术语归一化处理、状态词术语归一化处理、部位术语归一化处理等</w:t>
            </w:r>
          </w:p>
        </w:tc>
      </w:tr>
      <w:tr w14:paraId="446D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1A8ABB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w:t>
            </w:r>
          </w:p>
        </w:tc>
        <w:tc>
          <w:tcPr>
            <w:tcW w:w="984" w:type="dxa"/>
            <w:vMerge w:val="continue"/>
          </w:tcPr>
          <w:p w14:paraId="292BC7E4">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4ED1525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乳腺癌</w:t>
            </w:r>
          </w:p>
        </w:tc>
        <w:tc>
          <w:tcPr>
            <w:tcW w:w="5634" w:type="dxa"/>
          </w:tcPr>
          <w:p w14:paraId="4F4FD36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现病史、辅助检查、病程记录等文本中完成乳腺癌体格检查、时间、状态词、部位、次级解剖部位、淋巴结、相对时间等相关实体提取，完成体格检查与部位、体格检查与状态词、部位与次级解剖部位、体格检查与时间、体格检查与相对时间等关系映射及体格检查术语归一化处理、状态词术语归一化处理、部位术语归一化处理等</w:t>
            </w:r>
          </w:p>
        </w:tc>
      </w:tr>
      <w:tr w14:paraId="55FA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9C000C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w:t>
            </w:r>
          </w:p>
        </w:tc>
        <w:tc>
          <w:tcPr>
            <w:tcW w:w="984" w:type="dxa"/>
            <w:vMerge w:val="continue"/>
          </w:tcPr>
          <w:p w14:paraId="117AD496">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15EAA2F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宫颈癌</w:t>
            </w:r>
          </w:p>
        </w:tc>
        <w:tc>
          <w:tcPr>
            <w:tcW w:w="5634" w:type="dxa"/>
          </w:tcPr>
          <w:p w14:paraId="657BB5CD">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检查类型、检查名称、现病史等文本中完成宫颈癌检查项目、部位、扫描类型、扫描参数、次级解剖部位等相关实体提取，完成检查项目与部位、检查与扫描类型、检查与扫描参数、部位与次级解剖部位等关系映射及检查项目术语归一化处理、部位术语归一化处理、扫描类型术语归一化处理、扫描参数术语归一化处理等</w:t>
            </w:r>
          </w:p>
        </w:tc>
      </w:tr>
      <w:tr w14:paraId="3D1C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CC5E17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7</w:t>
            </w:r>
          </w:p>
        </w:tc>
        <w:tc>
          <w:tcPr>
            <w:tcW w:w="984" w:type="dxa"/>
            <w:vMerge w:val="continue"/>
          </w:tcPr>
          <w:p w14:paraId="32C41F2D">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1E6665F9">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食管癌</w:t>
            </w:r>
          </w:p>
        </w:tc>
        <w:tc>
          <w:tcPr>
            <w:tcW w:w="5634" w:type="dxa"/>
          </w:tcPr>
          <w:p w14:paraId="5962C49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从辅助检查、体格检查等文本中完成食管癌生命体征、时间、数值、医院名称、相对时间等相关实体提取，完成生命体征与数值、生命体征与时间、生命体征与相对时间、生命体征与医院名称等关系映射及生命体征术语归一化处理、数值术语归一化处理、医院名称术语归一化处理等</w:t>
            </w:r>
          </w:p>
        </w:tc>
      </w:tr>
      <w:tr w14:paraId="0994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4FB3F80">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8</w:t>
            </w:r>
          </w:p>
        </w:tc>
        <w:tc>
          <w:tcPr>
            <w:tcW w:w="984" w:type="dxa"/>
            <w:vMerge w:val="restart"/>
          </w:tcPr>
          <w:p w14:paraId="38BFF6A6">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风险智能评估数据加工服务</w:t>
            </w:r>
          </w:p>
        </w:tc>
        <w:tc>
          <w:tcPr>
            <w:tcW w:w="1020" w:type="dxa"/>
          </w:tcPr>
          <w:p w14:paraId="376602F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肺癌</w:t>
            </w:r>
          </w:p>
        </w:tc>
        <w:tc>
          <w:tcPr>
            <w:tcW w:w="5634" w:type="dxa"/>
          </w:tcPr>
          <w:p w14:paraId="5F8B99B6">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肺癌高危因素（入院前是否有慢性阻塞性肺疾病、入院时吸烟史评估结果、吸烟总烟量、被动吸烟年限、入院时评估为有一级亲属确诊肺癌和职业暴露年限）的入院前6个月内肺癌风险评估是否高危、入院前12个月内肺癌风险评估是否低危、入院时肺癌风险评估结果等字段加工</w:t>
            </w:r>
          </w:p>
        </w:tc>
      </w:tr>
      <w:tr w14:paraId="6BEF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9B6D27B">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9</w:t>
            </w:r>
          </w:p>
        </w:tc>
        <w:tc>
          <w:tcPr>
            <w:tcW w:w="984" w:type="dxa"/>
            <w:vMerge w:val="continue"/>
          </w:tcPr>
          <w:p w14:paraId="47D9E8D4">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65B584BC">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胃癌</w:t>
            </w:r>
          </w:p>
        </w:tc>
        <w:tc>
          <w:tcPr>
            <w:tcW w:w="5634" w:type="dxa"/>
          </w:tcPr>
          <w:p w14:paraId="7FB20825">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胃癌高危因素（长期居住于胃癌高发地区、一级亲属中有胃癌病史、（尿素呼气试验、血清Hp抗体、粪便Hp抗原检测任一阳性）、（吸烟、重度饮酒、高盐饮食、腌制食品等不良生活方式和饮食习惯）、患有慢性萎缩性胃炎、胃溃疡、胃增生性息肉、息肉病、手术后残胃、肥厚性胃炎、恶性贫血等疾病、（G17异常，且PG1和PGR下降））的入院前6个月内胃癌风险评估是否高危、入院前12个月内胃癌风险评估是否低危、入院时胃癌风险评估结果等字段加工</w:t>
            </w:r>
          </w:p>
        </w:tc>
      </w:tr>
      <w:tr w14:paraId="09B5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7ACEC26">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10</w:t>
            </w:r>
          </w:p>
        </w:tc>
        <w:tc>
          <w:tcPr>
            <w:tcW w:w="984" w:type="dxa"/>
            <w:vMerge w:val="continue"/>
          </w:tcPr>
          <w:p w14:paraId="2B09177D">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FEC3609">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肝癌</w:t>
            </w:r>
          </w:p>
        </w:tc>
        <w:tc>
          <w:tcPr>
            <w:tcW w:w="5634" w:type="dxa"/>
          </w:tcPr>
          <w:p w14:paraId="03E1D502">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完成肝癌高危因素（HBV/HCV慢性感染且年龄≥40岁、肝硬化或肝癌家族史、合并代谢综合征）的入院前6个月内肝癌风险评估是否高危、入院前12个月内肝癌风险评估是否低危、入院时肝癌风险评估结果等字段加工</w:t>
            </w:r>
          </w:p>
        </w:tc>
      </w:tr>
      <w:tr w14:paraId="7A8A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A887BB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11</w:t>
            </w:r>
          </w:p>
        </w:tc>
        <w:tc>
          <w:tcPr>
            <w:tcW w:w="984" w:type="dxa"/>
            <w:vMerge w:val="continue"/>
          </w:tcPr>
          <w:p w14:paraId="770506C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0FE09BF">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结直肠癌</w:t>
            </w:r>
          </w:p>
        </w:tc>
        <w:tc>
          <w:tcPr>
            <w:tcW w:w="5634" w:type="dxa"/>
          </w:tcPr>
          <w:p w14:paraId="3CC8B310">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结直肠癌高危因素（有结直肠息肉史、（任意一个一级亲属患有家族性腺瘤性息肉病、林奇综合征、克罗恩氏病、溃疡性结肠炎）粪便潜血检测结果阳性）的入院前6个月内结直肠癌风险评估是否高危、入院前12个月内结直肠癌风险评估是否低危、入院时结直肠癌风险评估结果等字段加工</w:t>
            </w:r>
          </w:p>
        </w:tc>
      </w:tr>
      <w:tr w14:paraId="1F10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1199485">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12</w:t>
            </w:r>
          </w:p>
        </w:tc>
        <w:tc>
          <w:tcPr>
            <w:tcW w:w="984" w:type="dxa"/>
            <w:vMerge w:val="continue"/>
          </w:tcPr>
          <w:p w14:paraId="4DC94337">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7D63981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乳腺癌</w:t>
            </w:r>
          </w:p>
        </w:tc>
        <w:tc>
          <w:tcPr>
            <w:tcW w:w="5634" w:type="dxa"/>
          </w:tcPr>
          <w:p w14:paraId="70CDB7CA">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乳腺癌高危因素（一级亲属有乳腺癌或卵巢癌史、（二级亲属50岁前，患乳腺癌或患卵巢癌2人及以上）、（至少1位一级亲属携带已知BRCA1/2基因致病性遗传突变；或自身携带BRCA1/2基因致病性遗传突变）、月经初潮年龄≤12岁、绝经年龄≥55岁、有乳腺活检史或乳腺良性疾病手术史或病理证实的乳腺（小叶或导管）不典型增生病史、使用“雌孕激素联合”的激素替代治疗不少于半年、45岁后乳腺X线检查提示乳腺实质（或乳房密度）类型为不均匀致密型或致密型）的入院时乳腺癌风险评估结果等字段加工</w:t>
            </w:r>
          </w:p>
        </w:tc>
      </w:tr>
      <w:tr w14:paraId="3B4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7C58130">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13</w:t>
            </w:r>
          </w:p>
        </w:tc>
        <w:tc>
          <w:tcPr>
            <w:tcW w:w="984" w:type="dxa"/>
            <w:vMerge w:val="continue"/>
          </w:tcPr>
          <w:p w14:paraId="045CC9BE">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6EFA0CFD">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宫颈癌</w:t>
            </w:r>
          </w:p>
        </w:tc>
        <w:tc>
          <w:tcPr>
            <w:tcW w:w="5634" w:type="dxa"/>
          </w:tcPr>
          <w:p w14:paraId="09D13E2C">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完成宫颈癌高危因素的入院前6个月内宫颈癌风险评估是否高危、入院前12个月内宫颈癌风险评估是否低危、入院时宫颈癌风险评估结果等字段加工</w:t>
            </w:r>
          </w:p>
        </w:tc>
      </w:tr>
      <w:tr w14:paraId="051A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C9E769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14</w:t>
            </w:r>
          </w:p>
        </w:tc>
        <w:tc>
          <w:tcPr>
            <w:tcW w:w="984" w:type="dxa"/>
            <w:vMerge w:val="continue"/>
          </w:tcPr>
          <w:p w14:paraId="123AC14F">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26375A7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食管癌</w:t>
            </w:r>
          </w:p>
        </w:tc>
        <w:tc>
          <w:tcPr>
            <w:tcW w:w="5634" w:type="dxa"/>
          </w:tcPr>
          <w:p w14:paraId="34964D24">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食管癌高危因素（长期居住于食管癌高发地区、一级亲属中有食管癌疾病史、（热烫饮食、高盐饮食、腌制食品、吸烟、重度饮酒等不良饮食习惯和生活方式）、（患有慢性食管炎、巴雷特（Barrett）食管、食管憩室、贲门失弛缓症、反流性食管炎、食管良性狭窄等疾病）、有食管癌前病变诊疗史）的入院前6个月内食管癌风险评估是否高危、入院前12个月内食管癌风险评估是否低危、入院时食管风险评估结果等字段加工</w:t>
            </w:r>
          </w:p>
        </w:tc>
      </w:tr>
      <w:tr w14:paraId="602B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9DB780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15</w:t>
            </w:r>
          </w:p>
        </w:tc>
        <w:tc>
          <w:tcPr>
            <w:tcW w:w="984" w:type="dxa"/>
            <w:vMerge w:val="restart"/>
          </w:tcPr>
          <w:p w14:paraId="457DDB04">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筛查数据加工服务</w:t>
            </w:r>
          </w:p>
        </w:tc>
        <w:tc>
          <w:tcPr>
            <w:tcW w:w="1020" w:type="dxa"/>
          </w:tcPr>
          <w:p w14:paraId="0848043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肺癌</w:t>
            </w:r>
          </w:p>
        </w:tc>
        <w:tc>
          <w:tcPr>
            <w:tcW w:w="5634" w:type="dxa"/>
          </w:tcPr>
          <w:p w14:paraId="4DD7858E">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完成肺癌入院前24个月内、入院前6个月内、当次就诊期间，胸部CT、胸部MRI、低剂量螺旋CT、PET-CT、胸部X线等阴阳性字段加工</w:t>
            </w:r>
          </w:p>
        </w:tc>
      </w:tr>
      <w:tr w14:paraId="76EE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F403A85">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16</w:t>
            </w:r>
          </w:p>
        </w:tc>
        <w:tc>
          <w:tcPr>
            <w:tcW w:w="984" w:type="dxa"/>
            <w:vMerge w:val="continue"/>
          </w:tcPr>
          <w:p w14:paraId="0D4ED99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5E11F414">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胃癌</w:t>
            </w:r>
          </w:p>
        </w:tc>
        <w:tc>
          <w:tcPr>
            <w:tcW w:w="5634" w:type="dxa"/>
          </w:tcPr>
          <w:p w14:paraId="71CD958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完成胃癌入院前3个月内、当次就诊期间，上消化道造影检查、胸部CT检查、腹部CT检查、胸部MRI检查、腹部MRI检查、腹部超声检查、PET-CT检查等阴阳性字段加工</w:t>
            </w:r>
            <w:r>
              <w:rPr>
                <w:rFonts w:hint="eastAsia" w:ascii="宋体" w:hAnsi="宋体" w:eastAsia="宋体"/>
                <w:color w:val="000000" w:themeColor="text1"/>
                <w14:textFill>
                  <w14:solidFill>
                    <w14:schemeClr w14:val="tx1"/>
                  </w14:solidFill>
                </w14:textFill>
              </w:rPr>
              <w:br w:type="textWrapping"/>
            </w:r>
            <w:r>
              <w:rPr>
                <w:rFonts w:hint="eastAsia" w:ascii="宋体" w:hAnsi="宋体" w:eastAsia="宋体"/>
                <w:color w:val="000000" w:themeColor="text1"/>
                <w14:textFill>
                  <w14:solidFill>
                    <w14:schemeClr w14:val="tx1"/>
                  </w14:solidFill>
                </w14:textFill>
              </w:rPr>
              <w:t>完成胃癌入院前6个月内CA724检测、CA242检测、AFP检测、CA199检测、CA125检测、CEA检测等阴阳性字段加工，当次就诊期间CA724检测、CA242检测、AFP检测、CA199检测、CA125检测、CEA检测等阳性字段加工</w:t>
            </w:r>
          </w:p>
        </w:tc>
      </w:tr>
      <w:tr w14:paraId="014A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D5CE74E">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17</w:t>
            </w:r>
          </w:p>
        </w:tc>
        <w:tc>
          <w:tcPr>
            <w:tcW w:w="984" w:type="dxa"/>
            <w:vMerge w:val="continue"/>
          </w:tcPr>
          <w:p w14:paraId="1FC5BF15">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602270E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肝癌</w:t>
            </w:r>
          </w:p>
        </w:tc>
        <w:tc>
          <w:tcPr>
            <w:tcW w:w="5634" w:type="dxa"/>
          </w:tcPr>
          <w:p w14:paraId="24523865">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完成肝癌入院前、入院前3个月、当次就诊期间，腹部磁共振、腹部CT、PET-CT、腹部超声、腹部超声造影、PET-核磁共振等阴阳性字段加工</w:t>
            </w:r>
            <w:r>
              <w:rPr>
                <w:rFonts w:hint="eastAsia" w:ascii="宋体" w:hAnsi="宋体" w:eastAsia="宋体"/>
                <w:color w:val="000000" w:themeColor="text1"/>
                <w14:textFill>
                  <w14:solidFill>
                    <w14:schemeClr w14:val="tx1"/>
                  </w14:solidFill>
                </w14:textFill>
              </w:rPr>
              <w:br w:type="textWrapping"/>
            </w:r>
            <w:r>
              <w:rPr>
                <w:rFonts w:hint="eastAsia" w:ascii="宋体" w:hAnsi="宋体" w:eastAsia="宋体"/>
                <w:color w:val="000000" w:themeColor="text1"/>
                <w14:textFill>
                  <w14:solidFill>
                    <w14:schemeClr w14:val="tx1"/>
                  </w14:solidFill>
                </w14:textFill>
              </w:rPr>
              <w:t>完成肝癌入院前3个月内、当次就诊期间，AFP检测、PIVKA-II检测、AFP-L3检测、七种微小核糖核酸、CA199检测、CEA检测等阴阳性字段加工</w:t>
            </w:r>
          </w:p>
        </w:tc>
      </w:tr>
      <w:tr w14:paraId="132B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3EB1F67">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18</w:t>
            </w:r>
          </w:p>
        </w:tc>
        <w:tc>
          <w:tcPr>
            <w:tcW w:w="984" w:type="dxa"/>
            <w:vMerge w:val="continue"/>
          </w:tcPr>
          <w:p w14:paraId="4DC3FE7D">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1E20A180">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结直肠癌</w:t>
            </w:r>
          </w:p>
        </w:tc>
        <w:tc>
          <w:tcPr>
            <w:tcW w:w="5634" w:type="dxa"/>
          </w:tcPr>
          <w:p w14:paraId="64E07D18">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完成结直肠癌入院前6个月内、当次就诊期间，腹部CT、盆腔CT、腹部MRI、盆腔MRI、PET-CT、直肠超声、腹部超声、肠镜检查等阴阳性字段加工</w:t>
            </w:r>
            <w:r>
              <w:rPr>
                <w:rFonts w:hint="eastAsia" w:ascii="宋体" w:hAnsi="宋体" w:eastAsia="宋体"/>
                <w:color w:val="000000" w:themeColor="text1"/>
                <w14:textFill>
                  <w14:solidFill>
                    <w14:schemeClr w14:val="tx1"/>
                  </w14:solidFill>
                </w14:textFill>
              </w:rPr>
              <w:br w:type="textWrapping"/>
            </w:r>
            <w:r>
              <w:rPr>
                <w:rFonts w:hint="eastAsia" w:ascii="宋体" w:hAnsi="宋体" w:eastAsia="宋体"/>
                <w:color w:val="000000" w:themeColor="text1"/>
                <w14:textFill>
                  <w14:solidFill>
                    <w14:schemeClr w14:val="tx1"/>
                  </w14:solidFill>
                </w14:textFill>
              </w:rPr>
              <w:t>完成结直肠癌入院前6个月内、当次就诊期间，CA199检测、CEA检测等阴阳性字段加工</w:t>
            </w:r>
          </w:p>
        </w:tc>
      </w:tr>
      <w:tr w14:paraId="295F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6A657FF">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19</w:t>
            </w:r>
          </w:p>
        </w:tc>
        <w:tc>
          <w:tcPr>
            <w:tcW w:w="984" w:type="dxa"/>
            <w:vMerge w:val="continue"/>
          </w:tcPr>
          <w:p w14:paraId="6B44E2EA">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768AA122">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乳腺癌</w:t>
            </w:r>
          </w:p>
        </w:tc>
        <w:tc>
          <w:tcPr>
            <w:tcW w:w="5634" w:type="dxa"/>
          </w:tcPr>
          <w:p w14:paraId="3F548AD7">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乳腺癌入院前3个月内、当次就诊期间，乳腺X线、乳腺超声、乳腺MRI、胸部CT是否阳性字段，入院前12个月内，乳腺X线、乳腺超声、乳腺MRI检查结果是否为BI-RADS1-2类等字段加工，当次就诊期间，乳腺X线、乳腺超声、乳腺MRI检查结果是否为BI-RADS1-3类等字段加工</w:t>
            </w:r>
          </w:p>
        </w:tc>
      </w:tr>
      <w:tr w14:paraId="2EC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C144A61">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20</w:t>
            </w:r>
          </w:p>
        </w:tc>
        <w:tc>
          <w:tcPr>
            <w:tcW w:w="984" w:type="dxa"/>
            <w:vMerge w:val="continue"/>
          </w:tcPr>
          <w:p w14:paraId="64431D20">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71763BDC">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宫颈癌</w:t>
            </w:r>
          </w:p>
        </w:tc>
        <w:tc>
          <w:tcPr>
            <w:tcW w:w="5634" w:type="dxa"/>
          </w:tcPr>
          <w:p w14:paraId="5FE351D8">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完成宫颈癌入院前6个月内、当次就诊期间，腹盆腔超声检查、腹盆腔CT检查、盆腔MRI检查、PET-CT检查等阴阳性字段加工</w:t>
            </w:r>
            <w:r>
              <w:rPr>
                <w:rFonts w:hint="eastAsia" w:ascii="宋体" w:hAnsi="宋体" w:eastAsia="宋体"/>
                <w:color w:val="000000" w:themeColor="text1"/>
                <w14:textFill>
                  <w14:solidFill>
                    <w14:schemeClr w14:val="tx1"/>
                  </w14:solidFill>
                </w14:textFill>
              </w:rPr>
              <w:br w:type="textWrapping"/>
            </w:r>
            <w:r>
              <w:rPr>
                <w:rFonts w:hint="eastAsia" w:ascii="宋体" w:hAnsi="宋体" w:eastAsia="宋体"/>
                <w:color w:val="000000" w:themeColor="text1"/>
                <w14:textFill>
                  <w14:solidFill>
                    <w14:schemeClr w14:val="tx1"/>
                  </w14:solidFill>
                </w14:textFill>
              </w:rPr>
              <w:t>完成宫颈癌入院前12个月内、当次就诊期间，SCC检测、CA125检测、CA199检测、NSE检测、CEA检测等阴阳性字段加工</w:t>
            </w:r>
          </w:p>
        </w:tc>
      </w:tr>
      <w:tr w14:paraId="1DD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32CAF88">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21</w:t>
            </w:r>
          </w:p>
        </w:tc>
        <w:tc>
          <w:tcPr>
            <w:tcW w:w="984" w:type="dxa"/>
            <w:vMerge w:val="continue"/>
          </w:tcPr>
          <w:p w14:paraId="67D62430">
            <w:pPr>
              <w:spacing w:line="312" w:lineRule="auto"/>
              <w:jc w:val="center"/>
              <w:rPr>
                <w:rFonts w:hint="eastAsia" w:ascii="宋体" w:hAnsi="宋体" w:eastAsia="宋体"/>
                <w:color w:val="000000" w:themeColor="text1"/>
                <w14:textFill>
                  <w14:solidFill>
                    <w14:schemeClr w14:val="tx1"/>
                  </w14:solidFill>
                </w14:textFill>
              </w:rPr>
            </w:pPr>
          </w:p>
        </w:tc>
        <w:tc>
          <w:tcPr>
            <w:tcW w:w="1020" w:type="dxa"/>
          </w:tcPr>
          <w:p w14:paraId="0456C33C">
            <w:pPr>
              <w:spacing w:line="312"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食管癌</w:t>
            </w:r>
          </w:p>
        </w:tc>
        <w:tc>
          <w:tcPr>
            <w:tcW w:w="5634" w:type="dxa"/>
          </w:tcPr>
          <w:p w14:paraId="0F8C8B93">
            <w:pPr>
              <w:spacing w:line="312" w:lineRule="auto"/>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完成食管癌入院前6个月内、当次就诊期间，上消化道造影检查、颈部CT检查、胸部CT检查、上腹部CT检查、颈部MRI检查、胸部MRI检查、上腹部MRI检查、PET-CT检查、颈部超声检查等阴阳性字段加工</w:t>
            </w:r>
            <w:r>
              <w:rPr>
                <w:rFonts w:hint="eastAsia" w:ascii="宋体" w:hAnsi="宋体" w:eastAsia="宋体"/>
                <w:color w:val="000000" w:themeColor="text1"/>
                <w14:textFill>
                  <w14:solidFill>
                    <w14:schemeClr w14:val="tx1"/>
                  </w14:solidFill>
                </w14:textFill>
              </w:rPr>
              <w:br w:type="textWrapping"/>
            </w:r>
            <w:r>
              <w:rPr>
                <w:rFonts w:hint="eastAsia" w:ascii="宋体" w:hAnsi="宋体" w:eastAsia="宋体"/>
                <w:color w:val="000000" w:themeColor="text1"/>
                <w14:textFill>
                  <w14:solidFill>
                    <w14:schemeClr w14:val="tx1"/>
                  </w14:solidFill>
                </w14:textFill>
              </w:rPr>
              <w:t>完成食管癌入院前3个月内、当次就诊期间，CA724检测、CA242检测、CYFRA21-1检测、SCC检测、NSE检测、CEA检测等阴阳性字段加工</w:t>
            </w:r>
          </w:p>
        </w:tc>
      </w:tr>
    </w:tbl>
    <w:p w14:paraId="4BAEF2E0">
      <w:pPr>
        <w:spacing w:line="312" w:lineRule="auto"/>
        <w:jc w:val="center"/>
        <w:rPr>
          <w:rFonts w:hint="eastAsia" w:ascii="宋体" w:hAnsi="宋体" w:eastAsia="宋体"/>
          <w:color w:val="000000" w:themeColor="text1"/>
          <w14:textFill>
            <w14:solidFill>
              <w14:schemeClr w14:val="tx1"/>
            </w14:solidFill>
          </w14:textFill>
        </w:rPr>
      </w:pPr>
    </w:p>
    <w:p w14:paraId="7AEB5FBB">
      <w:pPr>
        <w:pStyle w:val="3"/>
        <w:spacing w:after="0" w:line="312" w:lineRule="auto"/>
        <w:rPr>
          <w:rFonts w:hint="eastAsia" w:ascii="宋体" w:hAnsi="宋体" w:eastAsia="宋体" w:cs="宋体"/>
          <w:b/>
          <w:bCs/>
          <w:color w:val="000000" w:themeColor="text1"/>
          <w:sz w:val="28"/>
          <w:lang w:val="en-US"/>
          <w14:textFill>
            <w14:solidFill>
              <w14:schemeClr w14:val="tx1"/>
            </w14:solidFill>
          </w14:textFill>
        </w:rPr>
      </w:pPr>
      <w:r>
        <w:rPr>
          <w:rFonts w:hint="eastAsia" w:ascii="宋体" w:hAnsi="宋体" w:eastAsia="宋体" w:cs="宋体"/>
          <w:b/>
          <w:bCs/>
          <w:color w:val="000000" w:themeColor="text1"/>
          <w:sz w:val="28"/>
          <w:lang w:val="en-US"/>
          <w14:textFill>
            <w14:solidFill>
              <w14:schemeClr w14:val="tx1"/>
            </w14:solidFill>
          </w14:textFill>
        </w:rPr>
        <w:t>三、对接口及系统改造的要求</w:t>
      </w:r>
    </w:p>
    <w:p w14:paraId="091C79D8">
      <w:pPr>
        <w:spacing w:line="312"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t>质保期和维保期内免费实现以下要求：</w:t>
      </w:r>
    </w:p>
    <w:p w14:paraId="4CBFEE39">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3.1提供全面的接口技术，与第三方系统共享数据和功能，这些接口技术包括中间件技术接口、WEBSEVICE通用接口、数据库级接口、文件文本接口等。</w:t>
      </w:r>
    </w:p>
    <w:p w14:paraId="15D963D6">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14:paraId="7D43CE50">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59A9FB15">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3.4提供软件免费升级及个性化修改服务，免费实现院方的个性化需求；软件自身错误类问题提供永久性免费修改服务；</w:t>
      </w:r>
    </w:p>
    <w:p w14:paraId="1DE22A10">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3.5免费提供医院新增业务信息系统的对接、免费实现医院上级管理部门要求的系统接口对接要求。</w:t>
      </w:r>
    </w:p>
    <w:p w14:paraId="300473EE">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3.6若医院更换已对接的业务系统、乙方须免费提供与新业务系统的对接及联调服务。</w:t>
      </w:r>
    </w:p>
    <w:p w14:paraId="5065ED9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3.7项目软硬件系统不限定用户数、并发数、不限定医疗集团内部及院区使用。</w:t>
      </w:r>
    </w:p>
    <w:p w14:paraId="2613379D">
      <w:pPr>
        <w:pStyle w:val="2"/>
        <w:numPr>
          <w:ilvl w:val="0"/>
          <w:numId w:val="0"/>
        </w:numPr>
        <w:spacing w:before="0" w:after="0" w:line="312" w:lineRule="auto"/>
        <w:rPr>
          <w:rFonts w:hint="eastAsia" w:ascii="宋体" w:hAnsi="宋体"/>
          <w:bCs w:val="0"/>
          <w:color w:val="000000" w:themeColor="text1"/>
          <w:sz w:val="32"/>
          <w:szCs w:val="32"/>
          <w14:textFill>
            <w14:solidFill>
              <w14:schemeClr w14:val="tx1"/>
            </w14:solidFill>
          </w14:textFill>
        </w:rPr>
      </w:pPr>
      <w:r>
        <w:rPr>
          <w:rFonts w:hint="eastAsia" w:ascii="宋体" w:hAnsi="宋体"/>
          <w:bCs w:val="0"/>
          <w:color w:val="000000" w:themeColor="text1"/>
          <w:sz w:val="32"/>
          <w:szCs w:val="32"/>
          <w14:textFill>
            <w14:solidFill>
              <w14:schemeClr w14:val="tx1"/>
            </w14:solidFill>
          </w14:textFill>
        </w:rPr>
        <w:t>四、项目实施要求</w:t>
      </w:r>
    </w:p>
    <w:p w14:paraId="21D40EA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4.1驻场、实施工期要求：合同签订后，7个工作日内项目实施人员必须进场，系统需在6个月内完成项目实施上线，请分别列出每个系统实施的工作计划及周期。</w:t>
      </w:r>
    </w:p>
    <w:p w14:paraId="0869BCD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4.2驻场实施人员要求：</w:t>
      </w:r>
    </w:p>
    <w:p w14:paraId="03664CDF">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实施工程师：项目驻场实施工程师需有2年以上本厂商同等项目实施经验。项目实施阶段，驻场实施工程师不得少于1名。如需更换实施工程师，厂商需提交书面申请，经院方同意才可更换。</w:t>
      </w:r>
    </w:p>
    <w:p w14:paraId="38908CE0">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竞标文件中需提供软件提供商项目驻场人员清单（含项目开发和项目实施人员），清单中标明驻场人员详细信息，如姓名、联系方式、技术职称、社保证明（不少于半年）等。</w:t>
      </w:r>
    </w:p>
    <w:p w14:paraId="6DF87501">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4.3因厂商与院方存在对需求理解有差异的可能性，要求所有软件功能需求的响应以院方意见为准。</w:t>
      </w:r>
    </w:p>
    <w:p w14:paraId="01BD22F1">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4.4培训要求：</w:t>
      </w:r>
    </w:p>
    <w:p w14:paraId="169C205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培训应至少包括但不限于：软硬件系统的安装、部署、维护方法、系统的功能使用培训；</w:t>
      </w:r>
    </w:p>
    <w:p w14:paraId="3239390A">
      <w:pPr>
        <w:pStyle w:val="2"/>
        <w:numPr>
          <w:ilvl w:val="0"/>
          <w:numId w:val="0"/>
        </w:numPr>
        <w:spacing w:before="0" w:after="0" w:line="312" w:lineRule="auto"/>
        <w:rPr>
          <w:rFonts w:hint="eastAsia" w:ascii="宋体" w:hAnsi="宋体"/>
          <w:bCs w:val="0"/>
          <w:color w:val="000000" w:themeColor="text1"/>
          <w:sz w:val="32"/>
          <w:szCs w:val="32"/>
          <w14:textFill>
            <w14:solidFill>
              <w14:schemeClr w14:val="tx1"/>
            </w14:solidFill>
          </w14:textFill>
        </w:rPr>
      </w:pPr>
      <w:r>
        <w:rPr>
          <w:rFonts w:hint="eastAsia" w:ascii="宋体" w:hAnsi="宋体"/>
          <w:bCs w:val="0"/>
          <w:color w:val="000000" w:themeColor="text1"/>
          <w:sz w:val="32"/>
          <w:szCs w:val="32"/>
          <w14:textFill>
            <w14:solidFill>
              <w14:schemeClr w14:val="tx1"/>
            </w14:solidFill>
          </w14:textFill>
        </w:rPr>
        <w:t>五、售后服务及其他要求</w:t>
      </w:r>
    </w:p>
    <w:p w14:paraId="34D87772">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5A96D817">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5.2安装调试要求：免费送货上门、安装调试、提供完善的设备及软件系统使用中文操作手册、图纸、网络详细拓扑图、系统配置、功能配置、设备配置及互联记录。</w:t>
      </w:r>
    </w:p>
    <w:p w14:paraId="6A87B729">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color w:val="000000" w:themeColor="text1"/>
          <w:sz w:val="28"/>
          <w:szCs w:val="28"/>
          <w14:textFill>
            <w14:solidFill>
              <w14:schemeClr w14:val="tx1"/>
            </w14:solidFill>
          </w14:textFill>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4FF63E19">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5.4供应商提供原厂技术人员定期巡检服务，定期通过电话或其他方式访问用户，了解产品使用情况及网络安全情况，按院方要求巡检（国家法定节假日前巡检或按院方需求时间巡检），每季度巡检不得少于一次，并形成巡检报告（内容涉及此产品服务器\相关设备的运行情况）反馈给我院。</w:t>
      </w:r>
    </w:p>
    <w:p w14:paraId="74DF055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5.5免费系统改造，支持信创电脑和服务器。</w:t>
      </w:r>
    </w:p>
    <w:p w14:paraId="63CAA008">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六、违约责任</w:t>
      </w:r>
    </w:p>
    <w:p w14:paraId="7814365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投标方所提供的产品/软件规格、技术标准、材料等质量不合格的，应及时更换，更换不及时的按逾期交货/交付处罚；因质量问题我院不同意接收，投标方应向我院支付违约货款额5%违约金并赔偿我院经济损失。</w:t>
      </w:r>
    </w:p>
    <w:p w14:paraId="25E6049A">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6.2若投标方提供的产品或软件侵犯了第三方合法权益而引发的任何纠纷或诉讼，均由投标方负责交涉并承担全部责任。</w:t>
      </w:r>
    </w:p>
    <w:p w14:paraId="5FAF1570">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14:paraId="108CE0F4">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6.4 投标方逾期交货/交付的，每天向甲方偿付违约货款额3‰违约金，但违约金累计不得超过违约货款额 5% ，超过30天对方有权解除合同，违约方承担因此给对方造成的经济损失；</w:t>
      </w:r>
    </w:p>
    <w:p w14:paraId="0B185FC2">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6.5售后服务违约：</w:t>
      </w:r>
    </w:p>
    <w:p w14:paraId="43ACF9B9">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6.5.1不能按本技术参数文档第5.3要求中按时提供设备备件的，故障上报24小时不能免费提供同档次或更高档次的备用设备解决问题，每超期一天，按500元/天向甲方支付违约金；</w:t>
      </w:r>
    </w:p>
    <w:p w14:paraId="03EC1B9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6.5.2 投标方未按本技术要求和响应文件中规定的其他服务承诺提供售后服务的，每次投标方应按合同合计金额的5% 向甲方支付违约金。</w:t>
      </w:r>
    </w:p>
    <w:p w14:paraId="165D0C6E">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6.6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44891DC6">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6.7任何一方违反本技术要求中“保密、廉洁条款”要求的，应承担相应的违约责任并赔偿由此造成的损失，损失累计金额超过合同款项的5%的，损失方同时有权终止合同并收回已付款项。</w:t>
      </w:r>
    </w:p>
    <w:p w14:paraId="022A735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85F99C4">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6.9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100000元（壹拾万元），在此基础上医院有权要求乙方退回甲方已支付的所有款项。如对医院造成损失的，甲方有权要求乙方赔偿。</w:t>
      </w:r>
    </w:p>
    <w:p w14:paraId="2C9B9EF8">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6.10</w:t>
      </w:r>
      <w:r>
        <w:rPr>
          <w:rFonts w:ascii="仿宋_GB2312" w:hAnsi="仿宋_GB2312" w:eastAsia="仿宋_GB2312" w:cs="仿宋_GB2312"/>
          <w:color w:val="000000" w:themeColor="text1"/>
          <w:sz w:val="28"/>
          <w:szCs w:val="28"/>
          <w14:textFill>
            <w14:solidFill>
              <w14:schemeClr w14:val="tx1"/>
            </w14:solidFill>
          </w14:textFill>
        </w:rPr>
        <w:t>厂商驻场工程师人员变更必须得到医院书面同意，否则视为</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ascii="仿宋_GB2312" w:hAnsi="仿宋_GB2312" w:eastAsia="仿宋_GB2312" w:cs="仿宋_GB2312"/>
          <w:color w:val="000000" w:themeColor="text1"/>
          <w:sz w:val="28"/>
          <w:szCs w:val="28"/>
          <w14:textFill>
            <w14:solidFill>
              <w14:schemeClr w14:val="tx1"/>
            </w14:solidFill>
          </w14:textFill>
        </w:rPr>
        <w:t>违约，</w:t>
      </w:r>
      <w:r>
        <w:rPr>
          <w:rFonts w:hint="eastAsia" w:ascii="仿宋_GB2312" w:hAnsi="仿宋_GB2312" w:eastAsia="仿宋_GB2312" w:cs="仿宋_GB2312"/>
          <w:color w:val="000000" w:themeColor="text1"/>
          <w:sz w:val="28"/>
          <w:szCs w:val="28"/>
          <w14:textFill>
            <w14:solidFill>
              <w14:schemeClr w14:val="tx1"/>
            </w14:solidFill>
          </w14:textFill>
        </w:rPr>
        <w:t>甲</w:t>
      </w:r>
      <w:r>
        <w:rPr>
          <w:rFonts w:ascii="仿宋_GB2312" w:hAnsi="仿宋_GB2312" w:eastAsia="仿宋_GB2312" w:cs="仿宋_GB2312"/>
          <w:color w:val="000000" w:themeColor="text1"/>
          <w:sz w:val="28"/>
          <w:szCs w:val="28"/>
          <w14:textFill>
            <w14:solidFill>
              <w14:schemeClr w14:val="tx1"/>
            </w14:solidFill>
          </w14:textFill>
        </w:rPr>
        <w:t>方有权按500</w:t>
      </w:r>
      <w:r>
        <w:rPr>
          <w:rFonts w:hint="eastAsia" w:ascii="仿宋_GB2312" w:hAnsi="仿宋_GB2312" w:eastAsia="仿宋_GB2312" w:cs="仿宋_GB2312"/>
          <w:color w:val="000000" w:themeColor="text1"/>
          <w:sz w:val="28"/>
          <w:szCs w:val="28"/>
          <w14:textFill>
            <w14:solidFill>
              <w14:schemeClr w14:val="tx1"/>
            </w14:solidFill>
          </w14:textFill>
        </w:rPr>
        <w:t>0</w:t>
      </w:r>
      <w:r>
        <w:rPr>
          <w:rFonts w:ascii="仿宋_GB2312" w:hAnsi="仿宋_GB2312" w:eastAsia="仿宋_GB2312" w:cs="仿宋_GB2312"/>
          <w:color w:val="000000" w:themeColor="text1"/>
          <w:sz w:val="28"/>
          <w:szCs w:val="28"/>
          <w14:textFill>
            <w14:solidFill>
              <w14:schemeClr w14:val="tx1"/>
            </w14:solidFill>
          </w14:textFill>
        </w:rPr>
        <w:t>元/人/次从合同总款中扣除</w:t>
      </w:r>
      <w:r>
        <w:rPr>
          <w:rFonts w:hint="eastAsia" w:ascii="仿宋_GB2312" w:hAnsi="仿宋_GB2312" w:eastAsia="仿宋_GB2312" w:cs="仿宋_GB2312"/>
          <w:color w:val="000000" w:themeColor="text1"/>
          <w:sz w:val="28"/>
          <w:szCs w:val="28"/>
          <w14:textFill>
            <w14:solidFill>
              <w14:schemeClr w14:val="tx1"/>
            </w14:solidFill>
          </w14:textFill>
        </w:rPr>
        <w:t>。</w:t>
      </w:r>
    </w:p>
    <w:p w14:paraId="1B2520D4">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ACDD499">
      <w:pPr>
        <w:pStyle w:val="3"/>
        <w:spacing w:after="0" w:line="312" w:lineRule="auto"/>
        <w:rPr>
          <w:rFonts w:hint="eastAsia" w:ascii="宋体" w:hAnsi="宋体" w:eastAsia="宋体" w:cs="宋体"/>
          <w:b/>
          <w:bCs/>
          <w:color w:val="000000" w:themeColor="text1"/>
          <w:sz w:val="28"/>
          <w:lang w:val="en-US"/>
          <w14:textFill>
            <w14:solidFill>
              <w14:schemeClr w14:val="tx1"/>
            </w14:solidFill>
          </w14:textFill>
        </w:rPr>
      </w:pPr>
      <w:bookmarkStart w:id="2" w:name="_Toc507405799"/>
      <w:bookmarkStart w:id="3" w:name="_Toc507405800"/>
      <w:r>
        <w:rPr>
          <w:rFonts w:hint="eastAsia" w:ascii="宋体" w:hAnsi="宋体" w:eastAsia="宋体" w:cs="宋体"/>
          <w:b/>
          <w:bCs/>
          <w:color w:val="000000" w:themeColor="text1"/>
          <w:sz w:val="28"/>
          <w:lang w:val="en-US"/>
          <w14:textFill>
            <w14:solidFill>
              <w14:schemeClr w14:val="tx1"/>
            </w14:solidFill>
          </w14:textFill>
        </w:rPr>
        <w:t>七、保密、廉洁协议</w:t>
      </w:r>
    </w:p>
    <w:p w14:paraId="51AAFC15">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779942A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双方不得以任何方式向第三方泄露本项目的软件技术、设计方案以及功能配置等内容。</w:t>
      </w:r>
    </w:p>
    <w:p w14:paraId="6A54EFA8">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7.3不以任何方式向第三方泄露在本协议开发实施过程中获取的经济、技术、数据以及双方其他非公开的信息。</w:t>
      </w:r>
    </w:p>
    <w:p w14:paraId="55E17BF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9C16382">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7.5保密期限自本合同生效之日起永久有效，如乙方需解除保密协议需向甲方提出书面申请，双方协商同意签字确认后方可解除。</w:t>
      </w:r>
    </w:p>
    <w:p w14:paraId="471E8E6D">
      <w:pPr>
        <w:pStyle w:val="3"/>
        <w:spacing w:after="0" w:line="312" w:lineRule="auto"/>
        <w:rPr>
          <w:color w:val="000000" w:themeColor="text1"/>
          <w:lang w:val="en-US"/>
          <w14:textFill>
            <w14:solidFill>
              <w14:schemeClr w14:val="tx1"/>
            </w14:solidFill>
          </w14:textFill>
        </w:rPr>
      </w:pPr>
    </w:p>
    <w:p w14:paraId="5B22D3FD">
      <w:pPr>
        <w:pStyle w:val="3"/>
        <w:spacing w:after="0" w:line="312" w:lineRule="auto"/>
        <w:rPr>
          <w:rFonts w:hint="eastAsia" w:ascii="宋体" w:hAnsi="宋体" w:eastAsia="宋体" w:cs="宋体"/>
          <w:b/>
          <w:bCs/>
          <w:color w:val="000000" w:themeColor="text1"/>
          <w:sz w:val="28"/>
          <w:lang w:val="en-US"/>
          <w14:textFill>
            <w14:solidFill>
              <w14:schemeClr w14:val="tx1"/>
            </w14:solidFill>
          </w14:textFill>
        </w:rPr>
      </w:pPr>
      <w:r>
        <w:rPr>
          <w:rFonts w:hint="eastAsia" w:ascii="宋体" w:hAnsi="宋体" w:eastAsia="宋体" w:cs="宋体"/>
          <w:b/>
          <w:bCs/>
          <w:color w:val="000000" w:themeColor="text1"/>
          <w:sz w:val="28"/>
          <w:lang w:val="en-US"/>
          <w14:textFill>
            <w14:solidFill>
              <w14:schemeClr w14:val="tx1"/>
            </w14:solidFill>
          </w14:textFill>
        </w:rPr>
        <w:t>八、报价</w:t>
      </w:r>
    </w:p>
    <w:p w14:paraId="53BBE1F8">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07BBDF6D">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8.2竞标文件需提供维保期方案及报价。</w:t>
      </w:r>
    </w:p>
    <w:p w14:paraId="315C52D3">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8.3竞标文件需提供系统详细图文介绍。系统实施验收参照本技术文档及竞标文件提供的图文介绍为依据。</w:t>
      </w:r>
    </w:p>
    <w:p w14:paraId="578790CE">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8.4如项目功能二次开发内容涉及我院采购的第三方产品，请在标书内标明哪些功能的实现需要二次开发接口。</w:t>
      </w:r>
    </w:p>
    <w:p w14:paraId="67847ACC">
      <w:pPr>
        <w:pStyle w:val="2"/>
        <w:numPr>
          <w:ilvl w:val="0"/>
          <w:numId w:val="0"/>
        </w:numPr>
        <w:spacing w:before="0" w:after="0" w:line="312" w:lineRule="auto"/>
        <w:rPr>
          <w:rFonts w:hint="eastAsia" w:ascii="宋体" w:hAnsi="宋体"/>
          <w:bCs w:val="0"/>
          <w:color w:val="000000" w:themeColor="text1"/>
          <w:sz w:val="32"/>
          <w:szCs w:val="32"/>
          <w14:textFill>
            <w14:solidFill>
              <w14:schemeClr w14:val="tx1"/>
            </w14:solidFill>
          </w14:textFill>
        </w:rPr>
      </w:pPr>
      <w:r>
        <w:rPr>
          <w:rFonts w:hint="eastAsia" w:ascii="宋体" w:hAnsi="宋体"/>
          <w:bCs w:val="0"/>
          <w:color w:val="000000" w:themeColor="text1"/>
          <w:sz w:val="32"/>
          <w:szCs w:val="32"/>
          <w14:textFill>
            <w14:solidFill>
              <w14:schemeClr w14:val="tx1"/>
            </w14:solidFill>
          </w14:textFill>
        </w:rPr>
        <w:t>九、付款方式</w:t>
      </w:r>
      <w:bookmarkEnd w:id="2"/>
    </w:p>
    <w:p w14:paraId="1F0A164C">
      <w:pPr>
        <w:spacing w:line="5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双方签订合同，项目上线稳定运行1个月后，启动系统上线验收，上线验收合格后，用户支付合同款项的30%；合同中所有功能及模块实施完毕，系统上线稳定运行3个月后，启动项目验收，验收合格后甲方支付合同款项的60%，自验收合格之日起，</w:t>
      </w:r>
      <w:bookmarkEnd w:id="3"/>
      <w:r>
        <w:rPr>
          <w:rFonts w:hint="eastAsia" w:ascii="仿宋_GB2312" w:hAnsi="仿宋_GB2312" w:eastAsia="仿宋_GB2312" w:cs="仿宋_GB2312"/>
          <w:color w:val="000000" w:themeColor="text1"/>
          <w:sz w:val="28"/>
          <w:szCs w:val="28"/>
          <w14:textFill>
            <w14:solidFill>
              <w14:schemeClr w14:val="tx1"/>
            </w14:solidFill>
          </w14:textFill>
        </w:rPr>
        <w:t>稳定运行1年后，甲方支付合同款项的10%（不计利息）。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2"/>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E2410"/>
    <w:rsid w:val="001A11FC"/>
    <w:rsid w:val="001A1C12"/>
    <w:rsid w:val="002A29C0"/>
    <w:rsid w:val="00306E6E"/>
    <w:rsid w:val="003E62DF"/>
    <w:rsid w:val="003E70B8"/>
    <w:rsid w:val="00435C7C"/>
    <w:rsid w:val="00481560"/>
    <w:rsid w:val="00491534"/>
    <w:rsid w:val="004D3BA6"/>
    <w:rsid w:val="005D10B5"/>
    <w:rsid w:val="005D449A"/>
    <w:rsid w:val="006A3CAE"/>
    <w:rsid w:val="006C202C"/>
    <w:rsid w:val="008C322F"/>
    <w:rsid w:val="00A140D3"/>
    <w:rsid w:val="00B759E0"/>
    <w:rsid w:val="00D5380E"/>
    <w:rsid w:val="00DC1FBB"/>
    <w:rsid w:val="00E15717"/>
    <w:rsid w:val="00E51B4C"/>
    <w:rsid w:val="00E61AD4"/>
    <w:rsid w:val="00F13AA1"/>
    <w:rsid w:val="00F97B0C"/>
    <w:rsid w:val="038608DA"/>
    <w:rsid w:val="06DF14B2"/>
    <w:rsid w:val="072B0FB7"/>
    <w:rsid w:val="072E01FC"/>
    <w:rsid w:val="08741252"/>
    <w:rsid w:val="0A791D80"/>
    <w:rsid w:val="0C7F7309"/>
    <w:rsid w:val="0F2A1F3D"/>
    <w:rsid w:val="109B068D"/>
    <w:rsid w:val="10BD05EB"/>
    <w:rsid w:val="12D1790A"/>
    <w:rsid w:val="133643FF"/>
    <w:rsid w:val="14284616"/>
    <w:rsid w:val="14782DB8"/>
    <w:rsid w:val="14AF00BD"/>
    <w:rsid w:val="153D4F2B"/>
    <w:rsid w:val="165C1DAE"/>
    <w:rsid w:val="16ED2D59"/>
    <w:rsid w:val="174D1CA9"/>
    <w:rsid w:val="17536FF6"/>
    <w:rsid w:val="17541870"/>
    <w:rsid w:val="19151124"/>
    <w:rsid w:val="1A251034"/>
    <w:rsid w:val="1AA944D3"/>
    <w:rsid w:val="1B5C436C"/>
    <w:rsid w:val="1B91509A"/>
    <w:rsid w:val="1D9262D5"/>
    <w:rsid w:val="1E0460D6"/>
    <w:rsid w:val="1E161BE1"/>
    <w:rsid w:val="22293C01"/>
    <w:rsid w:val="224243ED"/>
    <w:rsid w:val="22A4320A"/>
    <w:rsid w:val="24DA1462"/>
    <w:rsid w:val="251F0377"/>
    <w:rsid w:val="25D43FBF"/>
    <w:rsid w:val="26AA16D4"/>
    <w:rsid w:val="284C2F0D"/>
    <w:rsid w:val="290632D5"/>
    <w:rsid w:val="2BB21FD2"/>
    <w:rsid w:val="2C6E439E"/>
    <w:rsid w:val="2C8F073A"/>
    <w:rsid w:val="2CA67011"/>
    <w:rsid w:val="2E55261B"/>
    <w:rsid w:val="32B4254B"/>
    <w:rsid w:val="33EF31E8"/>
    <w:rsid w:val="34906983"/>
    <w:rsid w:val="34A02F04"/>
    <w:rsid w:val="35F5709E"/>
    <w:rsid w:val="367D4F11"/>
    <w:rsid w:val="395C56DE"/>
    <w:rsid w:val="3A6B617C"/>
    <w:rsid w:val="3A965B44"/>
    <w:rsid w:val="3B4F3BCB"/>
    <w:rsid w:val="3D655CAD"/>
    <w:rsid w:val="3DCF123E"/>
    <w:rsid w:val="3E3103B1"/>
    <w:rsid w:val="3FFE146B"/>
    <w:rsid w:val="416B2479"/>
    <w:rsid w:val="41971DBD"/>
    <w:rsid w:val="43CC4B30"/>
    <w:rsid w:val="44511123"/>
    <w:rsid w:val="455A3219"/>
    <w:rsid w:val="457173F8"/>
    <w:rsid w:val="47FA24B7"/>
    <w:rsid w:val="480C0CC5"/>
    <w:rsid w:val="49C017DB"/>
    <w:rsid w:val="4BF413EA"/>
    <w:rsid w:val="4F640350"/>
    <w:rsid w:val="502F5A21"/>
    <w:rsid w:val="507D710A"/>
    <w:rsid w:val="50844495"/>
    <w:rsid w:val="508670F0"/>
    <w:rsid w:val="50A873B9"/>
    <w:rsid w:val="51F31C9E"/>
    <w:rsid w:val="52C84CF5"/>
    <w:rsid w:val="54361EC0"/>
    <w:rsid w:val="54E82BB7"/>
    <w:rsid w:val="55B43D13"/>
    <w:rsid w:val="562C3FA0"/>
    <w:rsid w:val="56864135"/>
    <w:rsid w:val="585573E7"/>
    <w:rsid w:val="5A334C18"/>
    <w:rsid w:val="5C2974BB"/>
    <w:rsid w:val="5C4B79F0"/>
    <w:rsid w:val="5C6164F3"/>
    <w:rsid w:val="5EEF047E"/>
    <w:rsid w:val="5F526256"/>
    <w:rsid w:val="606A2F3D"/>
    <w:rsid w:val="607B2E53"/>
    <w:rsid w:val="616710AC"/>
    <w:rsid w:val="63536776"/>
    <w:rsid w:val="63EF6D4C"/>
    <w:rsid w:val="65EF576E"/>
    <w:rsid w:val="66634378"/>
    <w:rsid w:val="67234BE8"/>
    <w:rsid w:val="67C37F93"/>
    <w:rsid w:val="686C39B1"/>
    <w:rsid w:val="68B72934"/>
    <w:rsid w:val="69A9737D"/>
    <w:rsid w:val="6A5B6461"/>
    <w:rsid w:val="6A8C250C"/>
    <w:rsid w:val="6B9E401E"/>
    <w:rsid w:val="6C1A6998"/>
    <w:rsid w:val="6DE3690D"/>
    <w:rsid w:val="6EF875C0"/>
    <w:rsid w:val="711C77D0"/>
    <w:rsid w:val="73051406"/>
    <w:rsid w:val="733E3959"/>
    <w:rsid w:val="73F71B2F"/>
    <w:rsid w:val="746C4F5B"/>
    <w:rsid w:val="7524075C"/>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kern w:val="0"/>
      <w:sz w:val="20"/>
      <w:szCs w:val="24"/>
      <w:lang w:val="zh-CN"/>
    </w:rPr>
  </w:style>
  <w:style w:type="paragraph" w:styleId="4">
    <w:name w:val="Body Text Indent 2"/>
    <w:basedOn w:val="1"/>
    <w:qFormat/>
    <w:uiPriority w:val="0"/>
    <w:pPr>
      <w:ind w:firstLine="630"/>
    </w:pPr>
    <w:rPr>
      <w:sz w:val="32"/>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7450</Words>
  <Characters>7849</Characters>
  <Lines>57</Lines>
  <Paragraphs>16</Paragraphs>
  <TotalTime>8</TotalTime>
  <ScaleCrop>false</ScaleCrop>
  <LinksUpToDate>false</LinksUpToDate>
  <CharactersWithSpaces>7858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2026-05-15T13:55:00Z</dcterms:created>
  <dc:creator>LGYY-USER</dc:creator>
  <cp:lastModifiedBy>程思</cp:lastModifiedBy>
  <dcterms:modified xsi:type="dcterms:W3CDTF">2026-05-18T02:05:04Z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eyJoZGlkIjoiODViY2JkMjU3NGYzZTEwMzZmMGFkZWViYmNkYWU3NDIiLCJ1c2VySWQiOiI1MDkwODU4OTcifQ==</vt:lpwstr>
  </property>
  <property fmtid="{D5CDD505-2E9C-101B-9397-08002B2CF9AE}" pid="4" name="ICV">
    <vt:lpwstr>A14531A2164140CDA1742D51AB773FE8_13</vt:lpwstr>
  </property>
</Properties>
</file>