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4B306">
      <w:pPr>
        <w:tabs>
          <w:tab w:val="left" w:pos="7275"/>
        </w:tabs>
        <w:spacing w:line="480" w:lineRule="exact"/>
        <w:jc w:val="center"/>
        <w:rPr>
          <w:rFonts w:hint="eastAsia" w:ascii="方正仿宋_GB2312" w:hAnsi="方正仿宋_GB2312" w:eastAsia="方正仿宋_GB2312" w:cs="方正仿宋_GB2312"/>
          <w:b/>
          <w:bCs w:val="0"/>
          <w:kern w:val="2"/>
          <w:sz w:val="36"/>
          <w:szCs w:val="36"/>
          <w:lang w:val="en-US" w:eastAsia="zh-CN" w:bidi="ar-SA"/>
        </w:rPr>
      </w:pPr>
      <w:r>
        <w:rPr>
          <w:rFonts w:hint="eastAsia" w:ascii="方正仿宋_GB2312" w:hAnsi="方正仿宋_GB2312" w:eastAsia="方正仿宋_GB2312" w:cs="方正仿宋_GB2312"/>
          <w:b/>
          <w:bCs w:val="0"/>
          <w:kern w:val="2"/>
          <w:sz w:val="36"/>
          <w:szCs w:val="36"/>
          <w:lang w:val="en-US" w:eastAsia="zh-CN" w:bidi="ar-SA"/>
        </w:rPr>
        <w:t>紧急采购总院生殖医学中心胚胎实验室环境检测服务招标需求</w:t>
      </w:r>
    </w:p>
    <w:p w14:paraId="7171A0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bookmarkStart w:id="0" w:name="heading_0"/>
      <w:r>
        <w:rPr>
          <w:rFonts w:hint="eastAsia" w:ascii="仿宋" w:hAnsi="仿宋" w:eastAsia="仿宋" w:cs="仿宋"/>
          <w:b/>
          <w:sz w:val="32"/>
          <w:szCs w:val="32"/>
        </w:rPr>
        <w:t>一、项目名称</w:t>
      </w:r>
      <w:bookmarkEnd w:id="0"/>
    </w:p>
    <w:p w14:paraId="41B3B044">
      <w:pPr>
        <w:pStyle w:val="3"/>
        <w:keepNext w:val="0"/>
        <w:keepLines w:val="0"/>
        <w:pageBreakBefore w:val="0"/>
        <w:widowControl/>
        <w:shd w:val="clear" w:color="auto" w:fill="FFFFFF"/>
        <w:kinsoku/>
        <w:wordWrap w:val="0"/>
        <w:overflowPunct/>
        <w:topLinePunct w:val="0"/>
        <w:autoSpaceDE/>
        <w:autoSpaceDN/>
        <w:bidi w:val="0"/>
        <w:adjustRightInd/>
        <w:snapToGrid/>
        <w:spacing w:after="0" w:line="500" w:lineRule="exact"/>
        <w:ind w:firstLine="600" w:firstLineChars="200"/>
        <w:jc w:val="left"/>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紧急采购总院生殖医学中心胚胎实验室环境检测服务。</w:t>
      </w:r>
    </w:p>
    <w:p w14:paraId="7909D1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sz w:val="32"/>
          <w:szCs w:val="32"/>
        </w:rPr>
      </w:pPr>
      <w:bookmarkStart w:id="1" w:name="heading_1"/>
      <w:r>
        <w:rPr>
          <w:rFonts w:hint="eastAsia" w:ascii="仿宋" w:hAnsi="仿宋" w:eastAsia="仿宋" w:cs="仿宋"/>
          <w:b/>
          <w:sz w:val="32"/>
          <w:szCs w:val="32"/>
        </w:rPr>
        <w:t>二、项目概况</w:t>
      </w:r>
      <w:bookmarkEnd w:id="1"/>
    </w:p>
    <w:p w14:paraId="5B54E5D9">
      <w:pPr>
        <w:spacing w:before="120" w:after="120" w:line="288" w:lineRule="auto"/>
        <w:ind w:left="0" w:firstLine="600" w:firstLineChars="200"/>
        <w:jc w:val="left"/>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项目为总院生殖医学中心胚胎实验室（门诊五楼咖啡屋左侧）及配套区域（门诊四楼健身房2间B超室）环境检测服务，属紧急采购项目，因生殖医学中心资质复审及临床业务紧急开展需求，需按紧急采购流程实施。项目计划对总院生殖医学中心13间洁净用房、1台洁净工作台、3台生物安全柜开展全面环境及设备性能检测，出具具备CMA资质的正式检测报告，保障辅助生殖技术合规开展，满足行政审批及日常运营要求，所有检测工作需在规定时限内完成。</w:t>
      </w:r>
    </w:p>
    <w:p w14:paraId="4D3640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sz w:val="32"/>
          <w:szCs w:val="32"/>
        </w:rPr>
      </w:pPr>
      <w:bookmarkStart w:id="2" w:name="heading_2"/>
      <w:r>
        <w:rPr>
          <w:rFonts w:hint="eastAsia" w:ascii="仿宋" w:hAnsi="仿宋" w:eastAsia="仿宋" w:cs="仿宋"/>
          <w:b/>
          <w:sz w:val="32"/>
          <w:szCs w:val="32"/>
        </w:rPr>
        <w:t>三、投标人/供应商资格条件</w:t>
      </w:r>
      <w:bookmarkEnd w:id="2"/>
    </w:p>
    <w:p w14:paraId="2D0522AE">
      <w:pPr>
        <w:spacing w:before="120" w:after="120" w:line="288" w:lineRule="auto"/>
        <w:ind w:left="0" w:firstLine="600" w:firstLineChars="200"/>
        <w:jc w:val="left"/>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1、投标人需为国内注册（指按国家有关规定要求注册的），具备法人资格；</w:t>
      </w:r>
    </w:p>
    <w:p w14:paraId="7022D544">
      <w:pPr>
        <w:spacing w:before="120" w:after="120" w:line="288" w:lineRule="auto"/>
        <w:ind w:left="0" w:firstLine="600" w:firstLineChars="200"/>
        <w:jc w:val="left"/>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2、参与单位三年内在经营活动中没有重大违法记录和不良信用记录，未被列入失信被执行人、重大税收违法失信主体、政府采购严重违法失信名单；</w:t>
      </w:r>
    </w:p>
    <w:p w14:paraId="04387BEC">
      <w:pPr>
        <w:spacing w:before="120" w:after="120" w:line="288" w:lineRule="auto"/>
        <w:ind w:left="0" w:firstLine="600" w:firstLineChars="200"/>
        <w:jc w:val="left"/>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3、参与单位有效的“营业执照”副本复印件（经营范围需包含环境检测、实验室检测等相关内容）；</w:t>
      </w:r>
    </w:p>
    <w:p w14:paraId="03F1220A">
      <w:pPr>
        <w:spacing w:before="120" w:after="120" w:line="288" w:lineRule="auto"/>
        <w:ind w:left="0" w:firstLine="600" w:firstLineChars="200"/>
        <w:jc w:val="left"/>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4、由国家质量技术监督局颁发的中华人民共和国组织机构代码证复印件（三证合一除外）和法定代表人身份证明复印件；</w:t>
      </w:r>
    </w:p>
    <w:p w14:paraId="7D545482">
      <w:pPr>
        <w:spacing w:before="120" w:after="120" w:line="288" w:lineRule="auto"/>
        <w:ind w:left="0" w:firstLine="600" w:firstLineChars="200"/>
        <w:jc w:val="left"/>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5、参与单位有效的“税务登记证”副本复印件（国税或地税，三证合一除外）；</w:t>
      </w:r>
    </w:p>
    <w:p w14:paraId="21EDC0EF">
      <w:pPr>
        <w:spacing w:before="120" w:after="120" w:line="288" w:lineRule="auto"/>
        <w:ind w:left="0" w:firstLine="600" w:firstLineChars="200"/>
        <w:jc w:val="left"/>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6、标书中应注明该单位相关业绩（近2年内有三甲医院生殖医学中心或同类洁净实验室检测服务业绩，需提供合同复印件佐证）；</w:t>
      </w:r>
    </w:p>
    <w:p w14:paraId="23CC854D">
      <w:pPr>
        <w:spacing w:before="120" w:after="120" w:line="288" w:lineRule="auto"/>
        <w:ind w:left="0" w:firstLine="600" w:firstLineChars="200"/>
        <w:jc w:val="left"/>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7、具备检验检测机构资质认定证书(CMA)，认证范围须覆盖本项目全部检测参数(含洁净度、浮游菌、沉降菌、温湿度、静压差、甲醛、TVOC等);(具备检验检测机构资质认定证书(CMA)，认证范围须覆盖本项目的洁净环境全部检测参数(含洁净度、浮游菌、沉降菌、温湿度、静压差、等)，允许分包项目仅为室内空气质量、洁净工作台、生物安全柜；</w:t>
      </w:r>
    </w:p>
    <w:p w14:paraId="6276E6BD">
      <w:pPr>
        <w:spacing w:before="120" w:after="120" w:line="288" w:lineRule="auto"/>
        <w:ind w:left="0" w:firstLine="600" w:firstLineChars="200"/>
        <w:jc w:val="left"/>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8、具备履行合同所必需的专业技术人员、检测设备及履约能力，检测人员需具备相应执业资格，检测仪器需经国家计量认证合格且在有效期内。</w:t>
      </w:r>
    </w:p>
    <w:p w14:paraId="40DB2E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sz w:val="32"/>
          <w:szCs w:val="32"/>
        </w:rPr>
      </w:pPr>
      <w:bookmarkStart w:id="3" w:name="heading_3"/>
      <w:r>
        <w:rPr>
          <w:rFonts w:hint="eastAsia" w:ascii="仿宋" w:hAnsi="仿宋" w:eastAsia="仿宋" w:cs="仿宋"/>
          <w:b/>
          <w:sz w:val="32"/>
          <w:szCs w:val="32"/>
        </w:rPr>
        <w:t>四、项目内容</w:t>
      </w:r>
      <w:bookmarkEnd w:id="3"/>
    </w:p>
    <w:p w14:paraId="3EE6EA66">
      <w:pPr>
        <w:spacing w:before="120" w:after="120" w:line="288" w:lineRule="auto"/>
        <w:ind w:left="0" w:firstLine="600" w:firstLineChars="200"/>
        <w:jc w:val="left"/>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总院生殖医学中心胚胎实验室环境检测服务，主要内容为对生殖医学中心13间洁净用房（准备间18.5㎡、缓冲室6.7㎡、清洗间6.8㎡、资料室12㎡、取卵室26㎡、移植室16.3㎡、人工授精室20.5㎡、人工授精实验室20.3㎡、精液处理室21.7㎡、胚胎培养室65.9㎡、冷冻操作间13㎡、胚胎储存库28.1㎡、洁净走廊64㎡）、1台百级洁净工作台、3台生物安全柜开展全面检测，同时完成7间房间（取卵室、移植室、人工授精室、人工授精实验室、精液处理室、胚胎培养室、2间B超室）卫生学消毒效果检测。检测需严格遵循国家及行业相关标准，采用符合规范的检测方法及仪器，完成现场采样、检测分析、数据汇总，最终出具具备CMA资质的正式检测报告（纸质版5份+电子版1份），全程配合医院完成资质复审及相关检查工作。</w:t>
      </w:r>
    </w:p>
    <w:p w14:paraId="40EEA9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sz w:val="32"/>
          <w:szCs w:val="32"/>
        </w:rPr>
      </w:pPr>
      <w:bookmarkStart w:id="4" w:name="heading_4"/>
      <w:r>
        <w:rPr>
          <w:rFonts w:hint="eastAsia" w:ascii="仿宋" w:hAnsi="仿宋" w:eastAsia="仿宋" w:cs="仿宋"/>
          <w:b/>
          <w:sz w:val="32"/>
          <w:szCs w:val="32"/>
        </w:rPr>
        <w:t>五、检测要求</w:t>
      </w:r>
      <w:bookmarkEnd w:id="4"/>
    </w:p>
    <w:p w14:paraId="4665AAE3">
      <w:pPr>
        <w:spacing w:before="120" w:after="120" w:line="288" w:lineRule="auto"/>
        <w:ind w:left="0" w:firstLine="600" w:firstLineChars="200"/>
        <w:jc w:val="left"/>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 检测方负责项目内所有人工服务、检测设备、采样耗材、报告编制及相关技术服务，自行承担检测过程中所有相关费用；</w:t>
      </w:r>
    </w:p>
    <w:p w14:paraId="3E1D5BC7">
      <w:pPr>
        <w:spacing w:before="120" w:after="120" w:line="288" w:lineRule="auto"/>
        <w:ind w:left="0" w:firstLine="600" w:firstLineChars="200"/>
        <w:jc w:val="left"/>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 检测过程需严格遵循《人类辅助生殖技术规范》、GB 50333-2013等相关国家及行业标准，确保检测数据真实准确，检测报告合法有效，可用于行政审批及日常运营备案；</w:t>
      </w:r>
    </w:p>
    <w:p w14:paraId="0440E882">
      <w:pPr>
        <w:spacing w:before="120" w:after="120" w:line="288" w:lineRule="auto"/>
        <w:ind w:left="0" w:firstLine="600" w:firstLineChars="200"/>
        <w:jc w:val="left"/>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3. 检测单位完成所有检测工作、提交合格检测报告后，必须经过医院总务科、生殖医学中心等相关科室共同确认后，才算完成检测服务；</w:t>
      </w:r>
    </w:p>
    <w:p w14:paraId="310659CA">
      <w:pPr>
        <w:spacing w:before="120" w:after="120" w:line="288" w:lineRule="auto"/>
        <w:ind w:left="0" w:firstLine="600" w:firstLineChars="200"/>
        <w:jc w:val="left"/>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4. 检测过程中需严格遵守医院院感管理、安全生产及现场管理规定，做好人员防护，确保周边环境卫生不受影响，不得影响医院正常医疗业务运行，避免交叉污染；</w:t>
      </w:r>
    </w:p>
    <w:p w14:paraId="16224D7B">
      <w:pPr>
        <w:spacing w:before="120" w:after="120" w:line="288" w:lineRule="auto"/>
        <w:ind w:left="0" w:firstLine="600" w:firstLineChars="200"/>
        <w:jc w:val="left"/>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5. 检测安全由检测方负责，包括现场采样安全、人员安全、设备安全等，甲方概不负责；</w:t>
      </w:r>
    </w:p>
    <w:p w14:paraId="0ECDD3AB">
      <w:pPr>
        <w:spacing w:before="120" w:after="120" w:line="288" w:lineRule="auto"/>
        <w:ind w:left="0" w:firstLine="600" w:firstLineChars="200"/>
        <w:jc w:val="left"/>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6. 检测方需在合同签订后5个工作日内完成现场采样检测，3个工作日内出具正式CMA检测报告，满足项目紧急采购时限要求；</w:t>
      </w:r>
    </w:p>
    <w:p w14:paraId="0F24AC44">
      <w:pPr>
        <w:spacing w:before="120" w:after="120" w:line="288" w:lineRule="auto"/>
        <w:ind w:left="0" w:firstLine="600" w:firstLineChars="200"/>
        <w:jc w:val="left"/>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7. 检测方需免费配合甲方完成资质复审、卫生监督检查、院感检查等相关工作，提供检测数据解释、报告补充说明、整改技术指导等服务，相关检测费用待本项目效验合格后予以支付；</w:t>
      </w:r>
    </w:p>
    <w:p w14:paraId="5F4A966B">
      <w:pPr>
        <w:spacing w:before="120" w:after="120" w:line="288" w:lineRule="auto"/>
        <w:ind w:left="0" w:firstLine="600" w:firstLineChars="200"/>
        <w:jc w:val="left"/>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8. 检测方对检测数据及报告真实性、准确性负责，若因检测数据错误或报告不合格导致甲方损失的，需承担全部赔偿责任，并免费重新检测、出具报告。</w:t>
      </w:r>
    </w:p>
    <w:p w14:paraId="6916AB28">
      <w:pPr>
        <w:spacing w:before="120" w:after="120" w:line="288" w:lineRule="auto"/>
        <w:ind w:left="0"/>
        <w:jc w:val="left"/>
      </w:pPr>
    </w:p>
    <w:p w14:paraId="62EB099B">
      <w:pPr>
        <w:pStyle w:val="2"/>
      </w:pPr>
    </w:p>
    <w:p w14:paraId="74ADEBAA"/>
    <w:p w14:paraId="58B50EEB">
      <w:pPr>
        <w:pStyle w:val="2"/>
      </w:pPr>
    </w:p>
    <w:p w14:paraId="36C60118"/>
    <w:p w14:paraId="06221A99">
      <w:pPr>
        <w:pStyle w:val="2"/>
      </w:pPr>
    </w:p>
    <w:p w14:paraId="63AC0C8A"/>
    <w:p w14:paraId="0DE7B4C9">
      <w:pPr>
        <w:pStyle w:val="2"/>
      </w:pPr>
    </w:p>
    <w:p w14:paraId="58ABD2BB"/>
    <w:p w14:paraId="18394D88">
      <w:pPr>
        <w:pStyle w:val="2"/>
      </w:pPr>
    </w:p>
    <w:p w14:paraId="200EF9EE"/>
    <w:p w14:paraId="7F3FDD6B">
      <w:pPr>
        <w:pStyle w:val="2"/>
      </w:pPr>
    </w:p>
    <w:p w14:paraId="3677AAF2"/>
    <w:p w14:paraId="608F1BC5">
      <w:pPr>
        <w:pStyle w:val="2"/>
      </w:pPr>
    </w:p>
    <w:p w14:paraId="095066A6"/>
    <w:p w14:paraId="6733C8EB">
      <w:pPr>
        <w:pStyle w:val="2"/>
      </w:pPr>
    </w:p>
    <w:p w14:paraId="2857D5C2">
      <w:pPr>
        <w:sectPr>
          <w:headerReference r:id="rId3" w:type="default"/>
          <w:footerReference r:id="rId4" w:type="default"/>
          <w:pgSz w:w="11905" w:h="16840"/>
          <w:cols w:space="720" w:num="1"/>
        </w:sectPr>
      </w:pPr>
    </w:p>
    <w:p w14:paraId="58A1E514"/>
    <w:p w14:paraId="7DBE2BC0">
      <w:pPr>
        <w:pStyle w:val="2"/>
        <w:rPr>
          <w:rFonts w:hint="eastAsia"/>
          <w:lang w:val="en-US" w:eastAsia="zh-CN"/>
        </w:rPr>
      </w:pPr>
      <w:r>
        <w:rPr>
          <w:rFonts w:hint="eastAsia"/>
          <w:lang w:val="en-US" w:eastAsia="zh-CN"/>
        </w:rPr>
        <w:t>附件：</w:t>
      </w:r>
    </w:p>
    <w:p w14:paraId="3D984D1C">
      <w:pPr>
        <w:spacing w:line="360" w:lineRule="auto"/>
        <w:jc w:val="center"/>
        <w:rPr>
          <w:rFonts w:hint="eastAsia" w:ascii="宋体" w:hAnsi="宋体" w:eastAsia="宋体" w:cs="宋体"/>
          <w:sz w:val="44"/>
          <w:szCs w:val="44"/>
        </w:rPr>
      </w:pPr>
      <w:r>
        <w:rPr>
          <w:rFonts w:hint="eastAsia" w:ascii="宋体" w:hAnsi="宋体" w:eastAsia="宋体" w:cs="宋体"/>
          <w:b/>
          <w:bCs/>
          <w:color w:val="1F1F21"/>
          <w:kern w:val="0"/>
          <w:sz w:val="36"/>
          <w:szCs w:val="36"/>
          <w:lang w:bidi="ar"/>
        </w:rPr>
        <w:t>总院生殖医学中心</w:t>
      </w:r>
      <w:r>
        <w:rPr>
          <w:rFonts w:hint="eastAsia" w:ascii="宋体" w:hAnsi="宋体" w:eastAsia="宋体" w:cs="宋体"/>
          <w:b/>
          <w:bCs/>
          <w:color w:val="1F1F21"/>
          <w:kern w:val="0"/>
          <w:sz w:val="36"/>
          <w:szCs w:val="36"/>
          <w:lang w:val="en-US" w:eastAsia="zh-CN" w:bidi="ar"/>
        </w:rPr>
        <w:t>实验室检测检测项目清单</w:t>
      </w:r>
    </w:p>
    <w:tbl>
      <w:tblPr>
        <w:tblStyle w:val="4"/>
        <w:tblW w:w="13936" w:type="dxa"/>
        <w:tblInd w:w="93" w:type="dxa"/>
        <w:tblLayout w:type="fixed"/>
        <w:tblCellMar>
          <w:top w:w="0" w:type="dxa"/>
          <w:left w:w="108" w:type="dxa"/>
          <w:bottom w:w="0" w:type="dxa"/>
          <w:right w:w="108" w:type="dxa"/>
        </w:tblCellMar>
      </w:tblPr>
      <w:tblGrid>
        <w:gridCol w:w="882"/>
        <w:gridCol w:w="1458"/>
        <w:gridCol w:w="1532"/>
        <w:gridCol w:w="1487"/>
        <w:gridCol w:w="2004"/>
        <w:gridCol w:w="3137"/>
        <w:gridCol w:w="1377"/>
        <w:gridCol w:w="2059"/>
      </w:tblGrid>
      <w:tr w14:paraId="665C766E">
        <w:tblPrEx>
          <w:tblCellMar>
            <w:top w:w="0" w:type="dxa"/>
            <w:left w:w="108" w:type="dxa"/>
            <w:bottom w:w="0" w:type="dxa"/>
            <w:right w:w="108" w:type="dxa"/>
          </w:tblCellMar>
        </w:tblPrEx>
        <w:trPr>
          <w:trHeight w:val="624" w:hRule="atLeast"/>
        </w:trPr>
        <w:tc>
          <w:tcPr>
            <w:tcW w:w="882" w:type="dxa"/>
            <w:tcBorders>
              <w:top w:val="single" w:color="000000" w:sz="4" w:space="0"/>
              <w:left w:val="single" w:color="000000" w:sz="4" w:space="0"/>
              <w:bottom w:val="single" w:color="000000" w:sz="4" w:space="0"/>
              <w:right w:val="single" w:color="000000" w:sz="4" w:space="0"/>
            </w:tcBorders>
            <w:noWrap w:val="0"/>
            <w:vAlign w:val="center"/>
          </w:tcPr>
          <w:p w14:paraId="5D3DB1BB">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序号</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1101E272">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房间名称</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7C94FB5F">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面积</w:t>
            </w:r>
            <w:r>
              <w:rPr>
                <w:rFonts w:hint="eastAsia" w:ascii="宋体" w:hAnsi="宋体" w:eastAsia="宋体" w:cs="宋体"/>
                <w:kern w:val="0"/>
                <w:sz w:val="20"/>
                <w:szCs w:val="20"/>
                <w:lang w:eastAsia="zh-CN" w:bidi="ar"/>
              </w:rPr>
              <w:t>（</w:t>
            </w:r>
            <w:r>
              <w:rPr>
                <w:rFonts w:hint="eastAsia" w:ascii="宋体" w:hAnsi="宋体" w:eastAsia="宋体" w:cs="宋体"/>
                <w:kern w:val="0"/>
                <w:sz w:val="20"/>
                <w:szCs w:val="20"/>
                <w:lang w:val="en-US" w:eastAsia="zh-CN" w:bidi="ar"/>
              </w:rPr>
              <w:t>㎡</w:t>
            </w:r>
            <w:r>
              <w:rPr>
                <w:rFonts w:hint="eastAsia" w:ascii="宋体" w:hAnsi="宋体" w:eastAsia="宋体" w:cs="宋体"/>
                <w:kern w:val="0"/>
                <w:sz w:val="20"/>
                <w:szCs w:val="20"/>
                <w:lang w:eastAsia="zh-CN" w:bidi="ar"/>
              </w:rPr>
              <w:t>）</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760B7696">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级别</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45D2BEA6">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判定标准</w:t>
            </w:r>
          </w:p>
        </w:tc>
        <w:tc>
          <w:tcPr>
            <w:tcW w:w="3137" w:type="dxa"/>
            <w:tcBorders>
              <w:top w:val="single" w:color="000000" w:sz="4" w:space="0"/>
              <w:left w:val="single" w:color="000000" w:sz="4" w:space="0"/>
              <w:bottom w:val="single" w:color="000000" w:sz="4" w:space="0"/>
              <w:right w:val="single" w:color="000000" w:sz="4" w:space="0"/>
            </w:tcBorders>
            <w:noWrap w:val="0"/>
            <w:vAlign w:val="center"/>
          </w:tcPr>
          <w:p w14:paraId="41973BEA">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检测内容</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7EB95924">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元/间</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20263114">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小计（元）</w:t>
            </w:r>
          </w:p>
        </w:tc>
      </w:tr>
      <w:tr w14:paraId="48589FB7">
        <w:tblPrEx>
          <w:tblCellMar>
            <w:top w:w="0" w:type="dxa"/>
            <w:left w:w="108" w:type="dxa"/>
            <w:bottom w:w="0" w:type="dxa"/>
            <w:right w:w="108" w:type="dxa"/>
          </w:tblCellMar>
        </w:tblPrEx>
        <w:trPr>
          <w:trHeight w:val="600" w:hRule="atLeast"/>
        </w:trPr>
        <w:tc>
          <w:tcPr>
            <w:tcW w:w="882" w:type="dxa"/>
            <w:tcBorders>
              <w:top w:val="single" w:color="000000" w:sz="4" w:space="0"/>
              <w:left w:val="single" w:color="000000" w:sz="4" w:space="0"/>
              <w:bottom w:val="single" w:color="000000" w:sz="4" w:space="0"/>
              <w:right w:val="single" w:color="000000" w:sz="4" w:space="0"/>
            </w:tcBorders>
            <w:noWrap w:val="0"/>
            <w:vAlign w:val="center"/>
          </w:tcPr>
          <w:p w14:paraId="1717E214">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1</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05803CF0">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准备间</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6FE4BCAC">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18.5</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6D70C7C0">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十万</w:t>
            </w:r>
          </w:p>
        </w:tc>
        <w:tc>
          <w:tcPr>
            <w:tcW w:w="2004" w:type="dxa"/>
            <w:vMerge w:val="restart"/>
            <w:tcBorders>
              <w:top w:val="single" w:color="000000" w:sz="4" w:space="0"/>
              <w:left w:val="single" w:color="000000" w:sz="4" w:space="0"/>
              <w:bottom w:val="single" w:color="000000" w:sz="4" w:space="0"/>
              <w:right w:val="single" w:color="000000" w:sz="4" w:space="0"/>
            </w:tcBorders>
            <w:noWrap w:val="0"/>
            <w:vAlign w:val="center"/>
          </w:tcPr>
          <w:p w14:paraId="278416E6">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《人类辅助生殖技术规范》、</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GB 50333-2013《医院洁净手术部建筑技术规范》、</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GB 15982-2012《医院消毒卫生标准》</w:t>
            </w:r>
          </w:p>
          <w:p w14:paraId="5C060859">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T/ACSC 01-2022《辅助生殖医学中心建设标准》</w:t>
            </w:r>
          </w:p>
          <w:p w14:paraId="4F81391B">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GB 50325-2020《民用建筑工程室内环境污染控制标准》GB/T 18883-2022 《室内空气质量标准》</w:t>
            </w:r>
          </w:p>
        </w:tc>
        <w:tc>
          <w:tcPr>
            <w:tcW w:w="3137" w:type="dxa"/>
            <w:vMerge w:val="restart"/>
            <w:tcBorders>
              <w:top w:val="single" w:color="000000" w:sz="4" w:space="0"/>
              <w:left w:val="single" w:color="000000" w:sz="4" w:space="0"/>
              <w:bottom w:val="single" w:color="000000" w:sz="4" w:space="0"/>
              <w:right w:val="single" w:color="000000" w:sz="4" w:space="0"/>
            </w:tcBorders>
            <w:noWrap w:val="0"/>
            <w:vAlign w:val="center"/>
          </w:tcPr>
          <w:p w14:paraId="7A3D1CBA">
            <w:pPr>
              <w:widowControl/>
              <w:numPr>
                <w:ilvl w:val="0"/>
                <w:numId w:val="1"/>
              </w:numPr>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静压差、</w:t>
            </w:r>
          </w:p>
          <w:p w14:paraId="58F1F356">
            <w:pPr>
              <w:widowControl/>
              <w:numPr>
                <w:ilvl w:val="0"/>
                <w:numId w:val="1"/>
              </w:numPr>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温度</w:t>
            </w:r>
          </w:p>
          <w:p w14:paraId="3CE45C17">
            <w:pPr>
              <w:widowControl/>
              <w:numPr>
                <w:ilvl w:val="0"/>
                <w:numId w:val="1"/>
              </w:numPr>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相对湿度</w:t>
            </w:r>
          </w:p>
          <w:p w14:paraId="01AEAE9D">
            <w:pPr>
              <w:widowControl/>
              <w:numPr>
                <w:ilvl w:val="0"/>
                <w:numId w:val="1"/>
              </w:numPr>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噪声</w:t>
            </w:r>
          </w:p>
          <w:p w14:paraId="5262EEA4">
            <w:pPr>
              <w:widowControl/>
              <w:numPr>
                <w:ilvl w:val="0"/>
                <w:numId w:val="1"/>
              </w:numPr>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照度</w:t>
            </w:r>
          </w:p>
          <w:p w14:paraId="68E22CAE">
            <w:pPr>
              <w:widowControl/>
              <w:numPr>
                <w:ilvl w:val="0"/>
                <w:numId w:val="1"/>
              </w:numPr>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I级洁净手术室手术区和I级洁净辅助用房洁净度为局部5级区的地面以上1.2m的工作面的截面风速和速度不均匀度</w:t>
            </w:r>
          </w:p>
          <w:p w14:paraId="2053F17A">
            <w:pPr>
              <w:widowControl/>
              <w:numPr>
                <w:ilvl w:val="0"/>
                <w:numId w:val="1"/>
              </w:numPr>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换气次数</w:t>
            </w:r>
          </w:p>
          <w:p w14:paraId="406142F3">
            <w:pPr>
              <w:widowControl/>
              <w:numPr>
                <w:ilvl w:val="0"/>
                <w:numId w:val="1"/>
              </w:numPr>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空气洁净度级别</w:t>
            </w:r>
          </w:p>
          <w:p w14:paraId="792893D7">
            <w:pPr>
              <w:widowControl/>
              <w:numPr>
                <w:ilvl w:val="0"/>
                <w:numId w:val="1"/>
              </w:numPr>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细菌浓度（浮游菌、沉降菌）</w:t>
            </w:r>
          </w:p>
          <w:p w14:paraId="1B79F3DF">
            <w:pPr>
              <w:widowControl/>
              <w:numPr>
                <w:ilvl w:val="0"/>
                <w:numId w:val="1"/>
              </w:numPr>
              <w:jc w:val="left"/>
              <w:textAlignment w:val="center"/>
              <w:rPr>
                <w:rFonts w:hint="eastAsia" w:ascii="宋体" w:hAnsi="宋体" w:eastAsia="宋体" w:cs="宋体"/>
                <w:sz w:val="20"/>
                <w:szCs w:val="20"/>
              </w:rPr>
            </w:pPr>
            <w:r>
              <w:rPr>
                <w:rFonts w:hint="eastAsia" w:ascii="宋体" w:hAnsi="宋体" w:eastAsia="宋体" w:cs="宋体"/>
                <w:sz w:val="20"/>
                <w:szCs w:val="20"/>
              </w:rPr>
              <w:t>新风量</w:t>
            </w:r>
          </w:p>
          <w:p w14:paraId="3A133718">
            <w:pPr>
              <w:widowControl/>
              <w:numPr>
                <w:ilvl w:val="0"/>
                <w:numId w:val="1"/>
              </w:numPr>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Ⅰ级洁净用房开门后门内0.6m处空气洁净度</w:t>
            </w:r>
          </w:p>
          <w:p w14:paraId="47656604">
            <w:pPr>
              <w:widowControl/>
              <w:numPr>
                <w:ilvl w:val="0"/>
                <w:numId w:val="1"/>
              </w:numPr>
              <w:jc w:val="left"/>
              <w:textAlignment w:val="center"/>
              <w:rPr>
                <w:rFonts w:hint="eastAsia" w:ascii="宋体" w:hAnsi="宋体" w:eastAsia="宋体" w:cs="宋体"/>
                <w:sz w:val="20"/>
                <w:szCs w:val="20"/>
              </w:rPr>
            </w:pPr>
            <w:r>
              <w:rPr>
                <w:rFonts w:hint="eastAsia" w:ascii="宋体" w:hAnsi="宋体" w:eastAsia="宋体" w:cs="宋体"/>
                <w:sz w:val="20"/>
                <w:szCs w:val="20"/>
              </w:rPr>
              <w:t>Ⅱ、Ⅲ级洁净手术室风口下无速度盲区</w:t>
            </w:r>
          </w:p>
          <w:p w14:paraId="08C082E3">
            <w:pPr>
              <w:widowControl/>
              <w:numPr>
                <w:ilvl w:val="0"/>
                <w:numId w:val="1"/>
              </w:numPr>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末级过滤器检漏</w:t>
            </w:r>
          </w:p>
          <w:p w14:paraId="301ACE07">
            <w:pPr>
              <w:widowControl/>
              <w:numPr>
                <w:ilvl w:val="0"/>
                <w:numId w:val="1"/>
              </w:numPr>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手术室严密性</w:t>
            </w:r>
          </w:p>
          <w:p w14:paraId="18A5EC15">
            <w:pPr>
              <w:widowControl/>
              <w:numPr>
                <w:ilvl w:val="0"/>
                <w:numId w:val="1"/>
              </w:numPr>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甲醛</w:t>
            </w:r>
          </w:p>
          <w:p w14:paraId="4194A1FA">
            <w:pPr>
              <w:widowControl/>
              <w:numPr>
                <w:ilvl w:val="0"/>
                <w:numId w:val="1"/>
              </w:numPr>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TVOC</w:t>
            </w:r>
          </w:p>
          <w:p w14:paraId="09CA9F3F">
            <w:pPr>
              <w:widowControl/>
              <w:numPr>
                <w:ilvl w:val="0"/>
                <w:numId w:val="1"/>
              </w:numPr>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苯乙烯</w:t>
            </w:r>
          </w:p>
          <w:p w14:paraId="62864828">
            <w:pPr>
              <w:widowControl/>
              <w:numPr>
                <w:ilvl w:val="0"/>
                <w:numId w:val="1"/>
              </w:numPr>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二氧化氮</w:t>
            </w:r>
          </w:p>
          <w:p w14:paraId="28A1883F">
            <w:pPr>
              <w:widowControl/>
              <w:numPr>
                <w:ilvl w:val="0"/>
                <w:numId w:val="1"/>
              </w:numPr>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臭氧</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EFB3012">
            <w:pPr>
              <w:widowControl/>
              <w:jc w:val="center"/>
              <w:textAlignment w:val="center"/>
              <w:rPr>
                <w:rFonts w:ascii="宋体" w:hAnsi="宋体" w:eastAsia="宋体" w:cs="宋体"/>
                <w:sz w:val="20"/>
                <w:szCs w:val="20"/>
              </w:rPr>
            </w:pPr>
          </w:p>
        </w:tc>
        <w:tc>
          <w:tcPr>
            <w:tcW w:w="2059" w:type="dxa"/>
            <w:vMerge w:val="restart"/>
            <w:tcBorders>
              <w:top w:val="single" w:color="000000" w:sz="4" w:space="0"/>
              <w:left w:val="single" w:color="000000" w:sz="4" w:space="0"/>
              <w:bottom w:val="single" w:color="000000" w:sz="4" w:space="0"/>
              <w:right w:val="single" w:color="000000" w:sz="4" w:space="0"/>
            </w:tcBorders>
            <w:noWrap w:val="0"/>
            <w:vAlign w:val="center"/>
          </w:tcPr>
          <w:p w14:paraId="4CC795BA">
            <w:pPr>
              <w:widowControl/>
              <w:jc w:val="center"/>
              <w:textAlignment w:val="center"/>
              <w:rPr>
                <w:rFonts w:ascii="宋体" w:hAnsi="宋体" w:eastAsia="宋体" w:cs="宋体"/>
                <w:sz w:val="20"/>
                <w:szCs w:val="20"/>
              </w:rPr>
            </w:pPr>
          </w:p>
        </w:tc>
      </w:tr>
      <w:tr w14:paraId="11748A3A">
        <w:tblPrEx>
          <w:tblCellMar>
            <w:top w:w="0" w:type="dxa"/>
            <w:left w:w="108" w:type="dxa"/>
            <w:bottom w:w="0" w:type="dxa"/>
            <w:right w:w="108" w:type="dxa"/>
          </w:tblCellMar>
        </w:tblPrEx>
        <w:trPr>
          <w:trHeight w:val="600" w:hRule="atLeast"/>
        </w:trPr>
        <w:tc>
          <w:tcPr>
            <w:tcW w:w="882" w:type="dxa"/>
            <w:tcBorders>
              <w:top w:val="single" w:color="000000" w:sz="4" w:space="0"/>
              <w:left w:val="single" w:color="000000" w:sz="4" w:space="0"/>
              <w:bottom w:val="single" w:color="000000" w:sz="4" w:space="0"/>
              <w:right w:val="single" w:color="000000" w:sz="4" w:space="0"/>
            </w:tcBorders>
            <w:noWrap w:val="0"/>
            <w:vAlign w:val="center"/>
          </w:tcPr>
          <w:p w14:paraId="4E08D299">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2</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7CCAE856">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缓冲室</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7B499B3B">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6.7</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0CD68AB4">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万</w:t>
            </w:r>
          </w:p>
        </w:tc>
        <w:tc>
          <w:tcPr>
            <w:tcW w:w="2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C82D8A">
            <w:pPr>
              <w:jc w:val="center"/>
              <w:rPr>
                <w:rFonts w:hint="eastAsia" w:ascii="宋体" w:hAnsi="宋体" w:eastAsia="宋体" w:cs="宋体"/>
                <w:sz w:val="20"/>
                <w:szCs w:val="20"/>
              </w:rPr>
            </w:pPr>
          </w:p>
        </w:tc>
        <w:tc>
          <w:tcPr>
            <w:tcW w:w="31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A656E3">
            <w:pPr>
              <w:jc w:val="left"/>
              <w:rPr>
                <w:rFonts w:hint="eastAsia" w:ascii="宋体" w:hAnsi="宋体" w:eastAsia="宋体" w:cs="宋体"/>
                <w:sz w:val="20"/>
                <w:szCs w:val="20"/>
              </w:rPr>
            </w:pP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4BCA8E13">
            <w:pPr>
              <w:widowControl/>
              <w:jc w:val="center"/>
              <w:textAlignment w:val="center"/>
              <w:rPr>
                <w:rFonts w:hint="eastAsia" w:ascii="宋体" w:hAnsi="宋体" w:eastAsia="宋体" w:cs="宋体"/>
                <w:sz w:val="20"/>
                <w:szCs w:val="20"/>
              </w:rPr>
            </w:pPr>
          </w:p>
        </w:tc>
        <w:tc>
          <w:tcPr>
            <w:tcW w:w="20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0C912A">
            <w:pPr>
              <w:jc w:val="center"/>
              <w:rPr>
                <w:rFonts w:hint="eastAsia" w:ascii="宋体" w:hAnsi="宋体" w:eastAsia="宋体" w:cs="宋体"/>
                <w:sz w:val="20"/>
                <w:szCs w:val="20"/>
              </w:rPr>
            </w:pPr>
          </w:p>
        </w:tc>
      </w:tr>
      <w:tr w14:paraId="72A7394D">
        <w:tblPrEx>
          <w:tblCellMar>
            <w:top w:w="0" w:type="dxa"/>
            <w:left w:w="108" w:type="dxa"/>
            <w:bottom w:w="0" w:type="dxa"/>
            <w:right w:w="108" w:type="dxa"/>
          </w:tblCellMar>
        </w:tblPrEx>
        <w:trPr>
          <w:trHeight w:val="600" w:hRule="atLeast"/>
        </w:trPr>
        <w:tc>
          <w:tcPr>
            <w:tcW w:w="882" w:type="dxa"/>
            <w:tcBorders>
              <w:top w:val="single" w:color="000000" w:sz="4" w:space="0"/>
              <w:left w:val="single" w:color="000000" w:sz="4" w:space="0"/>
              <w:bottom w:val="single" w:color="000000" w:sz="4" w:space="0"/>
              <w:right w:val="single" w:color="000000" w:sz="4" w:space="0"/>
            </w:tcBorders>
            <w:noWrap w:val="0"/>
            <w:vAlign w:val="center"/>
          </w:tcPr>
          <w:p w14:paraId="5B5830A0">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3</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26B8A650">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清洗间</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1068CB60">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6.8</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6A640726">
            <w:pPr>
              <w:widowControl/>
              <w:jc w:val="center"/>
              <w:textAlignment w:val="center"/>
              <w:rPr>
                <w:rFonts w:hint="eastAsia" w:ascii="宋体" w:hAnsi="宋体" w:eastAsia="宋体" w:cs="宋体"/>
                <w:sz w:val="20"/>
                <w:szCs w:val="20"/>
              </w:rPr>
            </w:pPr>
            <w:bookmarkStart w:id="5" w:name="_GoBack"/>
            <w:bookmarkEnd w:id="5"/>
            <w:r>
              <w:rPr>
                <w:rFonts w:hint="eastAsia" w:ascii="宋体" w:hAnsi="宋体" w:eastAsia="宋体" w:cs="宋体"/>
                <w:kern w:val="0"/>
                <w:sz w:val="20"/>
                <w:szCs w:val="20"/>
                <w:lang w:bidi="ar"/>
              </w:rPr>
              <w:t>十万</w:t>
            </w:r>
          </w:p>
        </w:tc>
        <w:tc>
          <w:tcPr>
            <w:tcW w:w="2004" w:type="dxa"/>
            <w:vMerge w:val="continue"/>
            <w:tcBorders>
              <w:top w:val="single" w:color="000000" w:sz="4" w:space="0"/>
              <w:left w:val="single" w:color="000000" w:sz="4" w:space="0"/>
              <w:bottom w:val="single" w:color="auto" w:sz="4" w:space="0"/>
              <w:right w:val="single" w:color="000000" w:sz="4" w:space="0"/>
            </w:tcBorders>
            <w:noWrap w:val="0"/>
            <w:vAlign w:val="center"/>
          </w:tcPr>
          <w:p w14:paraId="2337DA19">
            <w:pPr>
              <w:jc w:val="center"/>
              <w:rPr>
                <w:rFonts w:hint="eastAsia" w:ascii="宋体" w:hAnsi="宋体" w:eastAsia="宋体" w:cs="宋体"/>
                <w:sz w:val="20"/>
                <w:szCs w:val="20"/>
              </w:rPr>
            </w:pPr>
          </w:p>
        </w:tc>
        <w:tc>
          <w:tcPr>
            <w:tcW w:w="3137" w:type="dxa"/>
            <w:vMerge w:val="continue"/>
            <w:tcBorders>
              <w:top w:val="single" w:color="000000" w:sz="4" w:space="0"/>
              <w:left w:val="single" w:color="000000" w:sz="4" w:space="0"/>
              <w:bottom w:val="single" w:color="auto" w:sz="4" w:space="0"/>
              <w:right w:val="single" w:color="000000" w:sz="4" w:space="0"/>
            </w:tcBorders>
            <w:noWrap w:val="0"/>
            <w:vAlign w:val="center"/>
          </w:tcPr>
          <w:p w14:paraId="40507B88">
            <w:pPr>
              <w:jc w:val="left"/>
              <w:rPr>
                <w:rFonts w:hint="eastAsia" w:ascii="宋体" w:hAnsi="宋体" w:eastAsia="宋体" w:cs="宋体"/>
                <w:sz w:val="20"/>
                <w:szCs w:val="20"/>
              </w:rPr>
            </w:pP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5B1585B">
            <w:pPr>
              <w:widowControl/>
              <w:jc w:val="center"/>
              <w:textAlignment w:val="center"/>
              <w:rPr>
                <w:rFonts w:hint="eastAsia" w:ascii="宋体" w:hAnsi="宋体" w:eastAsia="宋体" w:cs="宋体"/>
                <w:sz w:val="20"/>
                <w:szCs w:val="20"/>
              </w:rPr>
            </w:pPr>
          </w:p>
        </w:tc>
        <w:tc>
          <w:tcPr>
            <w:tcW w:w="20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E9A689">
            <w:pPr>
              <w:jc w:val="center"/>
              <w:rPr>
                <w:rFonts w:hint="eastAsia" w:ascii="宋体" w:hAnsi="宋体" w:eastAsia="宋体" w:cs="宋体"/>
                <w:sz w:val="20"/>
                <w:szCs w:val="20"/>
              </w:rPr>
            </w:pPr>
          </w:p>
        </w:tc>
      </w:tr>
      <w:tr w14:paraId="38699F35">
        <w:tblPrEx>
          <w:tblCellMar>
            <w:top w:w="0" w:type="dxa"/>
            <w:left w:w="108" w:type="dxa"/>
            <w:bottom w:w="0" w:type="dxa"/>
            <w:right w:w="108" w:type="dxa"/>
          </w:tblCellMar>
        </w:tblPrEx>
        <w:trPr>
          <w:trHeight w:val="567" w:hRule="atLeast"/>
        </w:trPr>
        <w:tc>
          <w:tcPr>
            <w:tcW w:w="882" w:type="dxa"/>
            <w:tcBorders>
              <w:top w:val="single" w:color="000000" w:sz="4" w:space="0"/>
              <w:left w:val="single" w:color="000000" w:sz="4" w:space="0"/>
              <w:bottom w:val="single" w:color="000000" w:sz="4" w:space="0"/>
              <w:right w:val="single" w:color="000000" w:sz="4" w:space="0"/>
            </w:tcBorders>
            <w:noWrap w:val="0"/>
            <w:vAlign w:val="center"/>
          </w:tcPr>
          <w:p w14:paraId="24F2434C">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4</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459F2CE0">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资料室</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208140AD">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12</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335E99CD">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十万</w:t>
            </w:r>
          </w:p>
        </w:tc>
        <w:tc>
          <w:tcPr>
            <w:tcW w:w="2004" w:type="dxa"/>
            <w:vMerge w:val="restart"/>
            <w:tcBorders>
              <w:top w:val="single" w:color="auto" w:sz="4" w:space="0"/>
              <w:left w:val="single" w:color="000000" w:sz="4" w:space="0"/>
              <w:right w:val="single" w:color="000000" w:sz="4" w:space="0"/>
            </w:tcBorders>
            <w:noWrap w:val="0"/>
            <w:vAlign w:val="center"/>
          </w:tcPr>
          <w:p w14:paraId="7983D9AE">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《人类辅助生殖技术规范》、</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GB 50333-2013《医院洁净手术部建筑技术规范》、</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GB 15982-2012《医院消毒卫生标准》</w:t>
            </w:r>
          </w:p>
          <w:p w14:paraId="1A9C04C5">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T/ACSC 01-2022《辅助生殖医学中心建设标准》</w:t>
            </w:r>
          </w:p>
          <w:p w14:paraId="06C29612">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GB 50325-2020《民用建筑工程室内环境污染控制标准》GB/T 18883-2022 《室内空气质量标准》</w:t>
            </w:r>
          </w:p>
        </w:tc>
        <w:tc>
          <w:tcPr>
            <w:tcW w:w="3137" w:type="dxa"/>
            <w:vMerge w:val="restart"/>
            <w:tcBorders>
              <w:top w:val="single" w:color="auto" w:sz="4" w:space="0"/>
              <w:left w:val="single" w:color="000000" w:sz="4" w:space="0"/>
              <w:right w:val="single" w:color="000000" w:sz="4" w:space="0"/>
            </w:tcBorders>
            <w:noWrap w:val="0"/>
            <w:vAlign w:val="center"/>
          </w:tcPr>
          <w:p w14:paraId="13F9D5F1">
            <w:pPr>
              <w:widowControl/>
              <w:numPr>
                <w:ilvl w:val="0"/>
                <w:numId w:val="2"/>
              </w:numPr>
              <w:jc w:val="left"/>
              <w:textAlignment w:val="center"/>
              <w:rPr>
                <w:rFonts w:hint="eastAsia" w:ascii="宋体" w:hAnsi="宋体" w:eastAsia="宋体" w:cs="宋体"/>
                <w:sz w:val="20"/>
                <w:szCs w:val="20"/>
              </w:rPr>
            </w:pPr>
            <w:r>
              <w:rPr>
                <w:rFonts w:hint="eastAsia" w:ascii="宋体" w:hAnsi="宋体" w:eastAsia="宋体" w:cs="宋体"/>
                <w:sz w:val="20"/>
                <w:szCs w:val="20"/>
              </w:rPr>
              <w:t>新风量</w:t>
            </w:r>
          </w:p>
          <w:p w14:paraId="21114BB4">
            <w:pPr>
              <w:widowControl/>
              <w:numPr>
                <w:ilvl w:val="0"/>
                <w:numId w:val="2"/>
              </w:numPr>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Ⅰ级洁净用房开门后门内0.6m处空气洁净度</w:t>
            </w:r>
          </w:p>
          <w:p w14:paraId="70315E30">
            <w:pPr>
              <w:widowControl/>
              <w:numPr>
                <w:ilvl w:val="0"/>
                <w:numId w:val="2"/>
              </w:numPr>
              <w:jc w:val="left"/>
              <w:textAlignment w:val="center"/>
              <w:rPr>
                <w:rFonts w:hint="eastAsia" w:ascii="宋体" w:hAnsi="宋体" w:eastAsia="宋体" w:cs="宋体"/>
                <w:sz w:val="20"/>
                <w:szCs w:val="20"/>
              </w:rPr>
            </w:pPr>
            <w:r>
              <w:rPr>
                <w:rFonts w:hint="eastAsia" w:ascii="宋体" w:hAnsi="宋体" w:eastAsia="宋体" w:cs="宋体"/>
                <w:sz w:val="20"/>
                <w:szCs w:val="20"/>
              </w:rPr>
              <w:t>Ⅱ、Ⅲ级洁净手术室风口下无速度盲区</w:t>
            </w:r>
          </w:p>
          <w:p w14:paraId="27D51EED">
            <w:pPr>
              <w:widowControl/>
              <w:numPr>
                <w:ilvl w:val="0"/>
                <w:numId w:val="2"/>
              </w:numPr>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末级过滤器检漏</w:t>
            </w:r>
          </w:p>
          <w:p w14:paraId="18A6A976">
            <w:pPr>
              <w:widowControl/>
              <w:numPr>
                <w:ilvl w:val="0"/>
                <w:numId w:val="2"/>
              </w:numPr>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手术室严密性</w:t>
            </w:r>
          </w:p>
          <w:p w14:paraId="23996B6A">
            <w:pPr>
              <w:widowControl/>
              <w:numPr>
                <w:ilvl w:val="0"/>
                <w:numId w:val="2"/>
              </w:numPr>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甲醛</w:t>
            </w:r>
          </w:p>
          <w:p w14:paraId="7BC34BF3">
            <w:pPr>
              <w:widowControl/>
              <w:numPr>
                <w:ilvl w:val="0"/>
                <w:numId w:val="2"/>
              </w:numPr>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TVOC</w:t>
            </w:r>
          </w:p>
          <w:p w14:paraId="24DF59A1">
            <w:pPr>
              <w:widowControl/>
              <w:numPr>
                <w:ilvl w:val="0"/>
                <w:numId w:val="2"/>
              </w:numPr>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苯乙烯</w:t>
            </w:r>
          </w:p>
          <w:p w14:paraId="56EB09C0">
            <w:pPr>
              <w:widowControl/>
              <w:numPr>
                <w:ilvl w:val="0"/>
                <w:numId w:val="2"/>
              </w:numPr>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二氧化氮</w:t>
            </w:r>
          </w:p>
          <w:p w14:paraId="3130F94F">
            <w:pPr>
              <w:widowControl/>
              <w:numPr>
                <w:ilvl w:val="0"/>
                <w:numId w:val="2"/>
              </w:numPr>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臭氧</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8B3D86E">
            <w:pPr>
              <w:widowControl/>
              <w:jc w:val="center"/>
              <w:textAlignment w:val="center"/>
              <w:rPr>
                <w:rFonts w:ascii="宋体" w:hAnsi="宋体" w:eastAsia="宋体" w:cs="宋体"/>
                <w:sz w:val="20"/>
                <w:szCs w:val="20"/>
              </w:rPr>
            </w:pPr>
          </w:p>
        </w:tc>
        <w:tc>
          <w:tcPr>
            <w:tcW w:w="20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FBFBB6">
            <w:pPr>
              <w:jc w:val="center"/>
              <w:rPr>
                <w:rFonts w:hint="eastAsia" w:ascii="宋体" w:hAnsi="宋体" w:eastAsia="宋体" w:cs="宋体"/>
                <w:sz w:val="20"/>
                <w:szCs w:val="20"/>
              </w:rPr>
            </w:pPr>
          </w:p>
        </w:tc>
      </w:tr>
      <w:tr w14:paraId="7E499464">
        <w:tblPrEx>
          <w:tblCellMar>
            <w:top w:w="0" w:type="dxa"/>
            <w:left w:w="108" w:type="dxa"/>
            <w:bottom w:w="0" w:type="dxa"/>
            <w:right w:w="108" w:type="dxa"/>
          </w:tblCellMar>
        </w:tblPrEx>
        <w:trPr>
          <w:trHeight w:val="567" w:hRule="atLeast"/>
        </w:trPr>
        <w:tc>
          <w:tcPr>
            <w:tcW w:w="882" w:type="dxa"/>
            <w:tcBorders>
              <w:top w:val="single" w:color="000000" w:sz="4" w:space="0"/>
              <w:left w:val="single" w:color="000000" w:sz="4" w:space="0"/>
              <w:bottom w:val="single" w:color="000000" w:sz="4" w:space="0"/>
              <w:right w:val="single" w:color="000000" w:sz="4" w:space="0"/>
            </w:tcBorders>
            <w:noWrap w:val="0"/>
            <w:vAlign w:val="center"/>
          </w:tcPr>
          <w:p w14:paraId="49C8199F">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5</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6BAFF5C2">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取卵室</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0EF33E9B">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26</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3CFFA647">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千（Ⅱ）</w:t>
            </w:r>
          </w:p>
        </w:tc>
        <w:tc>
          <w:tcPr>
            <w:tcW w:w="2004" w:type="dxa"/>
            <w:vMerge w:val="continue"/>
            <w:tcBorders>
              <w:top w:val="single" w:color="auto" w:sz="4" w:space="0"/>
              <w:left w:val="single" w:color="000000" w:sz="4" w:space="0"/>
              <w:bottom w:val="single" w:color="auto" w:sz="4" w:space="0"/>
              <w:right w:val="single" w:color="000000" w:sz="4" w:space="0"/>
            </w:tcBorders>
            <w:noWrap w:val="0"/>
            <w:vAlign w:val="center"/>
          </w:tcPr>
          <w:p w14:paraId="72C8E6C5">
            <w:pPr>
              <w:jc w:val="center"/>
              <w:rPr>
                <w:rFonts w:hint="eastAsia" w:ascii="宋体" w:hAnsi="宋体" w:eastAsia="宋体" w:cs="宋体"/>
                <w:sz w:val="20"/>
                <w:szCs w:val="20"/>
              </w:rPr>
            </w:pPr>
          </w:p>
        </w:tc>
        <w:tc>
          <w:tcPr>
            <w:tcW w:w="3137" w:type="dxa"/>
            <w:vMerge w:val="continue"/>
            <w:tcBorders>
              <w:top w:val="single" w:color="auto" w:sz="4" w:space="0"/>
              <w:left w:val="single" w:color="000000" w:sz="4" w:space="0"/>
              <w:bottom w:val="single" w:color="auto" w:sz="4" w:space="0"/>
              <w:right w:val="single" w:color="000000" w:sz="4" w:space="0"/>
            </w:tcBorders>
            <w:noWrap w:val="0"/>
            <w:vAlign w:val="center"/>
          </w:tcPr>
          <w:p w14:paraId="5AEA71E7">
            <w:pPr>
              <w:jc w:val="left"/>
              <w:rPr>
                <w:rFonts w:hint="eastAsia" w:ascii="宋体" w:hAnsi="宋体" w:eastAsia="宋体" w:cs="宋体"/>
                <w:sz w:val="20"/>
                <w:szCs w:val="20"/>
              </w:rPr>
            </w:pP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45634DFD">
            <w:pPr>
              <w:widowControl/>
              <w:jc w:val="center"/>
              <w:textAlignment w:val="center"/>
              <w:rPr>
                <w:rFonts w:ascii="宋体" w:hAnsi="宋体" w:eastAsia="宋体" w:cs="宋体"/>
                <w:sz w:val="20"/>
                <w:szCs w:val="20"/>
              </w:rPr>
            </w:pPr>
          </w:p>
        </w:tc>
        <w:tc>
          <w:tcPr>
            <w:tcW w:w="20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ABA550">
            <w:pPr>
              <w:jc w:val="center"/>
              <w:rPr>
                <w:rFonts w:hint="eastAsia" w:ascii="宋体" w:hAnsi="宋体" w:eastAsia="宋体" w:cs="宋体"/>
                <w:sz w:val="20"/>
                <w:szCs w:val="20"/>
              </w:rPr>
            </w:pPr>
          </w:p>
        </w:tc>
      </w:tr>
      <w:tr w14:paraId="56E8B85B">
        <w:tblPrEx>
          <w:tblCellMar>
            <w:top w:w="0" w:type="dxa"/>
            <w:left w:w="108" w:type="dxa"/>
            <w:bottom w:w="0" w:type="dxa"/>
            <w:right w:w="108" w:type="dxa"/>
          </w:tblCellMar>
        </w:tblPrEx>
        <w:trPr>
          <w:trHeight w:val="567" w:hRule="atLeast"/>
        </w:trPr>
        <w:tc>
          <w:tcPr>
            <w:tcW w:w="882" w:type="dxa"/>
            <w:tcBorders>
              <w:top w:val="single" w:color="000000" w:sz="4" w:space="0"/>
              <w:left w:val="single" w:color="000000" w:sz="4" w:space="0"/>
              <w:bottom w:val="single" w:color="000000" w:sz="4" w:space="0"/>
              <w:right w:val="single" w:color="000000" w:sz="4" w:space="0"/>
            </w:tcBorders>
            <w:noWrap w:val="0"/>
            <w:vAlign w:val="center"/>
          </w:tcPr>
          <w:p w14:paraId="35E257CA">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10D2B629">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移植室</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0E4F065">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16.3</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52F05D2">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万（Ⅲ）</w:t>
            </w:r>
          </w:p>
        </w:tc>
        <w:tc>
          <w:tcPr>
            <w:tcW w:w="2004" w:type="dxa"/>
            <w:vMerge w:val="continue"/>
            <w:tcBorders>
              <w:top w:val="single" w:color="auto" w:sz="4" w:space="0"/>
              <w:left w:val="single" w:color="000000" w:sz="4" w:space="0"/>
              <w:bottom w:val="single" w:color="auto" w:sz="4" w:space="0"/>
              <w:right w:val="single" w:color="000000" w:sz="4" w:space="0"/>
            </w:tcBorders>
            <w:noWrap w:val="0"/>
            <w:vAlign w:val="center"/>
          </w:tcPr>
          <w:p w14:paraId="2E43299E">
            <w:pPr>
              <w:jc w:val="center"/>
              <w:rPr>
                <w:rFonts w:hint="eastAsia" w:ascii="宋体" w:hAnsi="宋体" w:eastAsia="宋体" w:cs="宋体"/>
                <w:sz w:val="20"/>
                <w:szCs w:val="20"/>
              </w:rPr>
            </w:pPr>
          </w:p>
        </w:tc>
        <w:tc>
          <w:tcPr>
            <w:tcW w:w="3137" w:type="dxa"/>
            <w:vMerge w:val="continue"/>
            <w:tcBorders>
              <w:top w:val="single" w:color="auto" w:sz="4" w:space="0"/>
              <w:left w:val="single" w:color="000000" w:sz="4" w:space="0"/>
              <w:bottom w:val="single" w:color="auto" w:sz="4" w:space="0"/>
              <w:right w:val="single" w:color="000000" w:sz="4" w:space="0"/>
            </w:tcBorders>
            <w:noWrap w:val="0"/>
            <w:vAlign w:val="center"/>
          </w:tcPr>
          <w:p w14:paraId="255130D4">
            <w:pPr>
              <w:jc w:val="left"/>
              <w:rPr>
                <w:rFonts w:hint="eastAsia" w:ascii="宋体" w:hAnsi="宋体" w:eastAsia="宋体" w:cs="宋体"/>
                <w:sz w:val="20"/>
                <w:szCs w:val="20"/>
              </w:rPr>
            </w:pP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DAE813C">
            <w:pPr>
              <w:widowControl/>
              <w:jc w:val="center"/>
              <w:textAlignment w:val="center"/>
              <w:rPr>
                <w:rFonts w:hint="eastAsia" w:ascii="宋体" w:hAnsi="宋体" w:eastAsia="宋体" w:cs="宋体"/>
                <w:sz w:val="20"/>
                <w:szCs w:val="20"/>
              </w:rPr>
            </w:pPr>
          </w:p>
        </w:tc>
        <w:tc>
          <w:tcPr>
            <w:tcW w:w="20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A1334D">
            <w:pPr>
              <w:jc w:val="center"/>
              <w:rPr>
                <w:rFonts w:hint="eastAsia" w:ascii="宋体" w:hAnsi="宋体" w:eastAsia="宋体" w:cs="宋体"/>
                <w:sz w:val="20"/>
                <w:szCs w:val="20"/>
              </w:rPr>
            </w:pPr>
          </w:p>
        </w:tc>
      </w:tr>
      <w:tr w14:paraId="4A467E17">
        <w:tblPrEx>
          <w:tblCellMar>
            <w:top w:w="0" w:type="dxa"/>
            <w:left w:w="108" w:type="dxa"/>
            <w:bottom w:w="0" w:type="dxa"/>
            <w:right w:w="108" w:type="dxa"/>
          </w:tblCellMar>
        </w:tblPrEx>
        <w:trPr>
          <w:trHeight w:val="567" w:hRule="atLeast"/>
        </w:trPr>
        <w:tc>
          <w:tcPr>
            <w:tcW w:w="882" w:type="dxa"/>
            <w:tcBorders>
              <w:top w:val="single" w:color="000000" w:sz="4" w:space="0"/>
              <w:left w:val="single" w:color="000000" w:sz="4" w:space="0"/>
              <w:bottom w:val="single" w:color="000000" w:sz="4" w:space="0"/>
              <w:right w:val="single" w:color="000000" w:sz="4" w:space="0"/>
            </w:tcBorders>
            <w:noWrap w:val="0"/>
            <w:vAlign w:val="center"/>
          </w:tcPr>
          <w:p w14:paraId="05A38AE6">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7</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27EF36B6">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人工授精室</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7D5D40CF">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20.5</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767CA35">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万（Ⅲ）</w:t>
            </w:r>
          </w:p>
        </w:tc>
        <w:tc>
          <w:tcPr>
            <w:tcW w:w="2004" w:type="dxa"/>
            <w:vMerge w:val="continue"/>
            <w:tcBorders>
              <w:top w:val="single" w:color="auto" w:sz="4" w:space="0"/>
              <w:left w:val="single" w:color="000000" w:sz="4" w:space="0"/>
              <w:bottom w:val="single" w:color="auto" w:sz="4" w:space="0"/>
              <w:right w:val="single" w:color="000000" w:sz="4" w:space="0"/>
            </w:tcBorders>
            <w:noWrap w:val="0"/>
            <w:vAlign w:val="center"/>
          </w:tcPr>
          <w:p w14:paraId="03C62F0C">
            <w:pPr>
              <w:jc w:val="center"/>
              <w:rPr>
                <w:rFonts w:hint="eastAsia" w:ascii="宋体" w:hAnsi="宋体" w:eastAsia="宋体" w:cs="宋体"/>
                <w:sz w:val="20"/>
                <w:szCs w:val="20"/>
              </w:rPr>
            </w:pPr>
          </w:p>
        </w:tc>
        <w:tc>
          <w:tcPr>
            <w:tcW w:w="3137" w:type="dxa"/>
            <w:vMerge w:val="continue"/>
            <w:tcBorders>
              <w:top w:val="single" w:color="auto" w:sz="4" w:space="0"/>
              <w:left w:val="single" w:color="000000" w:sz="4" w:space="0"/>
              <w:bottom w:val="single" w:color="auto" w:sz="4" w:space="0"/>
              <w:right w:val="single" w:color="000000" w:sz="4" w:space="0"/>
            </w:tcBorders>
            <w:noWrap w:val="0"/>
            <w:vAlign w:val="center"/>
          </w:tcPr>
          <w:p w14:paraId="7ECD2A7C">
            <w:pPr>
              <w:jc w:val="left"/>
              <w:rPr>
                <w:rFonts w:hint="eastAsia" w:ascii="宋体" w:hAnsi="宋体" w:eastAsia="宋体" w:cs="宋体"/>
                <w:sz w:val="20"/>
                <w:szCs w:val="20"/>
              </w:rPr>
            </w:pP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761F77B">
            <w:pPr>
              <w:widowControl/>
              <w:jc w:val="center"/>
              <w:textAlignment w:val="center"/>
              <w:rPr>
                <w:rFonts w:hint="eastAsia" w:ascii="宋体" w:hAnsi="宋体" w:eastAsia="宋体" w:cs="宋体"/>
                <w:sz w:val="20"/>
                <w:szCs w:val="20"/>
              </w:rPr>
            </w:pPr>
          </w:p>
        </w:tc>
        <w:tc>
          <w:tcPr>
            <w:tcW w:w="20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CEA477">
            <w:pPr>
              <w:jc w:val="center"/>
              <w:rPr>
                <w:rFonts w:hint="eastAsia" w:ascii="宋体" w:hAnsi="宋体" w:eastAsia="宋体" w:cs="宋体"/>
                <w:sz w:val="20"/>
                <w:szCs w:val="20"/>
              </w:rPr>
            </w:pPr>
          </w:p>
        </w:tc>
      </w:tr>
      <w:tr w14:paraId="469D389F">
        <w:tblPrEx>
          <w:tblCellMar>
            <w:top w:w="0" w:type="dxa"/>
            <w:left w:w="108" w:type="dxa"/>
            <w:bottom w:w="0" w:type="dxa"/>
            <w:right w:w="108" w:type="dxa"/>
          </w:tblCellMar>
        </w:tblPrEx>
        <w:trPr>
          <w:trHeight w:val="567" w:hRule="atLeast"/>
        </w:trPr>
        <w:tc>
          <w:tcPr>
            <w:tcW w:w="882" w:type="dxa"/>
            <w:tcBorders>
              <w:top w:val="single" w:color="000000" w:sz="4" w:space="0"/>
              <w:left w:val="single" w:color="000000" w:sz="4" w:space="0"/>
              <w:bottom w:val="single" w:color="000000" w:sz="4" w:space="0"/>
              <w:right w:val="single" w:color="000000" w:sz="4" w:space="0"/>
            </w:tcBorders>
            <w:noWrap w:val="0"/>
            <w:vAlign w:val="center"/>
          </w:tcPr>
          <w:p w14:paraId="16BECD41">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8</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3E00D1BA">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人工授精实验室</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41996090">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20.3</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294BA9DD">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万</w:t>
            </w:r>
          </w:p>
        </w:tc>
        <w:tc>
          <w:tcPr>
            <w:tcW w:w="2004" w:type="dxa"/>
            <w:vMerge w:val="continue"/>
            <w:tcBorders>
              <w:top w:val="single" w:color="auto" w:sz="4" w:space="0"/>
              <w:left w:val="single" w:color="000000" w:sz="4" w:space="0"/>
              <w:bottom w:val="single" w:color="auto" w:sz="4" w:space="0"/>
              <w:right w:val="single" w:color="000000" w:sz="4" w:space="0"/>
            </w:tcBorders>
            <w:noWrap w:val="0"/>
            <w:vAlign w:val="center"/>
          </w:tcPr>
          <w:p w14:paraId="73BC065A">
            <w:pPr>
              <w:jc w:val="center"/>
              <w:rPr>
                <w:rFonts w:hint="eastAsia" w:ascii="宋体" w:hAnsi="宋体" w:eastAsia="宋体" w:cs="宋体"/>
                <w:sz w:val="20"/>
                <w:szCs w:val="20"/>
              </w:rPr>
            </w:pPr>
          </w:p>
        </w:tc>
        <w:tc>
          <w:tcPr>
            <w:tcW w:w="3137" w:type="dxa"/>
            <w:vMerge w:val="continue"/>
            <w:tcBorders>
              <w:top w:val="single" w:color="auto" w:sz="4" w:space="0"/>
              <w:left w:val="single" w:color="000000" w:sz="4" w:space="0"/>
              <w:bottom w:val="single" w:color="auto" w:sz="4" w:space="0"/>
              <w:right w:val="single" w:color="000000" w:sz="4" w:space="0"/>
            </w:tcBorders>
            <w:noWrap w:val="0"/>
            <w:vAlign w:val="center"/>
          </w:tcPr>
          <w:p w14:paraId="13F0561D">
            <w:pPr>
              <w:jc w:val="left"/>
              <w:rPr>
                <w:rFonts w:hint="eastAsia" w:ascii="宋体" w:hAnsi="宋体" w:eastAsia="宋体" w:cs="宋体"/>
                <w:sz w:val="20"/>
                <w:szCs w:val="20"/>
              </w:rPr>
            </w:pP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489AE082">
            <w:pPr>
              <w:widowControl/>
              <w:jc w:val="center"/>
              <w:textAlignment w:val="center"/>
              <w:rPr>
                <w:rFonts w:hint="eastAsia" w:ascii="宋体" w:hAnsi="宋体" w:eastAsia="宋体" w:cs="宋体"/>
                <w:sz w:val="20"/>
                <w:szCs w:val="20"/>
              </w:rPr>
            </w:pPr>
          </w:p>
        </w:tc>
        <w:tc>
          <w:tcPr>
            <w:tcW w:w="20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94DDA1">
            <w:pPr>
              <w:jc w:val="center"/>
              <w:rPr>
                <w:rFonts w:hint="eastAsia" w:ascii="宋体" w:hAnsi="宋体" w:eastAsia="宋体" w:cs="宋体"/>
                <w:sz w:val="20"/>
                <w:szCs w:val="20"/>
              </w:rPr>
            </w:pPr>
          </w:p>
        </w:tc>
      </w:tr>
      <w:tr w14:paraId="4C9EDC7E">
        <w:tblPrEx>
          <w:tblCellMar>
            <w:top w:w="0" w:type="dxa"/>
            <w:left w:w="108" w:type="dxa"/>
            <w:bottom w:w="0" w:type="dxa"/>
            <w:right w:w="108" w:type="dxa"/>
          </w:tblCellMar>
        </w:tblPrEx>
        <w:trPr>
          <w:trHeight w:val="567" w:hRule="atLeast"/>
        </w:trPr>
        <w:tc>
          <w:tcPr>
            <w:tcW w:w="882" w:type="dxa"/>
            <w:tcBorders>
              <w:top w:val="single" w:color="000000" w:sz="4" w:space="0"/>
              <w:left w:val="single" w:color="000000" w:sz="4" w:space="0"/>
              <w:bottom w:val="single" w:color="000000" w:sz="4" w:space="0"/>
              <w:right w:val="single" w:color="000000" w:sz="4" w:space="0"/>
            </w:tcBorders>
            <w:noWrap w:val="0"/>
            <w:vAlign w:val="center"/>
          </w:tcPr>
          <w:p w14:paraId="5B4278DF">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9</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2E359316">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精液处理室</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C6F4FD3">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21.7</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2834E9C3">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万</w:t>
            </w:r>
          </w:p>
        </w:tc>
        <w:tc>
          <w:tcPr>
            <w:tcW w:w="2004" w:type="dxa"/>
            <w:vMerge w:val="continue"/>
            <w:tcBorders>
              <w:top w:val="single" w:color="auto" w:sz="4" w:space="0"/>
              <w:left w:val="single" w:color="000000" w:sz="4" w:space="0"/>
              <w:bottom w:val="single" w:color="auto" w:sz="4" w:space="0"/>
              <w:right w:val="single" w:color="000000" w:sz="4" w:space="0"/>
            </w:tcBorders>
            <w:noWrap w:val="0"/>
            <w:vAlign w:val="center"/>
          </w:tcPr>
          <w:p w14:paraId="592DCEE2">
            <w:pPr>
              <w:jc w:val="center"/>
              <w:rPr>
                <w:rFonts w:hint="eastAsia" w:ascii="宋体" w:hAnsi="宋体" w:eastAsia="宋体" w:cs="宋体"/>
                <w:sz w:val="20"/>
                <w:szCs w:val="20"/>
              </w:rPr>
            </w:pPr>
          </w:p>
        </w:tc>
        <w:tc>
          <w:tcPr>
            <w:tcW w:w="3137" w:type="dxa"/>
            <w:vMerge w:val="continue"/>
            <w:tcBorders>
              <w:top w:val="single" w:color="auto" w:sz="4" w:space="0"/>
              <w:left w:val="single" w:color="000000" w:sz="4" w:space="0"/>
              <w:bottom w:val="single" w:color="auto" w:sz="4" w:space="0"/>
              <w:right w:val="single" w:color="000000" w:sz="4" w:space="0"/>
            </w:tcBorders>
            <w:noWrap w:val="0"/>
            <w:vAlign w:val="center"/>
          </w:tcPr>
          <w:p w14:paraId="076F5EA5">
            <w:pPr>
              <w:jc w:val="left"/>
              <w:rPr>
                <w:rFonts w:hint="eastAsia" w:ascii="宋体" w:hAnsi="宋体" w:eastAsia="宋体" w:cs="宋体"/>
                <w:sz w:val="20"/>
                <w:szCs w:val="20"/>
              </w:rPr>
            </w:pP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54830933">
            <w:pPr>
              <w:widowControl/>
              <w:jc w:val="center"/>
              <w:textAlignment w:val="center"/>
              <w:rPr>
                <w:rFonts w:hint="eastAsia" w:ascii="宋体" w:hAnsi="宋体" w:eastAsia="宋体" w:cs="宋体"/>
                <w:sz w:val="20"/>
                <w:szCs w:val="20"/>
              </w:rPr>
            </w:pPr>
          </w:p>
        </w:tc>
        <w:tc>
          <w:tcPr>
            <w:tcW w:w="20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531F37">
            <w:pPr>
              <w:jc w:val="center"/>
              <w:rPr>
                <w:rFonts w:hint="eastAsia" w:ascii="宋体" w:hAnsi="宋体" w:eastAsia="宋体" w:cs="宋体"/>
                <w:sz w:val="20"/>
                <w:szCs w:val="20"/>
              </w:rPr>
            </w:pPr>
          </w:p>
        </w:tc>
      </w:tr>
      <w:tr w14:paraId="76B58A2D">
        <w:tblPrEx>
          <w:tblCellMar>
            <w:top w:w="0" w:type="dxa"/>
            <w:left w:w="108" w:type="dxa"/>
            <w:bottom w:w="0" w:type="dxa"/>
            <w:right w:w="108" w:type="dxa"/>
          </w:tblCellMar>
        </w:tblPrEx>
        <w:trPr>
          <w:trHeight w:val="567" w:hRule="atLeast"/>
        </w:trPr>
        <w:tc>
          <w:tcPr>
            <w:tcW w:w="882" w:type="dxa"/>
            <w:tcBorders>
              <w:top w:val="single" w:color="000000" w:sz="4" w:space="0"/>
              <w:left w:val="single" w:color="000000" w:sz="4" w:space="0"/>
              <w:bottom w:val="single" w:color="000000" w:sz="4" w:space="0"/>
              <w:right w:val="single" w:color="000000" w:sz="4" w:space="0"/>
            </w:tcBorders>
            <w:noWrap w:val="0"/>
            <w:vAlign w:val="center"/>
          </w:tcPr>
          <w:p w14:paraId="245633A6">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10</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0C1FEF6C">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胚胎培养室</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6CD72F87">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65.9</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38C8DDF4">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千级（局部百级）（Ⅰ）</w:t>
            </w:r>
          </w:p>
        </w:tc>
        <w:tc>
          <w:tcPr>
            <w:tcW w:w="2004" w:type="dxa"/>
            <w:vMerge w:val="continue"/>
            <w:tcBorders>
              <w:top w:val="single" w:color="auto" w:sz="4" w:space="0"/>
              <w:left w:val="single" w:color="000000" w:sz="4" w:space="0"/>
              <w:bottom w:val="single" w:color="auto" w:sz="4" w:space="0"/>
              <w:right w:val="single" w:color="000000" w:sz="4" w:space="0"/>
            </w:tcBorders>
            <w:noWrap w:val="0"/>
            <w:vAlign w:val="center"/>
          </w:tcPr>
          <w:p w14:paraId="53F509F1">
            <w:pPr>
              <w:jc w:val="center"/>
              <w:rPr>
                <w:rFonts w:hint="eastAsia" w:ascii="宋体" w:hAnsi="宋体" w:eastAsia="宋体" w:cs="宋体"/>
                <w:sz w:val="20"/>
                <w:szCs w:val="20"/>
              </w:rPr>
            </w:pPr>
          </w:p>
        </w:tc>
        <w:tc>
          <w:tcPr>
            <w:tcW w:w="3137" w:type="dxa"/>
            <w:vMerge w:val="continue"/>
            <w:tcBorders>
              <w:top w:val="single" w:color="auto" w:sz="4" w:space="0"/>
              <w:left w:val="single" w:color="000000" w:sz="4" w:space="0"/>
              <w:bottom w:val="single" w:color="auto" w:sz="4" w:space="0"/>
              <w:right w:val="single" w:color="000000" w:sz="4" w:space="0"/>
            </w:tcBorders>
            <w:noWrap w:val="0"/>
            <w:vAlign w:val="center"/>
          </w:tcPr>
          <w:p w14:paraId="7C576DB6">
            <w:pPr>
              <w:jc w:val="left"/>
              <w:rPr>
                <w:rFonts w:hint="eastAsia" w:ascii="宋体" w:hAnsi="宋体" w:eastAsia="宋体" w:cs="宋体"/>
                <w:sz w:val="20"/>
                <w:szCs w:val="20"/>
              </w:rPr>
            </w:pP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AA808B3">
            <w:pPr>
              <w:widowControl/>
              <w:jc w:val="center"/>
              <w:textAlignment w:val="center"/>
              <w:rPr>
                <w:rFonts w:ascii="宋体" w:hAnsi="宋体" w:eastAsia="宋体" w:cs="宋体"/>
                <w:sz w:val="20"/>
                <w:szCs w:val="20"/>
              </w:rPr>
            </w:pPr>
          </w:p>
        </w:tc>
        <w:tc>
          <w:tcPr>
            <w:tcW w:w="20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87854E">
            <w:pPr>
              <w:jc w:val="center"/>
              <w:rPr>
                <w:rFonts w:hint="eastAsia" w:ascii="宋体" w:hAnsi="宋体" w:eastAsia="宋体" w:cs="宋体"/>
                <w:sz w:val="20"/>
                <w:szCs w:val="20"/>
              </w:rPr>
            </w:pPr>
          </w:p>
        </w:tc>
      </w:tr>
      <w:tr w14:paraId="16A03E1D">
        <w:tblPrEx>
          <w:tblCellMar>
            <w:top w:w="0" w:type="dxa"/>
            <w:left w:w="108" w:type="dxa"/>
            <w:bottom w:w="0" w:type="dxa"/>
            <w:right w:w="108" w:type="dxa"/>
          </w:tblCellMar>
        </w:tblPrEx>
        <w:trPr>
          <w:trHeight w:val="567" w:hRule="atLeast"/>
        </w:trPr>
        <w:tc>
          <w:tcPr>
            <w:tcW w:w="882" w:type="dxa"/>
            <w:tcBorders>
              <w:top w:val="single" w:color="000000" w:sz="4" w:space="0"/>
              <w:left w:val="single" w:color="000000" w:sz="4" w:space="0"/>
              <w:bottom w:val="single" w:color="000000" w:sz="4" w:space="0"/>
              <w:right w:val="single" w:color="000000" w:sz="4" w:space="0"/>
            </w:tcBorders>
            <w:noWrap w:val="0"/>
            <w:vAlign w:val="center"/>
          </w:tcPr>
          <w:p w14:paraId="446A440F">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11</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34A9A63A">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冷冻操作间</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C8296D1">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13</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0BABAE0D">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万</w:t>
            </w:r>
          </w:p>
        </w:tc>
        <w:tc>
          <w:tcPr>
            <w:tcW w:w="2004" w:type="dxa"/>
            <w:vMerge w:val="continue"/>
            <w:tcBorders>
              <w:top w:val="single" w:color="auto" w:sz="4" w:space="0"/>
              <w:left w:val="single" w:color="000000" w:sz="4" w:space="0"/>
              <w:bottom w:val="single" w:color="auto" w:sz="4" w:space="0"/>
              <w:right w:val="single" w:color="000000" w:sz="4" w:space="0"/>
            </w:tcBorders>
            <w:noWrap w:val="0"/>
            <w:vAlign w:val="center"/>
          </w:tcPr>
          <w:p w14:paraId="46825440">
            <w:pPr>
              <w:jc w:val="center"/>
              <w:rPr>
                <w:rFonts w:hint="eastAsia" w:ascii="宋体" w:hAnsi="宋体" w:eastAsia="宋体" w:cs="宋体"/>
                <w:sz w:val="20"/>
                <w:szCs w:val="20"/>
              </w:rPr>
            </w:pPr>
          </w:p>
        </w:tc>
        <w:tc>
          <w:tcPr>
            <w:tcW w:w="3137" w:type="dxa"/>
            <w:vMerge w:val="continue"/>
            <w:tcBorders>
              <w:top w:val="single" w:color="auto" w:sz="4" w:space="0"/>
              <w:left w:val="single" w:color="000000" w:sz="4" w:space="0"/>
              <w:bottom w:val="single" w:color="auto" w:sz="4" w:space="0"/>
              <w:right w:val="single" w:color="000000" w:sz="4" w:space="0"/>
            </w:tcBorders>
            <w:noWrap w:val="0"/>
            <w:vAlign w:val="center"/>
          </w:tcPr>
          <w:p w14:paraId="064D46C4">
            <w:pPr>
              <w:jc w:val="left"/>
              <w:rPr>
                <w:rFonts w:hint="eastAsia" w:ascii="宋体" w:hAnsi="宋体" w:eastAsia="宋体" w:cs="宋体"/>
                <w:sz w:val="20"/>
                <w:szCs w:val="20"/>
              </w:rPr>
            </w:pP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5A449866">
            <w:pPr>
              <w:widowControl/>
              <w:jc w:val="center"/>
              <w:textAlignment w:val="center"/>
              <w:rPr>
                <w:rFonts w:hint="eastAsia" w:ascii="宋体" w:hAnsi="宋体" w:eastAsia="宋体" w:cs="宋体"/>
                <w:sz w:val="20"/>
                <w:szCs w:val="20"/>
              </w:rPr>
            </w:pPr>
          </w:p>
        </w:tc>
        <w:tc>
          <w:tcPr>
            <w:tcW w:w="20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439111">
            <w:pPr>
              <w:jc w:val="center"/>
              <w:rPr>
                <w:rFonts w:hint="eastAsia" w:ascii="宋体" w:hAnsi="宋体" w:eastAsia="宋体" w:cs="宋体"/>
                <w:sz w:val="20"/>
                <w:szCs w:val="20"/>
              </w:rPr>
            </w:pPr>
          </w:p>
        </w:tc>
      </w:tr>
      <w:tr w14:paraId="482796BC">
        <w:tblPrEx>
          <w:tblCellMar>
            <w:top w:w="0" w:type="dxa"/>
            <w:left w:w="108" w:type="dxa"/>
            <w:bottom w:w="0" w:type="dxa"/>
            <w:right w:w="108" w:type="dxa"/>
          </w:tblCellMar>
        </w:tblPrEx>
        <w:trPr>
          <w:trHeight w:val="567" w:hRule="atLeast"/>
        </w:trPr>
        <w:tc>
          <w:tcPr>
            <w:tcW w:w="882" w:type="dxa"/>
            <w:tcBorders>
              <w:top w:val="single" w:color="000000" w:sz="4" w:space="0"/>
              <w:left w:val="single" w:color="000000" w:sz="4" w:space="0"/>
              <w:bottom w:val="single" w:color="000000" w:sz="4" w:space="0"/>
              <w:right w:val="single" w:color="000000" w:sz="4" w:space="0"/>
            </w:tcBorders>
            <w:noWrap w:val="0"/>
            <w:vAlign w:val="center"/>
          </w:tcPr>
          <w:p w14:paraId="114D3431">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12</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6DD5EEE0">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胚胎储存库</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3BE946B">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28.1</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1857235D">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十万</w:t>
            </w:r>
          </w:p>
        </w:tc>
        <w:tc>
          <w:tcPr>
            <w:tcW w:w="2004" w:type="dxa"/>
            <w:vMerge w:val="continue"/>
            <w:tcBorders>
              <w:top w:val="single" w:color="auto" w:sz="4" w:space="0"/>
              <w:left w:val="single" w:color="000000" w:sz="4" w:space="0"/>
              <w:bottom w:val="single" w:color="auto" w:sz="4" w:space="0"/>
              <w:right w:val="single" w:color="000000" w:sz="4" w:space="0"/>
            </w:tcBorders>
            <w:noWrap w:val="0"/>
            <w:vAlign w:val="center"/>
          </w:tcPr>
          <w:p w14:paraId="65AF86EB">
            <w:pPr>
              <w:jc w:val="center"/>
              <w:rPr>
                <w:rFonts w:hint="eastAsia" w:ascii="宋体" w:hAnsi="宋体" w:eastAsia="宋体" w:cs="宋体"/>
                <w:sz w:val="20"/>
                <w:szCs w:val="20"/>
              </w:rPr>
            </w:pPr>
          </w:p>
        </w:tc>
        <w:tc>
          <w:tcPr>
            <w:tcW w:w="3137" w:type="dxa"/>
            <w:vMerge w:val="continue"/>
            <w:tcBorders>
              <w:top w:val="single" w:color="auto" w:sz="4" w:space="0"/>
              <w:left w:val="single" w:color="000000" w:sz="4" w:space="0"/>
              <w:bottom w:val="single" w:color="auto" w:sz="4" w:space="0"/>
              <w:right w:val="single" w:color="000000" w:sz="4" w:space="0"/>
            </w:tcBorders>
            <w:noWrap w:val="0"/>
            <w:vAlign w:val="center"/>
          </w:tcPr>
          <w:p w14:paraId="40A80DF8">
            <w:pPr>
              <w:jc w:val="left"/>
              <w:rPr>
                <w:rFonts w:hint="eastAsia" w:ascii="宋体" w:hAnsi="宋体" w:eastAsia="宋体" w:cs="宋体"/>
                <w:sz w:val="20"/>
                <w:szCs w:val="20"/>
              </w:rPr>
            </w:pP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B4E4DF9">
            <w:pPr>
              <w:widowControl/>
              <w:jc w:val="center"/>
              <w:textAlignment w:val="center"/>
              <w:rPr>
                <w:rFonts w:hint="eastAsia" w:ascii="宋体" w:hAnsi="宋体" w:eastAsia="宋体" w:cs="宋体"/>
                <w:sz w:val="20"/>
                <w:szCs w:val="20"/>
              </w:rPr>
            </w:pPr>
          </w:p>
        </w:tc>
        <w:tc>
          <w:tcPr>
            <w:tcW w:w="20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E8ACA8">
            <w:pPr>
              <w:jc w:val="center"/>
              <w:rPr>
                <w:rFonts w:hint="eastAsia" w:ascii="宋体" w:hAnsi="宋体" w:eastAsia="宋体" w:cs="宋体"/>
                <w:sz w:val="20"/>
                <w:szCs w:val="20"/>
              </w:rPr>
            </w:pPr>
          </w:p>
        </w:tc>
      </w:tr>
      <w:tr w14:paraId="4F54E74E">
        <w:tblPrEx>
          <w:tblCellMar>
            <w:top w:w="0" w:type="dxa"/>
            <w:left w:w="108" w:type="dxa"/>
            <w:bottom w:w="0" w:type="dxa"/>
            <w:right w:w="108" w:type="dxa"/>
          </w:tblCellMar>
        </w:tblPrEx>
        <w:trPr>
          <w:trHeight w:val="567" w:hRule="atLeast"/>
        </w:trPr>
        <w:tc>
          <w:tcPr>
            <w:tcW w:w="882" w:type="dxa"/>
            <w:tcBorders>
              <w:top w:val="single" w:color="000000" w:sz="4" w:space="0"/>
              <w:left w:val="single" w:color="000000" w:sz="4" w:space="0"/>
              <w:bottom w:val="single" w:color="000000" w:sz="4" w:space="0"/>
              <w:right w:val="single" w:color="000000" w:sz="4" w:space="0"/>
            </w:tcBorders>
            <w:noWrap w:val="0"/>
            <w:vAlign w:val="center"/>
          </w:tcPr>
          <w:p w14:paraId="795BB884">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13</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15231811">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洁净走廊</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13B8B8F8">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64</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791F591A">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十万</w:t>
            </w:r>
          </w:p>
        </w:tc>
        <w:tc>
          <w:tcPr>
            <w:tcW w:w="2004" w:type="dxa"/>
            <w:vMerge w:val="continue"/>
            <w:tcBorders>
              <w:top w:val="single" w:color="auto" w:sz="4" w:space="0"/>
              <w:left w:val="single" w:color="000000" w:sz="4" w:space="0"/>
              <w:bottom w:val="single" w:color="auto" w:sz="4" w:space="0"/>
              <w:right w:val="single" w:color="000000" w:sz="4" w:space="0"/>
            </w:tcBorders>
            <w:noWrap w:val="0"/>
            <w:vAlign w:val="center"/>
          </w:tcPr>
          <w:p w14:paraId="02D6C0EF">
            <w:pPr>
              <w:jc w:val="center"/>
              <w:rPr>
                <w:rFonts w:hint="eastAsia" w:ascii="宋体" w:hAnsi="宋体" w:eastAsia="宋体" w:cs="宋体"/>
                <w:sz w:val="20"/>
                <w:szCs w:val="20"/>
              </w:rPr>
            </w:pPr>
          </w:p>
        </w:tc>
        <w:tc>
          <w:tcPr>
            <w:tcW w:w="3137" w:type="dxa"/>
            <w:vMerge w:val="continue"/>
            <w:tcBorders>
              <w:top w:val="single" w:color="auto" w:sz="4" w:space="0"/>
              <w:left w:val="single" w:color="000000" w:sz="4" w:space="0"/>
              <w:bottom w:val="single" w:color="auto" w:sz="4" w:space="0"/>
              <w:right w:val="single" w:color="000000" w:sz="4" w:space="0"/>
            </w:tcBorders>
            <w:noWrap w:val="0"/>
            <w:vAlign w:val="center"/>
          </w:tcPr>
          <w:p w14:paraId="1D5BAA1E">
            <w:pPr>
              <w:jc w:val="left"/>
              <w:rPr>
                <w:rFonts w:hint="eastAsia" w:ascii="宋体" w:hAnsi="宋体" w:eastAsia="宋体" w:cs="宋体"/>
                <w:sz w:val="20"/>
                <w:szCs w:val="20"/>
              </w:rPr>
            </w:pP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3590ACF">
            <w:pPr>
              <w:widowControl/>
              <w:jc w:val="center"/>
              <w:textAlignment w:val="center"/>
              <w:rPr>
                <w:rFonts w:hint="eastAsia" w:ascii="宋体" w:hAnsi="宋体" w:eastAsia="宋体" w:cs="宋体"/>
                <w:sz w:val="20"/>
                <w:szCs w:val="20"/>
              </w:rPr>
            </w:pPr>
          </w:p>
        </w:tc>
        <w:tc>
          <w:tcPr>
            <w:tcW w:w="20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29AEFA">
            <w:pPr>
              <w:jc w:val="center"/>
              <w:rPr>
                <w:rFonts w:hint="eastAsia" w:ascii="宋体" w:hAnsi="宋体" w:eastAsia="宋体" w:cs="宋体"/>
                <w:sz w:val="20"/>
                <w:szCs w:val="20"/>
              </w:rPr>
            </w:pPr>
          </w:p>
        </w:tc>
      </w:tr>
      <w:tr w14:paraId="27F44ABD">
        <w:tblPrEx>
          <w:tblCellMar>
            <w:top w:w="0" w:type="dxa"/>
            <w:left w:w="108" w:type="dxa"/>
            <w:bottom w:w="0" w:type="dxa"/>
            <w:right w:w="108" w:type="dxa"/>
          </w:tblCellMar>
        </w:tblPrEx>
        <w:trPr>
          <w:trHeight w:val="600" w:hRule="atLeast"/>
        </w:trPr>
        <w:tc>
          <w:tcPr>
            <w:tcW w:w="882" w:type="dxa"/>
            <w:tcBorders>
              <w:top w:val="single" w:color="000000" w:sz="4" w:space="0"/>
              <w:left w:val="single" w:color="000000" w:sz="4" w:space="0"/>
              <w:bottom w:val="single" w:color="000000" w:sz="4" w:space="0"/>
              <w:right w:val="single" w:color="000000" w:sz="4" w:space="0"/>
            </w:tcBorders>
            <w:noWrap w:val="0"/>
            <w:vAlign w:val="center"/>
          </w:tcPr>
          <w:p w14:paraId="4B325C5B">
            <w:pPr>
              <w:widowControl/>
              <w:jc w:val="center"/>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14</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100B3FEA">
            <w:pPr>
              <w:widowControl/>
              <w:jc w:val="center"/>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洁净工作台</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2A5B7E09">
            <w:pPr>
              <w:widowControl/>
              <w:jc w:val="center"/>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 xml:space="preserve">数量： </w:t>
            </w:r>
            <w:r>
              <w:rPr>
                <w:rFonts w:hint="default" w:ascii="宋体" w:hAnsi="宋体" w:eastAsia="宋体" w:cs="宋体"/>
                <w:kern w:val="0"/>
                <w:sz w:val="20"/>
                <w:szCs w:val="20"/>
                <w:lang w:val="en-US" w:bidi="ar"/>
              </w:rPr>
              <w:t>1</w:t>
            </w:r>
            <w:r>
              <w:rPr>
                <w:rFonts w:hint="eastAsia" w:ascii="宋体" w:hAnsi="宋体" w:eastAsia="宋体" w:cs="宋体"/>
                <w:kern w:val="0"/>
                <w:sz w:val="20"/>
                <w:szCs w:val="20"/>
                <w:lang w:bidi="ar"/>
              </w:rPr>
              <w:t>台</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7C4763A7">
            <w:pPr>
              <w:widowControl/>
              <w:jc w:val="center"/>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百</w:t>
            </w:r>
          </w:p>
        </w:tc>
        <w:tc>
          <w:tcPr>
            <w:tcW w:w="2004" w:type="dxa"/>
            <w:tcBorders>
              <w:top w:val="single" w:color="auto" w:sz="4" w:space="0"/>
              <w:left w:val="single" w:color="000000" w:sz="4" w:space="0"/>
              <w:bottom w:val="single" w:color="000000" w:sz="4" w:space="0"/>
              <w:right w:val="single" w:color="000000" w:sz="4" w:space="0"/>
            </w:tcBorders>
            <w:noWrap w:val="0"/>
            <w:vAlign w:val="center"/>
          </w:tcPr>
          <w:p w14:paraId="7581173D">
            <w:pPr>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GB 50333-2013《医院洁净手术部建筑技术规范》</w:t>
            </w:r>
          </w:p>
          <w:p w14:paraId="195C1F67">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T/ACSC 01-2022《辅助生殖医学中心建设标准》</w:t>
            </w:r>
          </w:p>
        </w:tc>
        <w:tc>
          <w:tcPr>
            <w:tcW w:w="3137" w:type="dxa"/>
            <w:tcBorders>
              <w:top w:val="single" w:color="auto" w:sz="4" w:space="0"/>
              <w:left w:val="single" w:color="000000" w:sz="4" w:space="0"/>
              <w:bottom w:val="single" w:color="000000" w:sz="4" w:space="0"/>
              <w:right w:val="single" w:color="000000" w:sz="4" w:space="0"/>
            </w:tcBorders>
            <w:noWrap w:val="0"/>
            <w:vAlign w:val="center"/>
          </w:tcPr>
          <w:p w14:paraId="5ADF1962">
            <w:pPr>
              <w:numPr>
                <w:ilvl w:val="0"/>
                <w:numId w:val="3"/>
              </w:numPr>
              <w:jc w:val="left"/>
              <w:rPr>
                <w:rFonts w:hint="eastAsia" w:ascii="宋体" w:hAnsi="宋体" w:eastAsia="宋体" w:cs="宋体"/>
                <w:sz w:val="20"/>
                <w:szCs w:val="20"/>
              </w:rPr>
            </w:pPr>
            <w:r>
              <w:rPr>
                <w:rFonts w:hint="eastAsia" w:ascii="宋体" w:hAnsi="宋体" w:eastAsia="宋体" w:cs="宋体"/>
                <w:sz w:val="20"/>
                <w:szCs w:val="20"/>
              </w:rPr>
              <w:t>洁净度</w:t>
            </w:r>
          </w:p>
          <w:p w14:paraId="7C72CDDE">
            <w:pPr>
              <w:numPr>
                <w:ilvl w:val="0"/>
                <w:numId w:val="3"/>
              </w:numPr>
              <w:jc w:val="left"/>
              <w:rPr>
                <w:rFonts w:ascii="宋体" w:hAnsi="宋体" w:eastAsia="宋体" w:cs="宋体"/>
                <w:sz w:val="20"/>
                <w:szCs w:val="20"/>
              </w:rPr>
            </w:pPr>
            <w:r>
              <w:rPr>
                <w:rFonts w:hint="eastAsia" w:ascii="宋体" w:hAnsi="宋体" w:eastAsia="宋体" w:cs="宋体"/>
                <w:sz w:val="20"/>
                <w:szCs w:val="20"/>
              </w:rPr>
              <w:t>浮游菌</w:t>
            </w:r>
          </w:p>
          <w:p w14:paraId="6CA82BB5">
            <w:pPr>
              <w:numPr>
                <w:ilvl w:val="0"/>
                <w:numId w:val="3"/>
              </w:numPr>
              <w:jc w:val="left"/>
              <w:rPr>
                <w:rFonts w:ascii="宋体" w:hAnsi="宋体" w:eastAsia="宋体" w:cs="宋体"/>
                <w:sz w:val="20"/>
                <w:szCs w:val="20"/>
              </w:rPr>
            </w:pPr>
            <w:r>
              <w:rPr>
                <w:rFonts w:hint="eastAsia" w:ascii="宋体" w:hAnsi="宋体" w:eastAsia="宋体" w:cs="宋体"/>
                <w:sz w:val="20"/>
                <w:szCs w:val="20"/>
              </w:rPr>
              <w:t>沉降菌</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E7DE697">
            <w:pPr>
              <w:widowControl/>
              <w:jc w:val="center"/>
              <w:textAlignment w:val="center"/>
              <w:rPr>
                <w:rFonts w:ascii="宋体" w:hAnsi="宋体" w:eastAsia="宋体" w:cs="宋体"/>
                <w:sz w:val="20"/>
                <w:szCs w:val="20"/>
              </w:rPr>
            </w:pP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551AD74F">
            <w:pPr>
              <w:jc w:val="center"/>
              <w:rPr>
                <w:rFonts w:hint="eastAsia" w:ascii="宋体" w:hAnsi="宋体" w:eastAsia="宋体" w:cs="宋体"/>
                <w:sz w:val="20"/>
                <w:szCs w:val="20"/>
              </w:rPr>
            </w:pPr>
          </w:p>
        </w:tc>
      </w:tr>
      <w:tr w14:paraId="41ACF21F">
        <w:tblPrEx>
          <w:tblCellMar>
            <w:top w:w="0" w:type="dxa"/>
            <w:left w:w="108" w:type="dxa"/>
            <w:bottom w:w="0" w:type="dxa"/>
            <w:right w:w="108" w:type="dxa"/>
          </w:tblCellMar>
        </w:tblPrEx>
        <w:trPr>
          <w:trHeight w:val="600" w:hRule="atLeast"/>
        </w:trPr>
        <w:tc>
          <w:tcPr>
            <w:tcW w:w="882" w:type="dxa"/>
            <w:tcBorders>
              <w:top w:val="single" w:color="000000" w:sz="4" w:space="0"/>
              <w:left w:val="single" w:color="000000" w:sz="4" w:space="0"/>
              <w:bottom w:val="single" w:color="000000" w:sz="4" w:space="0"/>
              <w:right w:val="single" w:color="000000" w:sz="4" w:space="0"/>
            </w:tcBorders>
            <w:noWrap w:val="0"/>
            <w:vAlign w:val="center"/>
          </w:tcPr>
          <w:p w14:paraId="410DA2DF">
            <w:pPr>
              <w:widowControl/>
              <w:jc w:val="center"/>
              <w:textAlignment w:val="center"/>
              <w:rPr>
                <w:rFonts w:hint="default"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15</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4F3861F2">
            <w:pPr>
              <w:widowControl/>
              <w:jc w:val="center"/>
              <w:textAlignment w:val="center"/>
              <w:rPr>
                <w:rFonts w:hint="default"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生物安全柜</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19104D12">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数量：</w:t>
            </w:r>
            <w:r>
              <w:rPr>
                <w:rFonts w:hint="eastAsia" w:ascii="宋体" w:hAnsi="宋体" w:eastAsia="宋体" w:cs="宋体"/>
                <w:kern w:val="0"/>
                <w:sz w:val="20"/>
                <w:szCs w:val="20"/>
                <w:lang w:val="en-US" w:eastAsia="zh-CN" w:bidi="ar"/>
              </w:rPr>
              <w:t>3</w:t>
            </w:r>
            <w:r>
              <w:rPr>
                <w:rFonts w:hint="eastAsia" w:ascii="宋体" w:hAnsi="宋体" w:eastAsia="宋体" w:cs="宋体"/>
                <w:kern w:val="0"/>
                <w:sz w:val="20"/>
                <w:szCs w:val="20"/>
                <w:lang w:bidi="ar"/>
              </w:rPr>
              <w:t>台</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14:paraId="5AD7691E">
            <w:pPr>
              <w:widowControl/>
              <w:jc w:val="center"/>
              <w:textAlignment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w:t>
            </w:r>
          </w:p>
        </w:tc>
        <w:tc>
          <w:tcPr>
            <w:tcW w:w="2004" w:type="dxa"/>
            <w:tcBorders>
              <w:top w:val="single" w:color="auto" w:sz="4" w:space="0"/>
              <w:left w:val="single" w:color="000000" w:sz="4" w:space="0"/>
              <w:bottom w:val="single" w:color="000000" w:sz="4" w:space="0"/>
              <w:right w:val="single" w:color="000000" w:sz="4" w:space="0"/>
            </w:tcBorders>
            <w:noWrap w:val="0"/>
            <w:vAlign w:val="center"/>
          </w:tcPr>
          <w:p w14:paraId="635C8C79">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color w:val="auto"/>
                <w:kern w:val="0"/>
                <w:sz w:val="18"/>
                <w:szCs w:val="18"/>
                <w:lang w:val="en-US" w:eastAsia="zh-CN" w:bidi="ar"/>
              </w:rPr>
              <w:t>GB 41918-2022</w:t>
            </w:r>
            <w:r>
              <w:rPr>
                <w:rFonts w:hint="eastAsia" w:ascii="宋体" w:hAnsi="宋体" w:eastAsia="宋体" w:cs="宋体"/>
                <w:color w:val="auto"/>
                <w:kern w:val="0"/>
                <w:sz w:val="18"/>
                <w:szCs w:val="18"/>
                <w:lang w:eastAsia="zh-CN" w:bidi="ar"/>
              </w:rPr>
              <w:t>《生物安全柜》。</w:t>
            </w:r>
          </w:p>
        </w:tc>
        <w:tc>
          <w:tcPr>
            <w:tcW w:w="3137" w:type="dxa"/>
            <w:tcBorders>
              <w:top w:val="single" w:color="auto" w:sz="4" w:space="0"/>
              <w:left w:val="single" w:color="000000" w:sz="4" w:space="0"/>
              <w:bottom w:val="single" w:color="000000" w:sz="4" w:space="0"/>
              <w:right w:val="single" w:color="000000" w:sz="4" w:space="0"/>
            </w:tcBorders>
            <w:noWrap w:val="0"/>
            <w:vAlign w:val="center"/>
          </w:tcPr>
          <w:p w14:paraId="17860E4C">
            <w:pPr>
              <w:keepNext w:val="0"/>
              <w:keepLines w:val="0"/>
              <w:pageBreakBefore w:val="0"/>
              <w:numPr>
                <w:ilvl w:val="0"/>
                <w:numId w:val="4"/>
              </w:numPr>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外观、</w:t>
            </w:r>
          </w:p>
          <w:p w14:paraId="31EB0C94">
            <w:pPr>
              <w:keepNext w:val="0"/>
              <w:keepLines w:val="0"/>
              <w:pageBreakBefore w:val="0"/>
              <w:numPr>
                <w:ilvl w:val="0"/>
                <w:numId w:val="4"/>
              </w:numPr>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下降气流流速、</w:t>
            </w:r>
          </w:p>
          <w:p w14:paraId="329B9216">
            <w:pPr>
              <w:keepNext w:val="0"/>
              <w:keepLines w:val="0"/>
              <w:pageBreakBefore w:val="0"/>
              <w:numPr>
                <w:ilvl w:val="0"/>
                <w:numId w:val="4"/>
              </w:numPr>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流入气流流速</w:t>
            </w:r>
            <w:r>
              <w:rPr>
                <w:rFonts w:hint="eastAsia" w:ascii="宋体" w:hAnsi="宋体" w:eastAsia="宋体" w:cs="宋体"/>
                <w:color w:val="auto"/>
                <w:sz w:val="18"/>
                <w:szCs w:val="18"/>
                <w:lang w:eastAsia="zh-CN"/>
              </w:rPr>
              <w:t>、</w:t>
            </w:r>
          </w:p>
          <w:p w14:paraId="79D357EB">
            <w:pPr>
              <w:keepNext w:val="0"/>
              <w:keepLines w:val="0"/>
              <w:pageBreakBefore w:val="0"/>
              <w:numPr>
                <w:ilvl w:val="0"/>
                <w:numId w:val="4"/>
              </w:numPr>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高效过滤器完整性、</w:t>
            </w:r>
          </w:p>
          <w:p w14:paraId="1A0A79F5">
            <w:pPr>
              <w:keepNext w:val="0"/>
              <w:keepLines w:val="0"/>
              <w:pageBreakBefore w:val="0"/>
              <w:numPr>
                <w:ilvl w:val="0"/>
                <w:numId w:val="4"/>
              </w:numPr>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气流烟雾模式、</w:t>
            </w:r>
          </w:p>
          <w:p w14:paraId="53FC6670">
            <w:pPr>
              <w:keepNext w:val="0"/>
              <w:keepLines w:val="0"/>
              <w:pageBreakBefore w:val="0"/>
              <w:widowControl/>
              <w:numPr>
                <w:ilvl w:val="0"/>
                <w:numId w:val="4"/>
              </w:numPr>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color w:val="000000"/>
                <w:kern w:val="0"/>
                <w:sz w:val="18"/>
                <w:szCs w:val="18"/>
              </w:rPr>
            </w:pPr>
            <w:r>
              <w:rPr>
                <w:rFonts w:hint="eastAsia" w:ascii="宋体" w:hAnsi="宋体" w:eastAsia="宋体" w:cs="宋体"/>
                <w:color w:val="auto"/>
                <w:sz w:val="18"/>
                <w:szCs w:val="18"/>
              </w:rPr>
              <w:t>照度、</w:t>
            </w:r>
          </w:p>
          <w:p w14:paraId="1EA5686B">
            <w:pPr>
              <w:keepNext w:val="0"/>
              <w:keepLines w:val="0"/>
              <w:pageBreakBefore w:val="0"/>
              <w:widowControl/>
              <w:numPr>
                <w:ilvl w:val="0"/>
                <w:numId w:val="4"/>
              </w:numPr>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sz w:val="20"/>
                <w:szCs w:val="20"/>
              </w:rPr>
            </w:pPr>
            <w:r>
              <w:rPr>
                <w:rFonts w:hint="eastAsia" w:ascii="宋体" w:hAnsi="宋体" w:eastAsia="宋体" w:cs="宋体"/>
                <w:color w:val="auto"/>
                <w:sz w:val="18"/>
                <w:szCs w:val="18"/>
              </w:rPr>
              <w:t>噪声</w:t>
            </w:r>
            <w:r>
              <w:rPr>
                <w:rFonts w:hint="eastAsia" w:ascii="宋体" w:hAnsi="宋体" w:eastAsia="宋体" w:cs="宋体"/>
                <w:color w:val="auto"/>
                <w:sz w:val="18"/>
                <w:szCs w:val="18"/>
                <w:lang w:eastAsia="zh-CN"/>
              </w:rPr>
              <w:t>。</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2960939D">
            <w:pPr>
              <w:widowControl/>
              <w:jc w:val="center"/>
              <w:textAlignment w:val="center"/>
              <w:rPr>
                <w:rFonts w:hint="default" w:ascii="宋体" w:hAnsi="宋体" w:eastAsia="宋体" w:cs="宋体"/>
                <w:sz w:val="20"/>
                <w:szCs w:val="20"/>
                <w:lang w:val="en-US" w:eastAsia="zh-CN"/>
              </w:rPr>
            </w:pP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229FB26B">
            <w:pPr>
              <w:jc w:val="center"/>
              <w:rPr>
                <w:rFonts w:hint="default" w:ascii="宋体" w:hAnsi="宋体" w:eastAsia="宋体" w:cs="宋体"/>
                <w:sz w:val="20"/>
                <w:szCs w:val="20"/>
                <w:lang w:val="en-US" w:eastAsia="zh-CN"/>
              </w:rPr>
            </w:pPr>
          </w:p>
        </w:tc>
      </w:tr>
      <w:tr w14:paraId="62C47498">
        <w:tblPrEx>
          <w:tblCellMar>
            <w:top w:w="0" w:type="dxa"/>
            <w:left w:w="108" w:type="dxa"/>
            <w:bottom w:w="0" w:type="dxa"/>
            <w:right w:w="108" w:type="dxa"/>
          </w:tblCellMar>
        </w:tblPrEx>
        <w:trPr>
          <w:trHeight w:val="317" w:hRule="atLeast"/>
        </w:trPr>
        <w:tc>
          <w:tcPr>
            <w:tcW w:w="882" w:type="dxa"/>
            <w:tcBorders>
              <w:top w:val="nil"/>
              <w:left w:val="nil"/>
              <w:bottom w:val="nil"/>
              <w:right w:val="nil"/>
            </w:tcBorders>
            <w:noWrap w:val="0"/>
            <w:vAlign w:val="center"/>
          </w:tcPr>
          <w:p w14:paraId="53D115F5">
            <w:pPr>
              <w:rPr>
                <w:rFonts w:hint="eastAsia" w:ascii="宋体" w:hAnsi="宋体" w:eastAsia="宋体" w:cs="宋体"/>
                <w:sz w:val="20"/>
                <w:szCs w:val="20"/>
              </w:rPr>
            </w:pPr>
          </w:p>
        </w:tc>
        <w:tc>
          <w:tcPr>
            <w:tcW w:w="1458" w:type="dxa"/>
            <w:tcBorders>
              <w:top w:val="nil"/>
              <w:left w:val="nil"/>
              <w:bottom w:val="nil"/>
              <w:right w:val="nil"/>
            </w:tcBorders>
            <w:noWrap w:val="0"/>
            <w:vAlign w:val="center"/>
          </w:tcPr>
          <w:p w14:paraId="6372895A">
            <w:pPr>
              <w:rPr>
                <w:rFonts w:hint="eastAsia" w:ascii="宋体" w:hAnsi="宋体" w:eastAsia="宋体" w:cs="宋体"/>
                <w:sz w:val="20"/>
                <w:szCs w:val="20"/>
              </w:rPr>
            </w:pPr>
          </w:p>
        </w:tc>
        <w:tc>
          <w:tcPr>
            <w:tcW w:w="1532" w:type="dxa"/>
            <w:tcBorders>
              <w:top w:val="nil"/>
              <w:left w:val="nil"/>
              <w:bottom w:val="nil"/>
              <w:right w:val="nil"/>
            </w:tcBorders>
            <w:noWrap w:val="0"/>
            <w:vAlign w:val="center"/>
          </w:tcPr>
          <w:p w14:paraId="0065EFF8">
            <w:pPr>
              <w:rPr>
                <w:rFonts w:hint="eastAsia" w:ascii="宋体" w:hAnsi="宋体" w:eastAsia="宋体" w:cs="宋体"/>
                <w:sz w:val="20"/>
                <w:szCs w:val="20"/>
              </w:rPr>
            </w:pPr>
          </w:p>
        </w:tc>
        <w:tc>
          <w:tcPr>
            <w:tcW w:w="1487" w:type="dxa"/>
            <w:tcBorders>
              <w:top w:val="nil"/>
              <w:left w:val="nil"/>
              <w:bottom w:val="nil"/>
              <w:right w:val="nil"/>
            </w:tcBorders>
            <w:noWrap w:val="0"/>
            <w:vAlign w:val="center"/>
          </w:tcPr>
          <w:p w14:paraId="7F94E1F2">
            <w:pPr>
              <w:rPr>
                <w:rFonts w:hint="eastAsia" w:ascii="宋体" w:hAnsi="宋体" w:eastAsia="宋体" w:cs="宋体"/>
                <w:sz w:val="20"/>
                <w:szCs w:val="20"/>
              </w:rPr>
            </w:pPr>
          </w:p>
        </w:tc>
        <w:tc>
          <w:tcPr>
            <w:tcW w:w="2004" w:type="dxa"/>
            <w:tcBorders>
              <w:top w:val="nil"/>
              <w:left w:val="nil"/>
              <w:bottom w:val="nil"/>
              <w:right w:val="nil"/>
            </w:tcBorders>
            <w:noWrap w:val="0"/>
            <w:vAlign w:val="center"/>
          </w:tcPr>
          <w:p w14:paraId="224CCAB7">
            <w:pPr>
              <w:rPr>
                <w:rFonts w:hint="eastAsia" w:ascii="宋体" w:hAnsi="宋体" w:eastAsia="宋体" w:cs="宋体"/>
                <w:sz w:val="20"/>
                <w:szCs w:val="20"/>
              </w:rPr>
            </w:pPr>
          </w:p>
        </w:tc>
        <w:tc>
          <w:tcPr>
            <w:tcW w:w="3137" w:type="dxa"/>
            <w:tcBorders>
              <w:top w:val="nil"/>
              <w:left w:val="nil"/>
              <w:bottom w:val="nil"/>
              <w:right w:val="nil"/>
            </w:tcBorders>
            <w:noWrap w:val="0"/>
            <w:vAlign w:val="center"/>
          </w:tcPr>
          <w:p w14:paraId="59E50EE8">
            <w:pPr>
              <w:rPr>
                <w:rFonts w:hint="eastAsia" w:ascii="宋体" w:hAnsi="宋体" w:eastAsia="宋体" w:cs="宋体"/>
                <w:sz w:val="20"/>
                <w:szCs w:val="20"/>
              </w:rPr>
            </w:pPr>
          </w:p>
        </w:tc>
        <w:tc>
          <w:tcPr>
            <w:tcW w:w="1377" w:type="dxa"/>
            <w:tcBorders>
              <w:top w:val="nil"/>
              <w:left w:val="nil"/>
              <w:bottom w:val="nil"/>
              <w:right w:val="nil"/>
            </w:tcBorders>
            <w:noWrap w:val="0"/>
            <w:vAlign w:val="center"/>
          </w:tcPr>
          <w:p w14:paraId="3D9822A1">
            <w:pPr>
              <w:rPr>
                <w:rFonts w:hint="eastAsia" w:ascii="宋体" w:hAnsi="宋体" w:eastAsia="宋体" w:cs="宋体"/>
                <w:sz w:val="20"/>
                <w:szCs w:val="20"/>
              </w:rPr>
            </w:pPr>
          </w:p>
        </w:tc>
        <w:tc>
          <w:tcPr>
            <w:tcW w:w="2059" w:type="dxa"/>
            <w:tcBorders>
              <w:top w:val="nil"/>
              <w:left w:val="nil"/>
              <w:bottom w:val="nil"/>
              <w:right w:val="nil"/>
            </w:tcBorders>
            <w:noWrap w:val="0"/>
            <w:vAlign w:val="center"/>
          </w:tcPr>
          <w:p w14:paraId="0FDBD2DF">
            <w:pPr>
              <w:rPr>
                <w:rFonts w:hint="eastAsia" w:ascii="宋体" w:hAnsi="宋体" w:eastAsia="宋体" w:cs="宋体"/>
                <w:sz w:val="20"/>
                <w:szCs w:val="20"/>
              </w:rPr>
            </w:pPr>
          </w:p>
        </w:tc>
      </w:tr>
      <w:tr w14:paraId="5715CED3">
        <w:tblPrEx>
          <w:tblCellMar>
            <w:top w:w="0" w:type="dxa"/>
            <w:left w:w="108" w:type="dxa"/>
            <w:bottom w:w="0" w:type="dxa"/>
            <w:right w:w="108" w:type="dxa"/>
          </w:tblCellMar>
        </w:tblPrEx>
        <w:trPr>
          <w:trHeight w:val="698" w:hRule="atLeast"/>
        </w:trPr>
        <w:tc>
          <w:tcPr>
            <w:tcW w:w="882" w:type="dxa"/>
            <w:tcBorders>
              <w:top w:val="single" w:color="000000" w:sz="4" w:space="0"/>
              <w:left w:val="single" w:color="000000" w:sz="4" w:space="0"/>
              <w:bottom w:val="single" w:color="000000" w:sz="4" w:space="0"/>
              <w:right w:val="single" w:color="000000" w:sz="4" w:space="0"/>
            </w:tcBorders>
            <w:noWrap w:val="0"/>
            <w:vAlign w:val="center"/>
          </w:tcPr>
          <w:p w14:paraId="059E4947">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序号</w:t>
            </w:r>
          </w:p>
        </w:tc>
        <w:tc>
          <w:tcPr>
            <w:tcW w:w="1458" w:type="dxa"/>
            <w:tcBorders>
              <w:top w:val="single" w:color="000000" w:sz="4" w:space="0"/>
              <w:left w:val="single" w:color="000000" w:sz="4" w:space="0"/>
              <w:bottom w:val="single" w:color="auto" w:sz="4" w:space="0"/>
              <w:right w:val="single" w:color="000000" w:sz="4" w:space="0"/>
            </w:tcBorders>
            <w:noWrap w:val="0"/>
            <w:vAlign w:val="center"/>
          </w:tcPr>
          <w:p w14:paraId="55A45FBA">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房间名称</w:t>
            </w:r>
          </w:p>
        </w:tc>
        <w:tc>
          <w:tcPr>
            <w:tcW w:w="1532" w:type="dxa"/>
            <w:tcBorders>
              <w:top w:val="single" w:color="000000" w:sz="4" w:space="0"/>
              <w:left w:val="single" w:color="000000" w:sz="4" w:space="0"/>
              <w:bottom w:val="single" w:color="auto" w:sz="4" w:space="0"/>
              <w:right w:val="single" w:color="000000" w:sz="4" w:space="0"/>
            </w:tcBorders>
            <w:noWrap w:val="0"/>
            <w:vAlign w:val="center"/>
          </w:tcPr>
          <w:p w14:paraId="4A3732B1">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lang w:bidi="ar"/>
              </w:rPr>
              <w:t>面积</w:t>
            </w:r>
            <w:r>
              <w:rPr>
                <w:rFonts w:hint="eastAsia" w:ascii="宋体" w:hAnsi="宋体" w:eastAsia="宋体" w:cs="宋体"/>
                <w:kern w:val="0"/>
                <w:sz w:val="20"/>
                <w:szCs w:val="20"/>
                <w:lang w:eastAsia="zh-CN" w:bidi="ar"/>
              </w:rPr>
              <w:t>（</w:t>
            </w:r>
            <w:r>
              <w:rPr>
                <w:rFonts w:hint="eastAsia" w:ascii="宋体" w:hAnsi="宋体" w:eastAsia="宋体" w:cs="宋体"/>
                <w:kern w:val="0"/>
                <w:sz w:val="20"/>
                <w:szCs w:val="20"/>
                <w:lang w:val="en-US" w:eastAsia="zh-CN" w:bidi="ar"/>
              </w:rPr>
              <w:t>㎡</w:t>
            </w:r>
            <w:r>
              <w:rPr>
                <w:rFonts w:hint="eastAsia" w:ascii="宋体" w:hAnsi="宋体" w:eastAsia="宋体" w:cs="宋体"/>
                <w:kern w:val="0"/>
                <w:sz w:val="20"/>
                <w:szCs w:val="20"/>
                <w:lang w:eastAsia="zh-CN" w:bidi="ar"/>
              </w:rPr>
              <w:t>）</w:t>
            </w:r>
          </w:p>
        </w:tc>
        <w:tc>
          <w:tcPr>
            <w:tcW w:w="1487" w:type="dxa"/>
            <w:tcBorders>
              <w:top w:val="single" w:color="000000" w:sz="4" w:space="0"/>
              <w:left w:val="single" w:color="000000" w:sz="4" w:space="0"/>
              <w:bottom w:val="single" w:color="auto" w:sz="4" w:space="0"/>
              <w:right w:val="single" w:color="000000" w:sz="4" w:space="0"/>
            </w:tcBorders>
            <w:noWrap w:val="0"/>
            <w:vAlign w:val="center"/>
          </w:tcPr>
          <w:p w14:paraId="48649D04">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类别</w:t>
            </w:r>
          </w:p>
        </w:tc>
        <w:tc>
          <w:tcPr>
            <w:tcW w:w="2004" w:type="dxa"/>
            <w:tcBorders>
              <w:top w:val="single" w:color="000000" w:sz="4" w:space="0"/>
              <w:left w:val="single" w:color="000000" w:sz="4" w:space="0"/>
              <w:bottom w:val="single" w:color="auto" w:sz="4" w:space="0"/>
              <w:right w:val="single" w:color="000000" w:sz="4" w:space="0"/>
            </w:tcBorders>
            <w:noWrap w:val="0"/>
            <w:vAlign w:val="center"/>
          </w:tcPr>
          <w:p w14:paraId="69396D9E">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判定标准</w:t>
            </w:r>
          </w:p>
        </w:tc>
        <w:tc>
          <w:tcPr>
            <w:tcW w:w="3137" w:type="dxa"/>
            <w:tcBorders>
              <w:top w:val="single" w:color="000000" w:sz="4" w:space="0"/>
              <w:left w:val="single" w:color="000000" w:sz="4" w:space="0"/>
              <w:bottom w:val="single" w:color="auto" w:sz="4" w:space="0"/>
              <w:right w:val="single" w:color="000000" w:sz="4" w:space="0"/>
            </w:tcBorders>
            <w:noWrap w:val="0"/>
            <w:vAlign w:val="center"/>
          </w:tcPr>
          <w:p w14:paraId="2D21FB37">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检测内容</w:t>
            </w:r>
          </w:p>
        </w:tc>
        <w:tc>
          <w:tcPr>
            <w:tcW w:w="1377" w:type="dxa"/>
            <w:tcBorders>
              <w:top w:val="single" w:color="000000" w:sz="4" w:space="0"/>
              <w:left w:val="single" w:color="000000" w:sz="4" w:space="0"/>
              <w:bottom w:val="single" w:color="auto" w:sz="4" w:space="0"/>
              <w:right w:val="single" w:color="000000" w:sz="4" w:space="0"/>
            </w:tcBorders>
            <w:noWrap w:val="0"/>
            <w:vAlign w:val="center"/>
          </w:tcPr>
          <w:p w14:paraId="281F8AA2">
            <w:pPr>
              <w:widowControl/>
              <w:jc w:val="center"/>
              <w:textAlignment w:val="center"/>
              <w:rPr>
                <w:rFonts w:hint="eastAsia" w:ascii="宋体" w:hAnsi="宋体" w:eastAsia="宋体" w:cs="宋体"/>
                <w:sz w:val="20"/>
                <w:szCs w:val="20"/>
              </w:rPr>
            </w:pPr>
          </w:p>
        </w:tc>
        <w:tc>
          <w:tcPr>
            <w:tcW w:w="2059" w:type="dxa"/>
            <w:tcBorders>
              <w:top w:val="single" w:color="000000" w:sz="4" w:space="0"/>
              <w:left w:val="single" w:color="000000" w:sz="4" w:space="0"/>
              <w:bottom w:val="single" w:color="auto" w:sz="4" w:space="0"/>
              <w:right w:val="single" w:color="000000" w:sz="4" w:space="0"/>
            </w:tcBorders>
            <w:noWrap w:val="0"/>
            <w:vAlign w:val="center"/>
          </w:tcPr>
          <w:p w14:paraId="48774ADA">
            <w:pPr>
              <w:widowControl/>
              <w:jc w:val="center"/>
              <w:textAlignment w:val="center"/>
              <w:rPr>
                <w:rFonts w:hint="eastAsia" w:ascii="宋体" w:hAnsi="宋体" w:eastAsia="宋体" w:cs="宋体"/>
                <w:sz w:val="20"/>
                <w:szCs w:val="20"/>
              </w:rPr>
            </w:pPr>
          </w:p>
        </w:tc>
      </w:tr>
      <w:tr w14:paraId="020F17D3">
        <w:tblPrEx>
          <w:tblCellMar>
            <w:top w:w="0" w:type="dxa"/>
            <w:left w:w="108" w:type="dxa"/>
            <w:bottom w:w="0" w:type="dxa"/>
            <w:right w:w="108" w:type="dxa"/>
          </w:tblCellMar>
        </w:tblPrEx>
        <w:trPr>
          <w:trHeight w:val="567" w:hRule="atLeast"/>
        </w:trPr>
        <w:tc>
          <w:tcPr>
            <w:tcW w:w="882" w:type="dxa"/>
            <w:tcBorders>
              <w:top w:val="single" w:color="000000" w:sz="4" w:space="0"/>
              <w:left w:val="single" w:color="000000" w:sz="4" w:space="0"/>
              <w:bottom w:val="single" w:color="000000" w:sz="4" w:space="0"/>
              <w:right w:val="single" w:color="auto" w:sz="4" w:space="0"/>
            </w:tcBorders>
            <w:noWrap w:val="0"/>
            <w:vAlign w:val="center"/>
          </w:tcPr>
          <w:p w14:paraId="2986A06C">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1</w:t>
            </w:r>
          </w:p>
        </w:tc>
        <w:tc>
          <w:tcPr>
            <w:tcW w:w="1458" w:type="dxa"/>
            <w:tcBorders>
              <w:top w:val="single" w:color="auto" w:sz="4" w:space="0"/>
              <w:left w:val="single" w:color="auto" w:sz="4" w:space="0"/>
              <w:bottom w:val="single" w:color="auto" w:sz="4" w:space="0"/>
              <w:right w:val="single" w:color="auto" w:sz="4" w:space="0"/>
            </w:tcBorders>
            <w:noWrap w:val="0"/>
            <w:vAlign w:val="center"/>
          </w:tcPr>
          <w:p w14:paraId="37E49237">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取卵室</w:t>
            </w:r>
          </w:p>
        </w:tc>
        <w:tc>
          <w:tcPr>
            <w:tcW w:w="1532" w:type="dxa"/>
            <w:tcBorders>
              <w:top w:val="single" w:color="auto" w:sz="4" w:space="0"/>
              <w:left w:val="single" w:color="auto" w:sz="4" w:space="0"/>
              <w:bottom w:val="single" w:color="auto" w:sz="4" w:space="0"/>
              <w:right w:val="single" w:color="auto" w:sz="4" w:space="0"/>
            </w:tcBorders>
            <w:noWrap w:val="0"/>
            <w:vAlign w:val="center"/>
          </w:tcPr>
          <w:p w14:paraId="5E0EE3EC">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26</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01F8859">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Ⅰ</w:t>
            </w:r>
          </w:p>
        </w:tc>
        <w:tc>
          <w:tcPr>
            <w:tcW w:w="2004" w:type="dxa"/>
            <w:vMerge w:val="restart"/>
            <w:tcBorders>
              <w:top w:val="single" w:color="auto" w:sz="4" w:space="0"/>
              <w:left w:val="single" w:color="auto" w:sz="4" w:space="0"/>
              <w:bottom w:val="single" w:color="auto" w:sz="4" w:space="0"/>
              <w:right w:val="single" w:color="auto" w:sz="4" w:space="0"/>
            </w:tcBorders>
            <w:noWrap w:val="0"/>
            <w:vAlign w:val="center"/>
          </w:tcPr>
          <w:p w14:paraId="5C04FF7D">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《人类辅助生殖技术规范》、</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GB 15982-2012《医院消毒卫生标准》</w:t>
            </w:r>
          </w:p>
        </w:tc>
        <w:tc>
          <w:tcPr>
            <w:tcW w:w="3137" w:type="dxa"/>
            <w:vMerge w:val="restart"/>
            <w:tcBorders>
              <w:top w:val="single" w:color="auto" w:sz="4" w:space="0"/>
              <w:left w:val="single" w:color="auto" w:sz="4" w:space="0"/>
              <w:bottom w:val="single" w:color="auto" w:sz="4" w:space="0"/>
              <w:right w:val="single" w:color="auto" w:sz="4" w:space="0"/>
            </w:tcBorders>
            <w:noWrap w:val="0"/>
            <w:vAlign w:val="center"/>
          </w:tcPr>
          <w:p w14:paraId="50FAD9E6">
            <w:pPr>
              <w:widowControl/>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1、空气细菌菌落数、</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2、物体表面细菌菌落数</w:t>
            </w:r>
          </w:p>
        </w:tc>
        <w:tc>
          <w:tcPr>
            <w:tcW w:w="1377" w:type="dxa"/>
            <w:tcBorders>
              <w:top w:val="single" w:color="auto" w:sz="4" w:space="0"/>
              <w:left w:val="single" w:color="auto" w:sz="4" w:space="0"/>
              <w:bottom w:val="single" w:color="auto" w:sz="4" w:space="0"/>
              <w:right w:val="single" w:color="auto" w:sz="4" w:space="0"/>
            </w:tcBorders>
            <w:noWrap w:val="0"/>
            <w:vAlign w:val="center"/>
          </w:tcPr>
          <w:p w14:paraId="188051D0">
            <w:pPr>
              <w:widowControl/>
              <w:jc w:val="center"/>
              <w:textAlignment w:val="center"/>
              <w:rPr>
                <w:rFonts w:hint="eastAsia" w:ascii="宋体" w:hAnsi="宋体" w:eastAsia="宋体" w:cs="宋体"/>
                <w:sz w:val="20"/>
                <w:szCs w:val="20"/>
              </w:rPr>
            </w:pPr>
          </w:p>
        </w:tc>
        <w:tc>
          <w:tcPr>
            <w:tcW w:w="2059" w:type="dxa"/>
            <w:vMerge w:val="restart"/>
            <w:tcBorders>
              <w:top w:val="single" w:color="auto" w:sz="4" w:space="0"/>
              <w:left w:val="single" w:color="auto" w:sz="4" w:space="0"/>
              <w:bottom w:val="single" w:color="auto" w:sz="4" w:space="0"/>
              <w:right w:val="single" w:color="auto" w:sz="4" w:space="0"/>
            </w:tcBorders>
            <w:noWrap w:val="0"/>
            <w:vAlign w:val="center"/>
          </w:tcPr>
          <w:p w14:paraId="344709C9">
            <w:pPr>
              <w:widowControl/>
              <w:jc w:val="center"/>
              <w:textAlignment w:val="center"/>
              <w:rPr>
                <w:rFonts w:hint="eastAsia" w:ascii="宋体" w:hAnsi="宋体" w:eastAsia="宋体" w:cs="宋体"/>
                <w:sz w:val="20"/>
                <w:szCs w:val="20"/>
              </w:rPr>
            </w:pPr>
          </w:p>
        </w:tc>
      </w:tr>
      <w:tr w14:paraId="3C85FA89">
        <w:tblPrEx>
          <w:tblCellMar>
            <w:top w:w="0" w:type="dxa"/>
            <w:left w:w="108" w:type="dxa"/>
            <w:bottom w:w="0" w:type="dxa"/>
            <w:right w:w="108" w:type="dxa"/>
          </w:tblCellMar>
        </w:tblPrEx>
        <w:trPr>
          <w:trHeight w:val="567" w:hRule="atLeast"/>
        </w:trPr>
        <w:tc>
          <w:tcPr>
            <w:tcW w:w="882" w:type="dxa"/>
            <w:tcBorders>
              <w:top w:val="single" w:color="000000" w:sz="4" w:space="0"/>
              <w:left w:val="single" w:color="000000" w:sz="4" w:space="0"/>
              <w:bottom w:val="single" w:color="000000" w:sz="4" w:space="0"/>
              <w:right w:val="single" w:color="auto" w:sz="4" w:space="0"/>
            </w:tcBorders>
            <w:noWrap w:val="0"/>
            <w:vAlign w:val="center"/>
          </w:tcPr>
          <w:p w14:paraId="3527ABA4">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2</w:t>
            </w:r>
          </w:p>
        </w:tc>
        <w:tc>
          <w:tcPr>
            <w:tcW w:w="1458" w:type="dxa"/>
            <w:tcBorders>
              <w:top w:val="single" w:color="auto" w:sz="4" w:space="0"/>
              <w:left w:val="single" w:color="auto" w:sz="4" w:space="0"/>
              <w:bottom w:val="single" w:color="auto" w:sz="4" w:space="0"/>
              <w:right w:val="single" w:color="auto" w:sz="4" w:space="0"/>
            </w:tcBorders>
            <w:noWrap w:val="0"/>
            <w:vAlign w:val="center"/>
          </w:tcPr>
          <w:p w14:paraId="716457D0">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移植室</w:t>
            </w:r>
          </w:p>
        </w:tc>
        <w:tc>
          <w:tcPr>
            <w:tcW w:w="1532" w:type="dxa"/>
            <w:tcBorders>
              <w:top w:val="single" w:color="auto" w:sz="4" w:space="0"/>
              <w:left w:val="single" w:color="auto" w:sz="4" w:space="0"/>
              <w:bottom w:val="single" w:color="auto" w:sz="4" w:space="0"/>
              <w:right w:val="single" w:color="auto" w:sz="4" w:space="0"/>
            </w:tcBorders>
            <w:noWrap w:val="0"/>
            <w:vAlign w:val="center"/>
          </w:tcPr>
          <w:p w14:paraId="21CCEA2A">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16.3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D6B5594">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Ⅰ</w:t>
            </w:r>
          </w:p>
        </w:tc>
        <w:tc>
          <w:tcPr>
            <w:tcW w:w="2004" w:type="dxa"/>
            <w:vMerge w:val="continue"/>
            <w:tcBorders>
              <w:top w:val="single" w:color="auto" w:sz="4" w:space="0"/>
              <w:left w:val="single" w:color="auto" w:sz="4" w:space="0"/>
              <w:bottom w:val="single" w:color="auto" w:sz="4" w:space="0"/>
              <w:right w:val="single" w:color="auto" w:sz="4" w:space="0"/>
            </w:tcBorders>
            <w:noWrap w:val="0"/>
            <w:vAlign w:val="center"/>
          </w:tcPr>
          <w:p w14:paraId="16220497">
            <w:pPr>
              <w:jc w:val="center"/>
              <w:rPr>
                <w:rFonts w:hint="eastAsia" w:ascii="宋体" w:hAnsi="宋体" w:eastAsia="宋体" w:cs="宋体"/>
                <w:sz w:val="20"/>
                <w:szCs w:val="20"/>
              </w:rPr>
            </w:pPr>
          </w:p>
        </w:tc>
        <w:tc>
          <w:tcPr>
            <w:tcW w:w="3137" w:type="dxa"/>
            <w:vMerge w:val="continue"/>
            <w:tcBorders>
              <w:top w:val="single" w:color="auto" w:sz="4" w:space="0"/>
              <w:left w:val="single" w:color="auto" w:sz="4" w:space="0"/>
              <w:bottom w:val="single" w:color="auto" w:sz="4" w:space="0"/>
              <w:right w:val="single" w:color="auto" w:sz="4" w:space="0"/>
            </w:tcBorders>
            <w:noWrap w:val="0"/>
            <w:vAlign w:val="center"/>
          </w:tcPr>
          <w:p w14:paraId="5E3040C6">
            <w:pPr>
              <w:jc w:val="left"/>
              <w:rPr>
                <w:rFonts w:hint="eastAsia" w:ascii="宋体" w:hAnsi="宋体" w:eastAsia="宋体" w:cs="宋体"/>
                <w:sz w:val="20"/>
                <w:szCs w:val="20"/>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14:paraId="074AC122">
            <w:pPr>
              <w:widowControl/>
              <w:jc w:val="center"/>
              <w:textAlignment w:val="center"/>
              <w:rPr>
                <w:rFonts w:hint="eastAsia" w:ascii="宋体" w:hAnsi="宋体" w:eastAsia="宋体" w:cs="宋体"/>
                <w:sz w:val="20"/>
                <w:szCs w:val="20"/>
              </w:rPr>
            </w:pPr>
          </w:p>
        </w:tc>
        <w:tc>
          <w:tcPr>
            <w:tcW w:w="2059" w:type="dxa"/>
            <w:vMerge w:val="continue"/>
            <w:tcBorders>
              <w:top w:val="single" w:color="auto" w:sz="4" w:space="0"/>
              <w:left w:val="single" w:color="auto" w:sz="4" w:space="0"/>
              <w:bottom w:val="single" w:color="auto" w:sz="4" w:space="0"/>
              <w:right w:val="single" w:color="auto" w:sz="4" w:space="0"/>
            </w:tcBorders>
            <w:noWrap w:val="0"/>
            <w:vAlign w:val="center"/>
          </w:tcPr>
          <w:p w14:paraId="045B6332">
            <w:pPr>
              <w:jc w:val="center"/>
              <w:rPr>
                <w:rFonts w:hint="eastAsia" w:ascii="宋体" w:hAnsi="宋体" w:eastAsia="宋体" w:cs="宋体"/>
                <w:sz w:val="20"/>
                <w:szCs w:val="20"/>
              </w:rPr>
            </w:pPr>
          </w:p>
        </w:tc>
      </w:tr>
      <w:tr w14:paraId="58A00792">
        <w:tblPrEx>
          <w:tblCellMar>
            <w:top w:w="0" w:type="dxa"/>
            <w:left w:w="108" w:type="dxa"/>
            <w:bottom w:w="0" w:type="dxa"/>
            <w:right w:w="108" w:type="dxa"/>
          </w:tblCellMar>
        </w:tblPrEx>
        <w:trPr>
          <w:trHeight w:val="567" w:hRule="atLeast"/>
        </w:trPr>
        <w:tc>
          <w:tcPr>
            <w:tcW w:w="882" w:type="dxa"/>
            <w:tcBorders>
              <w:top w:val="single" w:color="000000" w:sz="4" w:space="0"/>
              <w:left w:val="single" w:color="000000" w:sz="4" w:space="0"/>
              <w:bottom w:val="single" w:color="000000" w:sz="4" w:space="0"/>
              <w:right w:val="single" w:color="auto" w:sz="4" w:space="0"/>
            </w:tcBorders>
            <w:noWrap w:val="0"/>
            <w:vAlign w:val="center"/>
          </w:tcPr>
          <w:p w14:paraId="25E61B48">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3</w:t>
            </w:r>
          </w:p>
        </w:tc>
        <w:tc>
          <w:tcPr>
            <w:tcW w:w="1458" w:type="dxa"/>
            <w:tcBorders>
              <w:top w:val="single" w:color="auto" w:sz="4" w:space="0"/>
              <w:left w:val="single" w:color="auto" w:sz="4" w:space="0"/>
              <w:bottom w:val="single" w:color="auto" w:sz="4" w:space="0"/>
              <w:right w:val="single" w:color="auto" w:sz="4" w:space="0"/>
            </w:tcBorders>
            <w:noWrap w:val="0"/>
            <w:vAlign w:val="center"/>
          </w:tcPr>
          <w:p w14:paraId="7C24A461">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人工授精室</w:t>
            </w:r>
          </w:p>
        </w:tc>
        <w:tc>
          <w:tcPr>
            <w:tcW w:w="1532" w:type="dxa"/>
            <w:tcBorders>
              <w:top w:val="single" w:color="auto" w:sz="4" w:space="0"/>
              <w:left w:val="single" w:color="auto" w:sz="4" w:space="0"/>
              <w:bottom w:val="single" w:color="auto" w:sz="4" w:space="0"/>
              <w:right w:val="single" w:color="auto" w:sz="4" w:space="0"/>
            </w:tcBorders>
            <w:noWrap w:val="0"/>
            <w:vAlign w:val="center"/>
          </w:tcPr>
          <w:p w14:paraId="67A962B3">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20.5</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674AEA4">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Ⅰ</w:t>
            </w:r>
          </w:p>
        </w:tc>
        <w:tc>
          <w:tcPr>
            <w:tcW w:w="2004" w:type="dxa"/>
            <w:vMerge w:val="continue"/>
            <w:tcBorders>
              <w:top w:val="single" w:color="auto" w:sz="4" w:space="0"/>
              <w:left w:val="single" w:color="auto" w:sz="4" w:space="0"/>
              <w:bottom w:val="single" w:color="auto" w:sz="4" w:space="0"/>
              <w:right w:val="single" w:color="auto" w:sz="4" w:space="0"/>
            </w:tcBorders>
            <w:noWrap w:val="0"/>
            <w:vAlign w:val="center"/>
          </w:tcPr>
          <w:p w14:paraId="06713EDF">
            <w:pPr>
              <w:jc w:val="center"/>
              <w:rPr>
                <w:rFonts w:hint="eastAsia" w:ascii="宋体" w:hAnsi="宋体" w:eastAsia="宋体" w:cs="宋体"/>
                <w:sz w:val="20"/>
                <w:szCs w:val="20"/>
              </w:rPr>
            </w:pPr>
          </w:p>
        </w:tc>
        <w:tc>
          <w:tcPr>
            <w:tcW w:w="3137" w:type="dxa"/>
            <w:vMerge w:val="continue"/>
            <w:tcBorders>
              <w:top w:val="single" w:color="auto" w:sz="4" w:space="0"/>
              <w:left w:val="single" w:color="auto" w:sz="4" w:space="0"/>
              <w:bottom w:val="single" w:color="auto" w:sz="4" w:space="0"/>
              <w:right w:val="single" w:color="auto" w:sz="4" w:space="0"/>
            </w:tcBorders>
            <w:noWrap w:val="0"/>
            <w:vAlign w:val="center"/>
          </w:tcPr>
          <w:p w14:paraId="68CF5568">
            <w:pPr>
              <w:jc w:val="left"/>
              <w:rPr>
                <w:rFonts w:hint="eastAsia" w:ascii="宋体" w:hAnsi="宋体" w:eastAsia="宋体" w:cs="宋体"/>
                <w:sz w:val="20"/>
                <w:szCs w:val="20"/>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14:paraId="245A612C">
            <w:pPr>
              <w:widowControl/>
              <w:jc w:val="center"/>
              <w:textAlignment w:val="center"/>
              <w:rPr>
                <w:rFonts w:hint="eastAsia" w:ascii="宋体" w:hAnsi="宋体" w:eastAsia="宋体" w:cs="宋体"/>
                <w:sz w:val="20"/>
                <w:szCs w:val="20"/>
              </w:rPr>
            </w:pPr>
          </w:p>
        </w:tc>
        <w:tc>
          <w:tcPr>
            <w:tcW w:w="2059" w:type="dxa"/>
            <w:vMerge w:val="continue"/>
            <w:tcBorders>
              <w:top w:val="single" w:color="auto" w:sz="4" w:space="0"/>
              <w:left w:val="single" w:color="auto" w:sz="4" w:space="0"/>
              <w:bottom w:val="single" w:color="auto" w:sz="4" w:space="0"/>
              <w:right w:val="single" w:color="auto" w:sz="4" w:space="0"/>
            </w:tcBorders>
            <w:noWrap w:val="0"/>
            <w:vAlign w:val="center"/>
          </w:tcPr>
          <w:p w14:paraId="2F57B01F">
            <w:pPr>
              <w:jc w:val="center"/>
              <w:rPr>
                <w:rFonts w:hint="eastAsia" w:ascii="宋体" w:hAnsi="宋体" w:eastAsia="宋体" w:cs="宋体"/>
                <w:sz w:val="20"/>
                <w:szCs w:val="20"/>
              </w:rPr>
            </w:pPr>
          </w:p>
        </w:tc>
      </w:tr>
      <w:tr w14:paraId="6191BCAA">
        <w:tblPrEx>
          <w:tblCellMar>
            <w:top w:w="0" w:type="dxa"/>
            <w:left w:w="108" w:type="dxa"/>
            <w:bottom w:w="0" w:type="dxa"/>
            <w:right w:w="108" w:type="dxa"/>
          </w:tblCellMar>
        </w:tblPrEx>
        <w:trPr>
          <w:trHeight w:val="567" w:hRule="atLeast"/>
        </w:trPr>
        <w:tc>
          <w:tcPr>
            <w:tcW w:w="882" w:type="dxa"/>
            <w:tcBorders>
              <w:top w:val="single" w:color="000000" w:sz="4" w:space="0"/>
              <w:left w:val="single" w:color="000000" w:sz="4" w:space="0"/>
              <w:bottom w:val="single" w:color="000000" w:sz="4" w:space="0"/>
              <w:right w:val="single" w:color="auto" w:sz="4" w:space="0"/>
            </w:tcBorders>
            <w:noWrap w:val="0"/>
            <w:vAlign w:val="center"/>
          </w:tcPr>
          <w:p w14:paraId="5A44E570">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4</w:t>
            </w:r>
          </w:p>
        </w:tc>
        <w:tc>
          <w:tcPr>
            <w:tcW w:w="1458" w:type="dxa"/>
            <w:tcBorders>
              <w:top w:val="single" w:color="auto" w:sz="4" w:space="0"/>
              <w:left w:val="single" w:color="auto" w:sz="4" w:space="0"/>
              <w:bottom w:val="single" w:color="auto" w:sz="4" w:space="0"/>
              <w:right w:val="single" w:color="auto" w:sz="4" w:space="0"/>
            </w:tcBorders>
            <w:noWrap w:val="0"/>
            <w:vAlign w:val="center"/>
          </w:tcPr>
          <w:p w14:paraId="2F707330">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人工授精实验室</w:t>
            </w:r>
          </w:p>
        </w:tc>
        <w:tc>
          <w:tcPr>
            <w:tcW w:w="1532" w:type="dxa"/>
            <w:tcBorders>
              <w:top w:val="single" w:color="auto" w:sz="4" w:space="0"/>
              <w:left w:val="single" w:color="auto" w:sz="4" w:space="0"/>
              <w:bottom w:val="single" w:color="auto" w:sz="4" w:space="0"/>
              <w:right w:val="single" w:color="auto" w:sz="4" w:space="0"/>
            </w:tcBorders>
            <w:noWrap w:val="0"/>
            <w:vAlign w:val="center"/>
          </w:tcPr>
          <w:p w14:paraId="3C863DD9">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20.3</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5A5270D">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Ⅰ</w:t>
            </w:r>
          </w:p>
        </w:tc>
        <w:tc>
          <w:tcPr>
            <w:tcW w:w="2004" w:type="dxa"/>
            <w:vMerge w:val="continue"/>
            <w:tcBorders>
              <w:top w:val="single" w:color="auto" w:sz="4" w:space="0"/>
              <w:left w:val="single" w:color="auto" w:sz="4" w:space="0"/>
              <w:bottom w:val="single" w:color="auto" w:sz="4" w:space="0"/>
              <w:right w:val="single" w:color="auto" w:sz="4" w:space="0"/>
            </w:tcBorders>
            <w:noWrap w:val="0"/>
            <w:vAlign w:val="center"/>
          </w:tcPr>
          <w:p w14:paraId="5A82F253">
            <w:pPr>
              <w:jc w:val="center"/>
              <w:rPr>
                <w:rFonts w:hint="eastAsia" w:ascii="宋体" w:hAnsi="宋体" w:eastAsia="宋体" w:cs="宋体"/>
                <w:sz w:val="20"/>
                <w:szCs w:val="20"/>
              </w:rPr>
            </w:pPr>
          </w:p>
        </w:tc>
        <w:tc>
          <w:tcPr>
            <w:tcW w:w="3137" w:type="dxa"/>
            <w:vMerge w:val="continue"/>
            <w:tcBorders>
              <w:top w:val="single" w:color="auto" w:sz="4" w:space="0"/>
              <w:left w:val="single" w:color="auto" w:sz="4" w:space="0"/>
              <w:bottom w:val="single" w:color="auto" w:sz="4" w:space="0"/>
              <w:right w:val="single" w:color="auto" w:sz="4" w:space="0"/>
            </w:tcBorders>
            <w:noWrap w:val="0"/>
            <w:vAlign w:val="center"/>
          </w:tcPr>
          <w:p w14:paraId="4EEEFED4">
            <w:pPr>
              <w:jc w:val="left"/>
              <w:rPr>
                <w:rFonts w:hint="eastAsia" w:ascii="宋体" w:hAnsi="宋体" w:eastAsia="宋体" w:cs="宋体"/>
                <w:sz w:val="20"/>
                <w:szCs w:val="20"/>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14:paraId="5382ED45">
            <w:pPr>
              <w:widowControl/>
              <w:jc w:val="center"/>
              <w:textAlignment w:val="center"/>
              <w:rPr>
                <w:rFonts w:hint="eastAsia" w:ascii="宋体" w:hAnsi="宋体" w:eastAsia="宋体" w:cs="宋体"/>
                <w:sz w:val="20"/>
                <w:szCs w:val="20"/>
              </w:rPr>
            </w:pPr>
          </w:p>
        </w:tc>
        <w:tc>
          <w:tcPr>
            <w:tcW w:w="2059" w:type="dxa"/>
            <w:vMerge w:val="continue"/>
            <w:tcBorders>
              <w:top w:val="single" w:color="auto" w:sz="4" w:space="0"/>
              <w:left w:val="single" w:color="auto" w:sz="4" w:space="0"/>
              <w:bottom w:val="single" w:color="auto" w:sz="4" w:space="0"/>
              <w:right w:val="single" w:color="auto" w:sz="4" w:space="0"/>
            </w:tcBorders>
            <w:noWrap w:val="0"/>
            <w:vAlign w:val="center"/>
          </w:tcPr>
          <w:p w14:paraId="699DF1FD">
            <w:pPr>
              <w:jc w:val="center"/>
              <w:rPr>
                <w:rFonts w:hint="eastAsia" w:ascii="宋体" w:hAnsi="宋体" w:eastAsia="宋体" w:cs="宋体"/>
                <w:sz w:val="20"/>
                <w:szCs w:val="20"/>
              </w:rPr>
            </w:pPr>
          </w:p>
        </w:tc>
      </w:tr>
      <w:tr w14:paraId="65374312">
        <w:tblPrEx>
          <w:tblCellMar>
            <w:top w:w="0" w:type="dxa"/>
            <w:left w:w="108" w:type="dxa"/>
            <w:bottom w:w="0" w:type="dxa"/>
            <w:right w:w="108" w:type="dxa"/>
          </w:tblCellMar>
        </w:tblPrEx>
        <w:trPr>
          <w:trHeight w:val="567" w:hRule="atLeast"/>
        </w:trPr>
        <w:tc>
          <w:tcPr>
            <w:tcW w:w="882" w:type="dxa"/>
            <w:tcBorders>
              <w:top w:val="single" w:color="000000" w:sz="4" w:space="0"/>
              <w:left w:val="single" w:color="000000" w:sz="4" w:space="0"/>
              <w:bottom w:val="single" w:color="000000" w:sz="4" w:space="0"/>
              <w:right w:val="single" w:color="auto" w:sz="4" w:space="0"/>
            </w:tcBorders>
            <w:noWrap w:val="0"/>
            <w:vAlign w:val="center"/>
          </w:tcPr>
          <w:p w14:paraId="7F2F383F">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5</w:t>
            </w:r>
          </w:p>
        </w:tc>
        <w:tc>
          <w:tcPr>
            <w:tcW w:w="1458" w:type="dxa"/>
            <w:tcBorders>
              <w:top w:val="single" w:color="auto" w:sz="4" w:space="0"/>
              <w:left w:val="single" w:color="auto" w:sz="4" w:space="0"/>
              <w:bottom w:val="single" w:color="auto" w:sz="4" w:space="0"/>
              <w:right w:val="single" w:color="auto" w:sz="4" w:space="0"/>
            </w:tcBorders>
            <w:noWrap w:val="0"/>
            <w:vAlign w:val="center"/>
          </w:tcPr>
          <w:p w14:paraId="169A7D6C">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精液处理室</w:t>
            </w:r>
          </w:p>
        </w:tc>
        <w:tc>
          <w:tcPr>
            <w:tcW w:w="1532" w:type="dxa"/>
            <w:tcBorders>
              <w:top w:val="single" w:color="auto" w:sz="4" w:space="0"/>
              <w:left w:val="single" w:color="auto" w:sz="4" w:space="0"/>
              <w:bottom w:val="single" w:color="auto" w:sz="4" w:space="0"/>
              <w:right w:val="single" w:color="auto" w:sz="4" w:space="0"/>
            </w:tcBorders>
            <w:noWrap w:val="0"/>
            <w:vAlign w:val="center"/>
          </w:tcPr>
          <w:p w14:paraId="04A6CC96">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21.7</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186F069">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Ⅰ</w:t>
            </w:r>
          </w:p>
        </w:tc>
        <w:tc>
          <w:tcPr>
            <w:tcW w:w="2004" w:type="dxa"/>
            <w:vMerge w:val="continue"/>
            <w:tcBorders>
              <w:top w:val="single" w:color="auto" w:sz="4" w:space="0"/>
              <w:left w:val="single" w:color="auto" w:sz="4" w:space="0"/>
              <w:bottom w:val="single" w:color="auto" w:sz="4" w:space="0"/>
              <w:right w:val="single" w:color="auto" w:sz="4" w:space="0"/>
            </w:tcBorders>
            <w:noWrap w:val="0"/>
            <w:vAlign w:val="center"/>
          </w:tcPr>
          <w:p w14:paraId="28218520">
            <w:pPr>
              <w:jc w:val="center"/>
              <w:rPr>
                <w:rFonts w:hint="eastAsia" w:ascii="宋体" w:hAnsi="宋体" w:eastAsia="宋体" w:cs="宋体"/>
                <w:sz w:val="20"/>
                <w:szCs w:val="20"/>
              </w:rPr>
            </w:pPr>
          </w:p>
        </w:tc>
        <w:tc>
          <w:tcPr>
            <w:tcW w:w="3137" w:type="dxa"/>
            <w:vMerge w:val="continue"/>
            <w:tcBorders>
              <w:top w:val="single" w:color="auto" w:sz="4" w:space="0"/>
              <w:left w:val="single" w:color="auto" w:sz="4" w:space="0"/>
              <w:bottom w:val="single" w:color="auto" w:sz="4" w:space="0"/>
              <w:right w:val="single" w:color="auto" w:sz="4" w:space="0"/>
            </w:tcBorders>
            <w:noWrap w:val="0"/>
            <w:vAlign w:val="center"/>
          </w:tcPr>
          <w:p w14:paraId="6F54421B">
            <w:pPr>
              <w:jc w:val="left"/>
              <w:rPr>
                <w:rFonts w:hint="eastAsia" w:ascii="宋体" w:hAnsi="宋体" w:eastAsia="宋体" w:cs="宋体"/>
                <w:sz w:val="20"/>
                <w:szCs w:val="20"/>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14:paraId="4E590784">
            <w:pPr>
              <w:widowControl/>
              <w:jc w:val="center"/>
              <w:textAlignment w:val="center"/>
              <w:rPr>
                <w:rFonts w:hint="eastAsia" w:ascii="宋体" w:hAnsi="宋体" w:eastAsia="宋体" w:cs="宋体"/>
                <w:sz w:val="20"/>
                <w:szCs w:val="20"/>
              </w:rPr>
            </w:pPr>
          </w:p>
        </w:tc>
        <w:tc>
          <w:tcPr>
            <w:tcW w:w="2059" w:type="dxa"/>
            <w:vMerge w:val="continue"/>
            <w:tcBorders>
              <w:top w:val="single" w:color="auto" w:sz="4" w:space="0"/>
              <w:left w:val="single" w:color="auto" w:sz="4" w:space="0"/>
              <w:bottom w:val="single" w:color="auto" w:sz="4" w:space="0"/>
              <w:right w:val="single" w:color="auto" w:sz="4" w:space="0"/>
            </w:tcBorders>
            <w:noWrap w:val="0"/>
            <w:vAlign w:val="center"/>
          </w:tcPr>
          <w:p w14:paraId="23ACCE39">
            <w:pPr>
              <w:jc w:val="center"/>
              <w:rPr>
                <w:rFonts w:hint="eastAsia" w:ascii="宋体" w:hAnsi="宋体" w:eastAsia="宋体" w:cs="宋体"/>
                <w:sz w:val="20"/>
                <w:szCs w:val="20"/>
              </w:rPr>
            </w:pPr>
          </w:p>
        </w:tc>
      </w:tr>
      <w:tr w14:paraId="773C5695">
        <w:tblPrEx>
          <w:tblCellMar>
            <w:top w:w="0" w:type="dxa"/>
            <w:left w:w="108" w:type="dxa"/>
            <w:bottom w:w="0" w:type="dxa"/>
            <w:right w:w="108" w:type="dxa"/>
          </w:tblCellMar>
        </w:tblPrEx>
        <w:trPr>
          <w:trHeight w:val="567" w:hRule="atLeast"/>
        </w:trPr>
        <w:tc>
          <w:tcPr>
            <w:tcW w:w="882" w:type="dxa"/>
            <w:tcBorders>
              <w:top w:val="single" w:color="000000" w:sz="4" w:space="0"/>
              <w:left w:val="single" w:color="000000" w:sz="4" w:space="0"/>
              <w:bottom w:val="single" w:color="000000" w:sz="4" w:space="0"/>
              <w:right w:val="single" w:color="auto" w:sz="4" w:space="0"/>
            </w:tcBorders>
            <w:noWrap w:val="0"/>
            <w:vAlign w:val="center"/>
          </w:tcPr>
          <w:p w14:paraId="5EEAE1A2">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w:t>
            </w:r>
          </w:p>
        </w:tc>
        <w:tc>
          <w:tcPr>
            <w:tcW w:w="1458" w:type="dxa"/>
            <w:tcBorders>
              <w:top w:val="single" w:color="auto" w:sz="4" w:space="0"/>
              <w:left w:val="single" w:color="auto" w:sz="4" w:space="0"/>
              <w:bottom w:val="single" w:color="auto" w:sz="4" w:space="0"/>
              <w:right w:val="single" w:color="auto" w:sz="4" w:space="0"/>
            </w:tcBorders>
            <w:noWrap w:val="0"/>
            <w:vAlign w:val="center"/>
          </w:tcPr>
          <w:p w14:paraId="4D0081C1">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胚胎培养室</w:t>
            </w:r>
          </w:p>
        </w:tc>
        <w:tc>
          <w:tcPr>
            <w:tcW w:w="1532" w:type="dxa"/>
            <w:tcBorders>
              <w:top w:val="single" w:color="auto" w:sz="4" w:space="0"/>
              <w:left w:val="single" w:color="auto" w:sz="4" w:space="0"/>
              <w:bottom w:val="single" w:color="auto" w:sz="4" w:space="0"/>
              <w:right w:val="single" w:color="auto" w:sz="4" w:space="0"/>
            </w:tcBorders>
            <w:noWrap w:val="0"/>
            <w:vAlign w:val="center"/>
          </w:tcPr>
          <w:p w14:paraId="679ADF7B">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65.9</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BF76CAD">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Ⅰ</w:t>
            </w:r>
          </w:p>
        </w:tc>
        <w:tc>
          <w:tcPr>
            <w:tcW w:w="2004" w:type="dxa"/>
            <w:vMerge w:val="continue"/>
            <w:tcBorders>
              <w:top w:val="single" w:color="auto" w:sz="4" w:space="0"/>
              <w:left w:val="single" w:color="auto" w:sz="4" w:space="0"/>
              <w:bottom w:val="single" w:color="auto" w:sz="4" w:space="0"/>
              <w:right w:val="single" w:color="auto" w:sz="4" w:space="0"/>
            </w:tcBorders>
            <w:noWrap w:val="0"/>
            <w:vAlign w:val="center"/>
          </w:tcPr>
          <w:p w14:paraId="4AD5899E">
            <w:pPr>
              <w:jc w:val="center"/>
              <w:rPr>
                <w:rFonts w:hint="eastAsia" w:ascii="宋体" w:hAnsi="宋体" w:eastAsia="宋体" w:cs="宋体"/>
                <w:sz w:val="20"/>
                <w:szCs w:val="20"/>
              </w:rPr>
            </w:pPr>
          </w:p>
        </w:tc>
        <w:tc>
          <w:tcPr>
            <w:tcW w:w="3137" w:type="dxa"/>
            <w:vMerge w:val="continue"/>
            <w:tcBorders>
              <w:top w:val="single" w:color="auto" w:sz="4" w:space="0"/>
              <w:left w:val="single" w:color="auto" w:sz="4" w:space="0"/>
              <w:bottom w:val="single" w:color="auto" w:sz="4" w:space="0"/>
              <w:right w:val="single" w:color="auto" w:sz="4" w:space="0"/>
            </w:tcBorders>
            <w:noWrap w:val="0"/>
            <w:vAlign w:val="center"/>
          </w:tcPr>
          <w:p w14:paraId="1282DA45">
            <w:pPr>
              <w:jc w:val="left"/>
              <w:rPr>
                <w:rFonts w:hint="eastAsia" w:ascii="宋体" w:hAnsi="宋体" w:eastAsia="宋体" w:cs="宋体"/>
                <w:sz w:val="20"/>
                <w:szCs w:val="20"/>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14:paraId="694652CE">
            <w:pPr>
              <w:widowControl/>
              <w:jc w:val="center"/>
              <w:textAlignment w:val="center"/>
              <w:rPr>
                <w:rFonts w:hint="eastAsia" w:ascii="宋体" w:hAnsi="宋体" w:eastAsia="宋体" w:cs="宋体"/>
                <w:sz w:val="20"/>
                <w:szCs w:val="20"/>
              </w:rPr>
            </w:pPr>
          </w:p>
        </w:tc>
        <w:tc>
          <w:tcPr>
            <w:tcW w:w="2059" w:type="dxa"/>
            <w:vMerge w:val="continue"/>
            <w:tcBorders>
              <w:top w:val="single" w:color="auto" w:sz="4" w:space="0"/>
              <w:left w:val="single" w:color="auto" w:sz="4" w:space="0"/>
              <w:bottom w:val="single" w:color="auto" w:sz="4" w:space="0"/>
              <w:right w:val="single" w:color="auto" w:sz="4" w:space="0"/>
            </w:tcBorders>
            <w:noWrap w:val="0"/>
            <w:vAlign w:val="center"/>
          </w:tcPr>
          <w:p w14:paraId="2FA53F96">
            <w:pPr>
              <w:jc w:val="center"/>
              <w:rPr>
                <w:rFonts w:hint="eastAsia" w:ascii="宋体" w:hAnsi="宋体" w:eastAsia="宋体" w:cs="宋体"/>
                <w:sz w:val="20"/>
                <w:szCs w:val="20"/>
              </w:rPr>
            </w:pPr>
          </w:p>
        </w:tc>
      </w:tr>
      <w:tr w14:paraId="64888898">
        <w:tblPrEx>
          <w:tblCellMar>
            <w:top w:w="0" w:type="dxa"/>
            <w:left w:w="108" w:type="dxa"/>
            <w:bottom w:w="0" w:type="dxa"/>
            <w:right w:w="108" w:type="dxa"/>
          </w:tblCellMar>
        </w:tblPrEx>
        <w:trPr>
          <w:trHeight w:val="567" w:hRule="atLeast"/>
        </w:trPr>
        <w:tc>
          <w:tcPr>
            <w:tcW w:w="882" w:type="dxa"/>
            <w:tcBorders>
              <w:top w:val="single" w:color="000000" w:sz="4" w:space="0"/>
              <w:left w:val="single" w:color="000000" w:sz="4" w:space="0"/>
              <w:bottom w:val="single" w:color="000000" w:sz="4" w:space="0"/>
              <w:right w:val="single" w:color="auto" w:sz="4" w:space="0"/>
            </w:tcBorders>
            <w:noWrap w:val="0"/>
            <w:vAlign w:val="center"/>
          </w:tcPr>
          <w:p w14:paraId="5053726C">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7</w:t>
            </w:r>
          </w:p>
        </w:tc>
        <w:tc>
          <w:tcPr>
            <w:tcW w:w="1458" w:type="dxa"/>
            <w:tcBorders>
              <w:top w:val="single" w:color="auto" w:sz="4" w:space="0"/>
              <w:left w:val="single" w:color="auto" w:sz="4" w:space="0"/>
              <w:bottom w:val="single" w:color="auto" w:sz="4" w:space="0"/>
              <w:right w:val="single" w:color="auto" w:sz="4" w:space="0"/>
            </w:tcBorders>
            <w:noWrap w:val="0"/>
            <w:vAlign w:val="center"/>
          </w:tcPr>
          <w:p w14:paraId="4B818BAA">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B超室</w:t>
            </w:r>
          </w:p>
        </w:tc>
        <w:tc>
          <w:tcPr>
            <w:tcW w:w="1532" w:type="dxa"/>
            <w:tcBorders>
              <w:top w:val="single" w:color="auto" w:sz="4" w:space="0"/>
              <w:left w:val="single" w:color="auto" w:sz="4" w:space="0"/>
              <w:bottom w:val="single" w:color="auto" w:sz="4" w:space="0"/>
              <w:right w:val="single" w:color="auto" w:sz="4" w:space="0"/>
            </w:tcBorders>
            <w:noWrap w:val="0"/>
            <w:vAlign w:val="center"/>
          </w:tcPr>
          <w:p w14:paraId="5CC79749">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2间</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B0C467B">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Ⅲ</w:t>
            </w:r>
          </w:p>
        </w:tc>
        <w:tc>
          <w:tcPr>
            <w:tcW w:w="2004" w:type="dxa"/>
            <w:vMerge w:val="continue"/>
            <w:tcBorders>
              <w:top w:val="single" w:color="auto" w:sz="4" w:space="0"/>
              <w:left w:val="single" w:color="auto" w:sz="4" w:space="0"/>
              <w:bottom w:val="single" w:color="auto" w:sz="4" w:space="0"/>
              <w:right w:val="single" w:color="auto" w:sz="4" w:space="0"/>
            </w:tcBorders>
            <w:noWrap w:val="0"/>
            <w:vAlign w:val="center"/>
          </w:tcPr>
          <w:p w14:paraId="47D60896">
            <w:pPr>
              <w:jc w:val="center"/>
              <w:rPr>
                <w:rFonts w:hint="eastAsia" w:ascii="宋体" w:hAnsi="宋体" w:eastAsia="宋体" w:cs="宋体"/>
                <w:sz w:val="20"/>
                <w:szCs w:val="20"/>
              </w:rPr>
            </w:pPr>
          </w:p>
        </w:tc>
        <w:tc>
          <w:tcPr>
            <w:tcW w:w="3137" w:type="dxa"/>
            <w:vMerge w:val="continue"/>
            <w:tcBorders>
              <w:top w:val="single" w:color="auto" w:sz="4" w:space="0"/>
              <w:left w:val="single" w:color="auto" w:sz="4" w:space="0"/>
              <w:bottom w:val="single" w:color="auto" w:sz="4" w:space="0"/>
              <w:right w:val="single" w:color="auto" w:sz="4" w:space="0"/>
            </w:tcBorders>
            <w:noWrap w:val="0"/>
            <w:vAlign w:val="center"/>
          </w:tcPr>
          <w:p w14:paraId="04AD2CAD">
            <w:pPr>
              <w:jc w:val="left"/>
              <w:rPr>
                <w:rFonts w:hint="eastAsia" w:ascii="宋体" w:hAnsi="宋体" w:eastAsia="宋体" w:cs="宋体"/>
                <w:sz w:val="20"/>
                <w:szCs w:val="20"/>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14:paraId="52CB58D2">
            <w:pPr>
              <w:widowControl/>
              <w:jc w:val="center"/>
              <w:textAlignment w:val="center"/>
              <w:rPr>
                <w:rFonts w:hint="eastAsia" w:ascii="宋体" w:hAnsi="宋体" w:eastAsia="宋体" w:cs="宋体"/>
                <w:sz w:val="20"/>
                <w:szCs w:val="20"/>
              </w:rPr>
            </w:pPr>
          </w:p>
        </w:tc>
        <w:tc>
          <w:tcPr>
            <w:tcW w:w="2059" w:type="dxa"/>
            <w:vMerge w:val="continue"/>
            <w:tcBorders>
              <w:top w:val="single" w:color="auto" w:sz="4" w:space="0"/>
              <w:left w:val="single" w:color="auto" w:sz="4" w:space="0"/>
              <w:bottom w:val="single" w:color="auto" w:sz="4" w:space="0"/>
              <w:right w:val="single" w:color="auto" w:sz="4" w:space="0"/>
            </w:tcBorders>
            <w:noWrap w:val="0"/>
            <w:vAlign w:val="center"/>
          </w:tcPr>
          <w:p w14:paraId="2231C582">
            <w:pPr>
              <w:jc w:val="center"/>
              <w:rPr>
                <w:rFonts w:hint="eastAsia" w:ascii="宋体" w:hAnsi="宋体" w:eastAsia="宋体" w:cs="宋体"/>
                <w:sz w:val="20"/>
                <w:szCs w:val="20"/>
              </w:rPr>
            </w:pPr>
          </w:p>
        </w:tc>
      </w:tr>
      <w:tr w14:paraId="6CCC31C8">
        <w:tblPrEx>
          <w:tblCellMar>
            <w:top w:w="0" w:type="dxa"/>
            <w:left w:w="108" w:type="dxa"/>
            <w:bottom w:w="0" w:type="dxa"/>
            <w:right w:w="108" w:type="dxa"/>
          </w:tblCellMar>
        </w:tblPrEx>
        <w:trPr>
          <w:trHeight w:val="567" w:hRule="atLeast"/>
        </w:trPr>
        <w:tc>
          <w:tcPr>
            <w:tcW w:w="2340" w:type="dxa"/>
            <w:gridSpan w:val="2"/>
            <w:tcBorders>
              <w:top w:val="single" w:color="000000" w:sz="4" w:space="0"/>
              <w:left w:val="single" w:color="000000" w:sz="4" w:space="0"/>
              <w:bottom w:val="single" w:color="000000" w:sz="4" w:space="0"/>
              <w:right w:val="single" w:color="auto" w:sz="4" w:space="0"/>
            </w:tcBorders>
            <w:noWrap w:val="0"/>
            <w:vAlign w:val="center"/>
          </w:tcPr>
          <w:p w14:paraId="7A76C81E">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val="en-US" w:eastAsia="zh-CN" w:bidi="ar"/>
              </w:rPr>
              <w:t>合计（元）</w:t>
            </w:r>
          </w:p>
        </w:tc>
        <w:tc>
          <w:tcPr>
            <w:tcW w:w="11596" w:type="dxa"/>
            <w:gridSpan w:val="6"/>
            <w:tcBorders>
              <w:top w:val="single" w:color="auto" w:sz="4" w:space="0"/>
              <w:left w:val="single" w:color="auto" w:sz="4" w:space="0"/>
              <w:bottom w:val="single" w:color="auto" w:sz="4" w:space="0"/>
              <w:right w:val="single" w:color="auto" w:sz="4" w:space="0"/>
            </w:tcBorders>
            <w:noWrap w:val="0"/>
            <w:vAlign w:val="center"/>
          </w:tcPr>
          <w:p w14:paraId="239B61F6">
            <w:pPr>
              <w:jc w:val="center"/>
              <w:rPr>
                <w:rFonts w:hint="eastAsia" w:ascii="宋体" w:hAnsi="宋体" w:eastAsia="宋体" w:cs="宋体"/>
                <w:sz w:val="20"/>
                <w:szCs w:val="20"/>
              </w:rPr>
            </w:pPr>
          </w:p>
        </w:tc>
      </w:tr>
    </w:tbl>
    <w:p w14:paraId="053CBA64"/>
    <w:p w14:paraId="7F71AC71">
      <w:pPr>
        <w:rPr>
          <w:rFonts w:hint="default"/>
          <w:lang w:val="en-US" w:eastAsia="zh-CN"/>
        </w:rPr>
      </w:pPr>
    </w:p>
    <w:sectPr>
      <w:pgSz w:w="16840" w:h="11905" w:orient="landscape"/>
      <w:pgMar w:top="1800" w:right="1440" w:bottom="180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22B4ED4-2B23-4C06-8BA7-66C4097CC2D3}"/>
  </w:font>
  <w:font w:name="方正仿宋_GB2312">
    <w:panose1 w:val="02000000000000000000"/>
    <w:charset w:val="86"/>
    <w:family w:val="auto"/>
    <w:pitch w:val="default"/>
    <w:sig w:usb0="A00002BF" w:usb1="184F6CFA" w:usb2="00000012" w:usb3="00000000" w:csb0="00040001" w:csb1="00000000"/>
    <w:embedRegular r:id="rId2" w:fontKey="{D9DEF8BD-5A49-4F3A-8508-9157AB7C13BD}"/>
  </w:font>
  <w:font w:name="仿宋">
    <w:panose1 w:val="02010609060101010101"/>
    <w:charset w:val="86"/>
    <w:family w:val="auto"/>
    <w:pitch w:val="default"/>
    <w:sig w:usb0="800002BF" w:usb1="38CF7CFA" w:usb2="00000016" w:usb3="00000000" w:csb0="00040001" w:csb1="00000000"/>
    <w:embedRegular r:id="rId3" w:fontKey="{F5492086-75A1-46B4-97FB-75B269BEAA93}"/>
  </w:font>
  <w:font w:name="仿宋_GB2312">
    <w:altName w:val="仿宋"/>
    <w:panose1 w:val="02010609030101010101"/>
    <w:charset w:val="86"/>
    <w:family w:val="modern"/>
    <w:pitch w:val="default"/>
    <w:sig w:usb0="00000000" w:usb1="00000000" w:usb2="00000000" w:usb3="00000000" w:csb0="00040000" w:csb1="00000000"/>
    <w:embedRegular r:id="rId4" w:fontKey="{B067BE18-3C69-437E-9A91-A1D9C71DE017}"/>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B794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E1B0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1"/>
      <w:numFmt w:val="decimal"/>
      <w:suff w:val="nothing"/>
      <w:lvlText w:val="%1、"/>
      <w:lvlJc w:val="left"/>
    </w:lvl>
  </w:abstractNum>
  <w:abstractNum w:abstractNumId="2">
    <w:nsid w:val="00000003"/>
    <w:multiLevelType w:val="singleLevel"/>
    <w:tmpl w:val="00000003"/>
    <w:lvl w:ilvl="0" w:tentative="0">
      <w:start w:val="1"/>
      <w:numFmt w:val="decimal"/>
      <w:suff w:val="nothing"/>
      <w:lvlText w:val="%1、"/>
      <w:lvlJc w:val="left"/>
    </w:lvl>
  </w:abstractNum>
  <w:abstractNum w:abstractNumId="3">
    <w:nsid w:val="00000004"/>
    <w:multiLevelType w:val="singleLevel"/>
    <w:tmpl w:val="00000004"/>
    <w:lvl w:ilvl="0" w:tentative="0">
      <w:start w:val="1"/>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compat>
    <w:useFELayout/>
    <w:splitPgBreakAndParaMark/>
    <w:compatSetting w:name="compatibilityMode" w:uri="http://schemas.microsoft.com/office/word" w:val="12"/>
  </w:compat>
  <w:rsids>
    <w:rsidRoot w:val="00000000"/>
    <w:rsid w:val="03BB2ED4"/>
    <w:rsid w:val="19AC2EC5"/>
    <w:rsid w:val="22FC375B"/>
    <w:rsid w:val="2B866477"/>
    <w:rsid w:val="2E3F536B"/>
    <w:rsid w:val="30116B32"/>
    <w:rsid w:val="315C5288"/>
    <w:rsid w:val="547B43B9"/>
    <w:rsid w:val="5CAB5675"/>
    <w:rsid w:val="5F1F7EF6"/>
    <w:rsid w:val="617059E9"/>
    <w:rsid w:val="6A351D43"/>
    <w:rsid w:val="70707286"/>
    <w:rsid w:val="7525273D"/>
    <w:rsid w:val="7FEC35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rFonts w:ascii="Times New Roman" w:hAnsi="Times New Roman" w:eastAsia="宋体" w:cs="Times New Roman"/>
      <w:sz w:val="24"/>
      <w:szCs w:val="24"/>
    </w:rPr>
  </w:style>
  <w:style w:type="paragraph" w:styleId="3">
    <w:name w:val="Normal (Web)"/>
    <w:basedOn w:val="1"/>
    <w:unhideWhenUsed/>
    <w:qFormat/>
    <w:uiPriority w:val="99"/>
    <w:pPr>
      <w:widowControl/>
      <w:spacing w:after="15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2331</Words>
  <Characters>2604</Characters>
  <TotalTime>7</TotalTime>
  <ScaleCrop>false</ScaleCrop>
  <LinksUpToDate>false</LinksUpToDate>
  <CharactersWithSpaces>2630</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2026-04-23T08:06:00Z</dcterms:created>
  <dc:creator>Apache POI</dc:creator>
  <cp:lastModifiedBy>吉吉</cp:lastModifiedBy>
  <dcterms:modified xsi:type="dcterms:W3CDTF">2026-04-23T09:11:43Z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eyJoZGlkIjoiZTY1NGYwOTliNWQ3MTRhYjBkYWRlNDM3MTkxNWYyNmQiLCJ1c2VySWQiOiI3MzA4OTI0MTMifQ==</vt:lpwstr>
  </property>
  <property fmtid="{D5CDD505-2E9C-101B-9397-08002B2CF9AE}" pid="3" name="KSOProductBuildVer">
    <vt:lpwstr>2052-12.1.0.25865</vt:lpwstr>
  </property>
  <property fmtid="{D5CDD505-2E9C-101B-9397-08002B2CF9AE}" pid="4" name="ICV">
    <vt:lpwstr>7E0B60ADD1C14C0A8561B340A147AE25_12</vt:lpwstr>
  </property>
</Properties>
</file>