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2E28">
      <w:pPr>
        <w:keepNext/>
        <w:keepLines/>
        <w:pageBreakBefore w:val="0"/>
        <w:widowControl w:val="0"/>
        <w:kinsoku/>
        <w:wordWrap/>
        <w:overflowPunct/>
        <w:topLinePunct w:val="0"/>
        <w:autoSpaceDE/>
        <w:autoSpaceDN/>
        <w:bidi w:val="0"/>
        <w:adjustRightInd/>
        <w:snapToGrid/>
        <w:spacing w:line="600" w:lineRule="exact"/>
        <w:ind w:left="420" w:leftChars="200"/>
        <w:jc w:val="center"/>
        <w:textAlignment w:val="auto"/>
        <w:rPr>
          <w:rFonts w:hint="eastAsia" w:ascii="方正小标宋简体" w:hAnsi="方正小标宋简体" w:eastAsia="方正小标宋简体" w:cs="方正小标宋简体"/>
          <w:b/>
          <w:bCs/>
          <w:kern w:val="44"/>
          <w:sz w:val="36"/>
          <w:szCs w:val="36"/>
        </w:rPr>
      </w:pPr>
      <w:bookmarkStart w:id="0" w:name="_Toc344816509"/>
      <w:r>
        <w:rPr>
          <w:rFonts w:hint="eastAsia" w:ascii="方正小标宋简体" w:hAnsi="方正小标宋简体" w:eastAsia="方正小标宋简体" w:cs="方正小标宋简体"/>
          <w:b/>
          <w:bCs/>
          <w:kern w:val="44"/>
          <w:sz w:val="36"/>
          <w:szCs w:val="36"/>
        </w:rPr>
        <w:t>柳州市工人医院</w:t>
      </w:r>
      <w:r>
        <w:rPr>
          <w:rFonts w:hint="eastAsia" w:ascii="方正小标宋简体" w:hAnsi="方正小标宋简体" w:eastAsia="方正小标宋简体" w:cs="方正小标宋简体"/>
          <w:b/>
          <w:bCs/>
          <w:kern w:val="44"/>
          <w:sz w:val="36"/>
          <w:szCs w:val="36"/>
          <w:lang w:val="en-US" w:eastAsia="zh-CN"/>
        </w:rPr>
        <w:t>采购《全国严重创伤救治信息交互联动系统》服务的</w:t>
      </w:r>
      <w:r>
        <w:rPr>
          <w:rFonts w:hint="eastAsia" w:ascii="方正小标宋简体" w:hAnsi="方正小标宋简体" w:eastAsia="方正小标宋简体" w:cs="方正小标宋简体"/>
          <w:b/>
          <w:bCs/>
          <w:kern w:val="44"/>
          <w:sz w:val="36"/>
          <w:szCs w:val="36"/>
        </w:rPr>
        <w:t>技术参数</w:t>
      </w:r>
    </w:p>
    <w:bookmarkEnd w:id="0"/>
    <w:p w14:paraId="14702E29">
      <w:pPr>
        <w:pStyle w:val="7"/>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项目背景</w:t>
      </w:r>
    </w:p>
    <w:p w14:paraId="14702E2A">
      <w:pPr>
        <w:pStyle w:val="2"/>
        <w:pageBreakBefore w:val="0"/>
        <w:widowControl w:val="0"/>
        <w:kinsoku/>
        <w:wordWrap/>
        <w:overflowPunct/>
        <w:topLinePunct w:val="0"/>
        <w:autoSpaceDE/>
        <w:autoSpaceDN/>
        <w:bidi w:val="0"/>
        <w:adjustRightInd/>
        <w:snapToGrid/>
        <w:spacing w:after="0" w:line="600" w:lineRule="exact"/>
        <w:ind w:firstLine="42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全国严重创伤救治交互联动系统，核心作用是打通院前急救 — 院内急诊 — 院内专科的信息共享与流程衔接，保障“创伤模块”规范运行，为我院创伤中心建设、救治流程标准化、急救效率提升提供技术支撑。</w:t>
      </w:r>
    </w:p>
    <w:p w14:paraId="14702E2B">
      <w:pPr>
        <w:pStyle w:val="7"/>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服务</w:t>
      </w:r>
      <w:r>
        <w:rPr>
          <w:rFonts w:hint="eastAsia" w:ascii="仿宋_GB2312" w:hAnsi="仿宋_GB2312" w:eastAsia="仿宋_GB2312" w:cs="仿宋_GB2312"/>
          <w:b/>
          <w:sz w:val="30"/>
          <w:szCs w:val="30"/>
        </w:rPr>
        <w:t>内容及要求</w:t>
      </w:r>
    </w:p>
    <w:tbl>
      <w:tblPr>
        <w:tblStyle w:val="5"/>
        <w:tblW w:w="8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132"/>
        <w:gridCol w:w="3409"/>
        <w:gridCol w:w="2396"/>
      </w:tblGrid>
      <w:tr w14:paraId="17D0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5" w:type="dxa"/>
            <w:gridSpan w:val="3"/>
            <w:vAlign w:val="center"/>
          </w:tcPr>
          <w:p w14:paraId="3893470F">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服务内容</w:t>
            </w:r>
          </w:p>
        </w:tc>
        <w:tc>
          <w:tcPr>
            <w:tcW w:w="2396" w:type="dxa"/>
            <w:vAlign w:val="center"/>
          </w:tcPr>
          <w:p w14:paraId="4ED32B7C">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服务期限</w:t>
            </w:r>
          </w:p>
        </w:tc>
      </w:tr>
      <w:tr w14:paraId="5050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14" w:type="dxa"/>
            <w:vMerge w:val="restart"/>
            <w:vAlign w:val="center"/>
          </w:tcPr>
          <w:p w14:paraId="62DE947A">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全国严重创伤救治交互联动系统</w:t>
            </w:r>
          </w:p>
        </w:tc>
        <w:tc>
          <w:tcPr>
            <w:tcW w:w="1132" w:type="dxa"/>
            <w:vMerge w:val="restart"/>
            <w:vAlign w:val="center"/>
          </w:tcPr>
          <w:p w14:paraId="0FF302EF">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移动端</w:t>
            </w:r>
          </w:p>
        </w:tc>
        <w:tc>
          <w:tcPr>
            <w:tcW w:w="3409" w:type="dxa"/>
            <w:vAlign w:val="center"/>
          </w:tcPr>
          <w:p w14:paraId="78C452E7">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院前院内协同</w:t>
            </w:r>
          </w:p>
        </w:tc>
        <w:tc>
          <w:tcPr>
            <w:tcW w:w="2396" w:type="dxa"/>
            <w:vMerge w:val="restart"/>
            <w:vAlign w:val="center"/>
          </w:tcPr>
          <w:p w14:paraId="7BFF1056">
            <w:pPr>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3年(202</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年5月3</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日至202</w:t>
            </w:r>
            <w:r>
              <w:rPr>
                <w:rFonts w:hint="eastAsia" w:ascii="仿宋_GB2312" w:hAnsi="仿宋_GB2312" w:eastAsia="仿宋_GB2312" w:cs="仿宋_GB2312"/>
                <w:color w:val="auto"/>
                <w:sz w:val="30"/>
                <w:szCs w:val="30"/>
                <w:lang w:val="en-US" w:eastAsia="zh-CN"/>
              </w:rPr>
              <w:t>9</w:t>
            </w:r>
            <w:r>
              <w:rPr>
                <w:rFonts w:hint="eastAsia" w:ascii="仿宋_GB2312" w:hAnsi="仿宋_GB2312" w:eastAsia="仿宋_GB2312" w:cs="仿宋_GB2312"/>
                <w:color w:val="auto"/>
                <w:sz w:val="30"/>
                <w:szCs w:val="30"/>
              </w:rPr>
              <w:t>年5月3</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rPr>
              <w:t>日)</w:t>
            </w:r>
          </w:p>
        </w:tc>
      </w:tr>
      <w:tr w14:paraId="44D8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14" w:type="dxa"/>
            <w:vMerge w:val="continue"/>
            <w:vAlign w:val="center"/>
          </w:tcPr>
          <w:p w14:paraId="0B60C9D4">
            <w:pPr>
              <w:pageBreakBefore w:val="0"/>
              <w:widowControl w:val="0"/>
              <w:kinsoku/>
              <w:wordWrap/>
              <w:overflowPunct/>
              <w:topLinePunct w:val="0"/>
              <w:autoSpaceDE/>
              <w:autoSpaceDN/>
              <w:bidi w:val="0"/>
              <w:adjustRightInd/>
              <w:snapToGrid/>
              <w:spacing w:line="600" w:lineRule="exact"/>
              <w:jc w:val="center"/>
              <w:textAlignment w:val="auto"/>
            </w:pPr>
          </w:p>
        </w:tc>
        <w:tc>
          <w:tcPr>
            <w:tcW w:w="1132" w:type="dxa"/>
            <w:vMerge w:val="continue"/>
            <w:vAlign w:val="center"/>
          </w:tcPr>
          <w:p w14:paraId="32082B07">
            <w:pPr>
              <w:pageBreakBefore w:val="0"/>
              <w:widowControl w:val="0"/>
              <w:kinsoku/>
              <w:wordWrap/>
              <w:overflowPunct/>
              <w:topLinePunct w:val="0"/>
              <w:autoSpaceDE/>
              <w:autoSpaceDN/>
              <w:bidi w:val="0"/>
              <w:adjustRightInd/>
              <w:snapToGrid/>
              <w:spacing w:line="600" w:lineRule="exact"/>
              <w:jc w:val="center"/>
              <w:textAlignment w:val="auto"/>
            </w:pPr>
          </w:p>
        </w:tc>
        <w:tc>
          <w:tcPr>
            <w:tcW w:w="3409" w:type="dxa"/>
            <w:vAlign w:val="center"/>
          </w:tcPr>
          <w:p w14:paraId="07B4FBE9">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院前急救信息预警联动</w:t>
            </w:r>
          </w:p>
        </w:tc>
        <w:tc>
          <w:tcPr>
            <w:tcW w:w="2396" w:type="dxa"/>
            <w:vMerge w:val="continue"/>
            <w:vAlign w:val="center"/>
          </w:tcPr>
          <w:p w14:paraId="7E2D9AF4">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r>
      <w:tr w14:paraId="6F31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14" w:type="dxa"/>
            <w:vMerge w:val="continue"/>
            <w:vAlign w:val="center"/>
          </w:tcPr>
          <w:p w14:paraId="1A6AA90E">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c>
          <w:tcPr>
            <w:tcW w:w="1132" w:type="dxa"/>
            <w:vMerge w:val="continue"/>
            <w:vAlign w:val="center"/>
          </w:tcPr>
          <w:p w14:paraId="3B0F8A67">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c>
          <w:tcPr>
            <w:tcW w:w="3409" w:type="dxa"/>
            <w:vAlign w:val="center"/>
          </w:tcPr>
          <w:p w14:paraId="301D25AF">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移动会诊</w:t>
            </w:r>
          </w:p>
        </w:tc>
        <w:tc>
          <w:tcPr>
            <w:tcW w:w="2396" w:type="dxa"/>
            <w:vMerge w:val="continue"/>
            <w:vAlign w:val="center"/>
          </w:tcPr>
          <w:p w14:paraId="0202171B">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r>
      <w:tr w14:paraId="49FD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14" w:type="dxa"/>
            <w:vMerge w:val="continue"/>
            <w:vAlign w:val="center"/>
          </w:tcPr>
          <w:p w14:paraId="1CEE6269">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c>
          <w:tcPr>
            <w:tcW w:w="1132" w:type="dxa"/>
            <w:vMerge w:val="continue"/>
            <w:vAlign w:val="center"/>
          </w:tcPr>
          <w:p w14:paraId="3674E3EE">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c>
          <w:tcPr>
            <w:tcW w:w="3409" w:type="dxa"/>
            <w:vAlign w:val="center"/>
          </w:tcPr>
          <w:p w14:paraId="4A2E4303">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患者情况一览表</w:t>
            </w:r>
          </w:p>
        </w:tc>
        <w:tc>
          <w:tcPr>
            <w:tcW w:w="2396" w:type="dxa"/>
            <w:vMerge w:val="continue"/>
            <w:vAlign w:val="center"/>
          </w:tcPr>
          <w:p w14:paraId="623265CC">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r>
      <w:tr w14:paraId="61C1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14" w:type="dxa"/>
            <w:vMerge w:val="continue"/>
            <w:vAlign w:val="center"/>
          </w:tcPr>
          <w:p w14:paraId="6B238179">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c>
          <w:tcPr>
            <w:tcW w:w="1132" w:type="dxa"/>
            <w:vMerge w:val="continue"/>
            <w:vAlign w:val="center"/>
          </w:tcPr>
          <w:p w14:paraId="162933FA">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c>
          <w:tcPr>
            <w:tcW w:w="3409" w:type="dxa"/>
            <w:vAlign w:val="center"/>
          </w:tcPr>
          <w:p w14:paraId="6C6CAC91">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智能输入</w:t>
            </w:r>
          </w:p>
        </w:tc>
        <w:tc>
          <w:tcPr>
            <w:tcW w:w="2396" w:type="dxa"/>
            <w:vMerge w:val="continue"/>
            <w:vAlign w:val="center"/>
          </w:tcPr>
          <w:p w14:paraId="5694F4FC">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r>
      <w:tr w14:paraId="6DF0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14" w:type="dxa"/>
            <w:vMerge w:val="continue"/>
            <w:vAlign w:val="center"/>
          </w:tcPr>
          <w:p w14:paraId="2443243B">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c>
          <w:tcPr>
            <w:tcW w:w="1132" w:type="dxa"/>
            <w:vMerge w:val="continue"/>
            <w:vAlign w:val="center"/>
          </w:tcPr>
          <w:p w14:paraId="778B7043">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c>
          <w:tcPr>
            <w:tcW w:w="3409" w:type="dxa"/>
            <w:vAlign w:val="center"/>
          </w:tcPr>
          <w:p w14:paraId="70F55BA1">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院前急救电子病历</w:t>
            </w:r>
          </w:p>
        </w:tc>
        <w:tc>
          <w:tcPr>
            <w:tcW w:w="2396" w:type="dxa"/>
            <w:vMerge w:val="continue"/>
            <w:vAlign w:val="center"/>
          </w:tcPr>
          <w:p w14:paraId="291AD409">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r>
      <w:tr w14:paraId="7D99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14" w:type="dxa"/>
            <w:vMerge w:val="continue"/>
            <w:vAlign w:val="center"/>
          </w:tcPr>
          <w:p w14:paraId="76F6A71E">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c>
          <w:tcPr>
            <w:tcW w:w="1132" w:type="dxa"/>
            <w:vMerge w:val="continue"/>
            <w:vAlign w:val="center"/>
          </w:tcPr>
          <w:p w14:paraId="01E116E5">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c>
          <w:tcPr>
            <w:tcW w:w="3409" w:type="dxa"/>
            <w:vAlign w:val="center"/>
          </w:tcPr>
          <w:p w14:paraId="27898AE8">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急救病历填报</w:t>
            </w:r>
          </w:p>
        </w:tc>
        <w:tc>
          <w:tcPr>
            <w:tcW w:w="2396" w:type="dxa"/>
            <w:vMerge w:val="continue"/>
            <w:vAlign w:val="center"/>
          </w:tcPr>
          <w:p w14:paraId="23F322A0">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r>
      <w:tr w14:paraId="39A5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14" w:type="dxa"/>
            <w:vMerge w:val="continue"/>
            <w:vAlign w:val="center"/>
          </w:tcPr>
          <w:p w14:paraId="66D52A0A">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c>
          <w:tcPr>
            <w:tcW w:w="1132" w:type="dxa"/>
            <w:vMerge w:val="continue"/>
            <w:vAlign w:val="center"/>
          </w:tcPr>
          <w:p w14:paraId="63F2C1CD">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c>
          <w:tcPr>
            <w:tcW w:w="3409" w:type="dxa"/>
            <w:vAlign w:val="center"/>
          </w:tcPr>
          <w:p w14:paraId="05837665">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移动交接</w:t>
            </w:r>
          </w:p>
        </w:tc>
        <w:tc>
          <w:tcPr>
            <w:tcW w:w="2396" w:type="dxa"/>
            <w:vMerge w:val="continue"/>
            <w:vAlign w:val="center"/>
          </w:tcPr>
          <w:p w14:paraId="225FCBFA">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p>
        </w:tc>
      </w:tr>
      <w:tr w14:paraId="7C46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1214" w:type="dxa"/>
            <w:vMerge w:val="continue"/>
            <w:vAlign w:val="center"/>
          </w:tcPr>
          <w:p w14:paraId="5C644E6C">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32" w:type="dxa"/>
            <w:vMerge w:val="restart"/>
            <w:vAlign w:val="center"/>
          </w:tcPr>
          <w:p w14:paraId="0F216898">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电脑端</w:t>
            </w:r>
          </w:p>
        </w:tc>
        <w:tc>
          <w:tcPr>
            <w:tcW w:w="3409" w:type="dxa"/>
            <w:vAlign w:val="center"/>
          </w:tcPr>
          <w:p w14:paraId="0FB63D27">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院前院内协同</w:t>
            </w:r>
          </w:p>
        </w:tc>
        <w:tc>
          <w:tcPr>
            <w:tcW w:w="2396" w:type="dxa"/>
            <w:vMerge w:val="continue"/>
            <w:vAlign w:val="center"/>
          </w:tcPr>
          <w:p w14:paraId="179FB8BA">
            <w:pPr>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0"/>
                <w:szCs w:val="30"/>
              </w:rPr>
            </w:pPr>
          </w:p>
        </w:tc>
      </w:tr>
      <w:tr w14:paraId="610C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1214" w:type="dxa"/>
            <w:vMerge w:val="continue"/>
            <w:vAlign w:val="center"/>
          </w:tcPr>
          <w:p w14:paraId="3034C53D">
            <w:pPr>
              <w:pageBreakBefore w:val="0"/>
              <w:widowControl w:val="0"/>
              <w:kinsoku/>
              <w:wordWrap/>
              <w:overflowPunct/>
              <w:topLinePunct w:val="0"/>
              <w:autoSpaceDE/>
              <w:autoSpaceDN/>
              <w:bidi w:val="0"/>
              <w:adjustRightInd/>
              <w:snapToGrid/>
              <w:spacing w:line="600" w:lineRule="exact"/>
              <w:jc w:val="center"/>
              <w:textAlignment w:val="auto"/>
            </w:pPr>
          </w:p>
        </w:tc>
        <w:tc>
          <w:tcPr>
            <w:tcW w:w="1132" w:type="dxa"/>
            <w:vMerge w:val="continue"/>
            <w:vAlign w:val="center"/>
          </w:tcPr>
          <w:p w14:paraId="38C7C755">
            <w:pPr>
              <w:pageBreakBefore w:val="0"/>
              <w:widowControl w:val="0"/>
              <w:kinsoku/>
              <w:wordWrap/>
              <w:overflowPunct/>
              <w:topLinePunct w:val="0"/>
              <w:autoSpaceDE/>
              <w:autoSpaceDN/>
              <w:bidi w:val="0"/>
              <w:adjustRightInd/>
              <w:snapToGrid/>
              <w:spacing w:line="600" w:lineRule="exact"/>
              <w:jc w:val="center"/>
              <w:textAlignment w:val="auto"/>
            </w:pPr>
          </w:p>
        </w:tc>
        <w:tc>
          <w:tcPr>
            <w:tcW w:w="3409" w:type="dxa"/>
            <w:vAlign w:val="center"/>
          </w:tcPr>
          <w:p w14:paraId="54239D77">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院前院内预警联动</w:t>
            </w:r>
          </w:p>
        </w:tc>
        <w:tc>
          <w:tcPr>
            <w:tcW w:w="2396" w:type="dxa"/>
            <w:vMerge w:val="continue"/>
            <w:vAlign w:val="center"/>
          </w:tcPr>
          <w:p w14:paraId="27E0F453">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r>
      <w:tr w14:paraId="407C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1214" w:type="dxa"/>
            <w:vMerge w:val="continue"/>
            <w:vAlign w:val="center"/>
          </w:tcPr>
          <w:p w14:paraId="09BF8400">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32" w:type="dxa"/>
            <w:vMerge w:val="continue"/>
            <w:vAlign w:val="center"/>
          </w:tcPr>
          <w:p w14:paraId="269B2B04">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3409" w:type="dxa"/>
            <w:vAlign w:val="center"/>
          </w:tcPr>
          <w:p w14:paraId="5813A1EF">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远程会诊</w:t>
            </w:r>
          </w:p>
        </w:tc>
        <w:tc>
          <w:tcPr>
            <w:tcW w:w="2396" w:type="dxa"/>
            <w:vMerge w:val="continue"/>
            <w:vAlign w:val="center"/>
          </w:tcPr>
          <w:p w14:paraId="53192892">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r>
      <w:tr w14:paraId="1B2C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1214" w:type="dxa"/>
            <w:vMerge w:val="continue"/>
            <w:vAlign w:val="center"/>
          </w:tcPr>
          <w:p w14:paraId="0985CC01">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32" w:type="dxa"/>
            <w:vMerge w:val="continue"/>
            <w:vAlign w:val="center"/>
          </w:tcPr>
          <w:p w14:paraId="15B2B2DE">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3409" w:type="dxa"/>
            <w:vAlign w:val="center"/>
          </w:tcPr>
          <w:p w14:paraId="18DFCC6D">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急救电子病历</w:t>
            </w:r>
          </w:p>
        </w:tc>
        <w:tc>
          <w:tcPr>
            <w:tcW w:w="2396" w:type="dxa"/>
            <w:vMerge w:val="continue"/>
            <w:vAlign w:val="center"/>
          </w:tcPr>
          <w:p w14:paraId="03D3F0C6">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r>
      <w:tr w14:paraId="35C3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1214" w:type="dxa"/>
            <w:vMerge w:val="continue"/>
            <w:vAlign w:val="center"/>
          </w:tcPr>
          <w:p w14:paraId="424CE082">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32" w:type="dxa"/>
            <w:vMerge w:val="continue"/>
            <w:vAlign w:val="center"/>
          </w:tcPr>
          <w:p w14:paraId="022A8753">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3409" w:type="dxa"/>
            <w:vAlign w:val="center"/>
          </w:tcPr>
          <w:p w14:paraId="2C444394">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评分工具</w:t>
            </w:r>
          </w:p>
        </w:tc>
        <w:tc>
          <w:tcPr>
            <w:tcW w:w="2396" w:type="dxa"/>
            <w:vMerge w:val="continue"/>
            <w:vAlign w:val="center"/>
          </w:tcPr>
          <w:p w14:paraId="209E7C58">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r>
      <w:tr w14:paraId="0E71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1214" w:type="dxa"/>
            <w:vMerge w:val="continue"/>
            <w:vAlign w:val="center"/>
          </w:tcPr>
          <w:p w14:paraId="53042190">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32" w:type="dxa"/>
            <w:vMerge w:val="continue"/>
            <w:vAlign w:val="center"/>
          </w:tcPr>
          <w:p w14:paraId="496995F8">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3409" w:type="dxa"/>
            <w:vAlign w:val="center"/>
          </w:tcPr>
          <w:p w14:paraId="24C8CAA9">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创伤病例上报管理</w:t>
            </w:r>
          </w:p>
        </w:tc>
        <w:tc>
          <w:tcPr>
            <w:tcW w:w="2396" w:type="dxa"/>
            <w:vMerge w:val="continue"/>
            <w:vAlign w:val="center"/>
          </w:tcPr>
          <w:p w14:paraId="1EA221C7">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r>
      <w:tr w14:paraId="6264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1214" w:type="dxa"/>
            <w:vMerge w:val="continue"/>
            <w:vAlign w:val="center"/>
          </w:tcPr>
          <w:p w14:paraId="0A556AE7">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32" w:type="dxa"/>
            <w:vMerge w:val="continue"/>
            <w:vAlign w:val="center"/>
          </w:tcPr>
          <w:p w14:paraId="0704D276">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3409" w:type="dxa"/>
            <w:vAlign w:val="center"/>
          </w:tcPr>
          <w:p w14:paraId="65DCF17E">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质控会议上报管理</w:t>
            </w:r>
          </w:p>
        </w:tc>
        <w:tc>
          <w:tcPr>
            <w:tcW w:w="2396" w:type="dxa"/>
            <w:vMerge w:val="continue"/>
            <w:vAlign w:val="center"/>
          </w:tcPr>
          <w:p w14:paraId="61FD3E08">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r>
      <w:tr w14:paraId="11C5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1214" w:type="dxa"/>
            <w:vMerge w:val="continue"/>
            <w:vAlign w:val="center"/>
          </w:tcPr>
          <w:p w14:paraId="11C37F8E">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32" w:type="dxa"/>
            <w:vMerge w:val="continue"/>
            <w:vAlign w:val="center"/>
          </w:tcPr>
          <w:p w14:paraId="195A794A">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3409" w:type="dxa"/>
            <w:vAlign w:val="center"/>
          </w:tcPr>
          <w:p w14:paraId="2D826372">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质控管理</w:t>
            </w:r>
          </w:p>
        </w:tc>
        <w:tc>
          <w:tcPr>
            <w:tcW w:w="2396" w:type="dxa"/>
            <w:vMerge w:val="continue"/>
            <w:vAlign w:val="center"/>
          </w:tcPr>
          <w:p w14:paraId="4D1DDCBB">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r>
      <w:tr w14:paraId="5B25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1214" w:type="dxa"/>
            <w:vMerge w:val="continue"/>
            <w:vAlign w:val="center"/>
          </w:tcPr>
          <w:p w14:paraId="464E7C4C">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32" w:type="dxa"/>
            <w:vMerge w:val="continue"/>
            <w:vAlign w:val="center"/>
          </w:tcPr>
          <w:p w14:paraId="22B68AC0">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3409" w:type="dxa"/>
            <w:vAlign w:val="center"/>
          </w:tcPr>
          <w:p w14:paraId="40070721">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周报</w:t>
            </w:r>
          </w:p>
        </w:tc>
        <w:tc>
          <w:tcPr>
            <w:tcW w:w="2396" w:type="dxa"/>
            <w:vMerge w:val="continue"/>
            <w:vAlign w:val="center"/>
          </w:tcPr>
          <w:p w14:paraId="472510BB">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r>
      <w:tr w14:paraId="6B11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1214" w:type="dxa"/>
            <w:vMerge w:val="continue"/>
            <w:vAlign w:val="center"/>
          </w:tcPr>
          <w:p w14:paraId="09BD3DEF">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32" w:type="dxa"/>
            <w:vMerge w:val="continue"/>
            <w:vAlign w:val="center"/>
          </w:tcPr>
          <w:p w14:paraId="6EFD473A">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3409" w:type="dxa"/>
            <w:vAlign w:val="center"/>
          </w:tcPr>
          <w:p w14:paraId="59534BAD">
            <w:pPr>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预警记录</w:t>
            </w:r>
          </w:p>
        </w:tc>
        <w:tc>
          <w:tcPr>
            <w:tcW w:w="2396" w:type="dxa"/>
            <w:vMerge w:val="continue"/>
            <w:vAlign w:val="center"/>
          </w:tcPr>
          <w:p w14:paraId="7FD730D4">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r>
    </w:tbl>
    <w:p w14:paraId="14702E9A">
      <w:pPr>
        <w:pStyle w:val="3"/>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Cs w:val="0"/>
          <w:sz w:val="30"/>
          <w:szCs w:val="30"/>
        </w:rPr>
      </w:pPr>
      <w:r>
        <w:rPr>
          <w:rFonts w:hint="eastAsia" w:ascii="仿宋_GB2312" w:hAnsi="仿宋_GB2312" w:eastAsia="仿宋_GB2312" w:cs="仿宋_GB2312"/>
          <w:bCs w:val="0"/>
          <w:sz w:val="30"/>
          <w:szCs w:val="30"/>
          <w:lang w:val="en-US" w:eastAsia="zh-CN"/>
        </w:rPr>
        <w:t>三</w:t>
      </w:r>
      <w:r>
        <w:rPr>
          <w:rFonts w:hint="eastAsia" w:ascii="仿宋_GB2312" w:hAnsi="仿宋_GB2312" w:eastAsia="仿宋_GB2312" w:cs="仿宋_GB2312"/>
          <w:bCs w:val="0"/>
          <w:sz w:val="30"/>
          <w:szCs w:val="30"/>
        </w:rPr>
        <w:t>、售后服务及其他要求</w:t>
      </w:r>
    </w:p>
    <w:p w14:paraId="14702E9B">
      <w:pPr>
        <w:pageBreakBefore w:val="0"/>
        <w:widowControl w:val="0"/>
        <w:kinsoku/>
        <w:wordWrap/>
        <w:overflowPunct/>
        <w:topLinePunct w:val="0"/>
        <w:autoSpaceDE/>
        <w:autoSpaceDN/>
        <w:bidi w:val="0"/>
        <w:adjustRightInd/>
        <w:snapToGrid/>
        <w:spacing w:line="6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.1本</w:t>
      </w:r>
      <w:r>
        <w:rPr>
          <w:rFonts w:hint="eastAsia" w:ascii="仿宋_GB2312" w:hAnsi="仿宋_GB2312" w:eastAsia="仿宋_GB2312" w:cs="仿宋_GB2312"/>
          <w:sz w:val="30"/>
          <w:szCs w:val="30"/>
          <w:lang w:val="en-US" w:eastAsia="zh-CN"/>
        </w:rPr>
        <w:t>项目</w:t>
      </w:r>
      <w:r>
        <w:rPr>
          <w:rFonts w:hint="eastAsia" w:ascii="仿宋_GB2312" w:hAnsi="仿宋_GB2312" w:eastAsia="仿宋_GB2312" w:cs="仿宋_GB2312"/>
          <w:sz w:val="30"/>
          <w:szCs w:val="30"/>
        </w:rPr>
        <w:t>3年服务期限内，乙方对甲方提供含软件维护和系统软件升级、技术支持服务、系统管理及操作培训</w:t>
      </w:r>
      <w:r>
        <w:rPr>
          <w:rFonts w:hint="eastAsia" w:ascii="仿宋_GB2312" w:hAnsi="仿宋_GB2312" w:eastAsia="仿宋_GB2312" w:cs="仿宋_GB2312"/>
          <w:sz w:val="30"/>
          <w:szCs w:val="30"/>
          <w:lang w:val="en-US" w:eastAsia="zh-CN"/>
        </w:rPr>
        <w:t>的服务</w:t>
      </w:r>
      <w:r>
        <w:rPr>
          <w:rFonts w:hint="eastAsia" w:ascii="仿宋_GB2312" w:hAnsi="仿宋_GB2312" w:eastAsia="仿宋_GB2312" w:cs="仿宋_GB2312"/>
          <w:sz w:val="30"/>
          <w:szCs w:val="30"/>
        </w:rPr>
        <w:t>。</w:t>
      </w:r>
    </w:p>
    <w:p w14:paraId="3BD2329E">
      <w:pPr>
        <w:pageBreakBefore w:val="0"/>
        <w:widowControl w:val="0"/>
        <w:kinsoku/>
        <w:wordWrap/>
        <w:overflowPunct/>
        <w:topLinePunct w:val="0"/>
        <w:autoSpaceDE/>
        <w:autoSpaceDN/>
        <w:bidi w:val="0"/>
        <w:adjustRightInd/>
        <w:snapToGrid/>
        <w:spacing w:line="600" w:lineRule="exact"/>
        <w:ind w:firstLine="42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原厂技术人员免费提供售后服务</w:t>
      </w:r>
      <w:r>
        <w:rPr>
          <w:rFonts w:hint="eastAsia" w:ascii="仿宋_GB2312" w:hAnsi="仿宋_GB2312" w:eastAsia="仿宋_GB2312" w:cs="仿宋_GB2312"/>
          <w:sz w:val="30"/>
          <w:szCs w:val="30"/>
          <w:lang w:eastAsia="zh-CN"/>
        </w:rPr>
        <w:t>，包</w:t>
      </w:r>
      <w:r>
        <w:rPr>
          <w:rFonts w:hint="eastAsia" w:ascii="仿宋_GB2312" w:hAnsi="仿宋_GB2312" w:eastAsia="仿宋_GB2312" w:cs="仿宋_GB2312"/>
          <w:sz w:val="30"/>
          <w:szCs w:val="30"/>
        </w:rPr>
        <w:t>含电话支持、现场响应、远程操作、网上客服中心等多种方式服务，应做到7×24小时全天候电话或微信等常用联系方式响应。</w:t>
      </w:r>
      <w:bookmarkStart w:id="1" w:name="_Toc507405798"/>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lang w:val="en-US" w:eastAsia="zh-CN"/>
        </w:rPr>
        <w:tab/>
      </w:r>
      <w:r>
        <w:rPr>
          <w:rFonts w:hint="eastAsia" w:ascii="仿宋_GB2312" w:hAnsi="仿宋_GB2312" w:eastAsia="仿宋_GB2312" w:cs="仿宋_GB2312"/>
          <w:sz w:val="30"/>
          <w:szCs w:val="30"/>
          <w:lang w:val="en-US" w:eastAsia="zh-CN"/>
        </w:rPr>
        <w:t>3.3 乙方提供原厂技术人员免费定期回访服务，定期通过电话或其他方式访问用户了解产品使用情况及网络安全情况。</w:t>
      </w:r>
    </w:p>
    <w:p w14:paraId="545D6537">
      <w:pPr>
        <w:pStyle w:val="2"/>
        <w:ind w:firstLine="420" w:firstLineChars="0"/>
        <w:rPr>
          <w:rFonts w:hint="default"/>
          <w:lang w:val="en-US" w:eastAsia="zh-CN"/>
        </w:rPr>
      </w:pPr>
      <w:r>
        <w:rPr>
          <w:rFonts w:hint="eastAsia" w:ascii="仿宋_GB2312" w:hAnsi="仿宋_GB2312" w:eastAsia="仿宋_GB2312" w:cs="仿宋_GB2312"/>
          <w:sz w:val="30"/>
          <w:szCs w:val="30"/>
          <w:lang w:val="en-US" w:eastAsia="zh-CN"/>
        </w:rPr>
        <w:t>3.4 培训要求:对甲方使用部门进行软件使用、操作、日常维护等技术培训，所有培训涉及的费用均由乙方承担。</w:t>
      </w:r>
    </w:p>
    <w:p w14:paraId="14702EA0">
      <w:pPr>
        <w:pStyle w:val="2"/>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bCs/>
          <w:sz w:val="30"/>
          <w:szCs w:val="30"/>
          <w:lang w:val="en-US"/>
        </w:rPr>
      </w:pPr>
      <w:r>
        <w:rPr>
          <w:rFonts w:hint="eastAsia" w:ascii="仿宋_GB2312" w:hAnsi="仿宋_GB2312" w:eastAsia="仿宋_GB2312" w:cs="仿宋_GB2312"/>
          <w:b/>
          <w:bCs/>
          <w:sz w:val="30"/>
          <w:szCs w:val="30"/>
          <w:lang w:val="en-US" w:eastAsia="zh-CN"/>
        </w:rPr>
        <w:t>四</w:t>
      </w:r>
      <w:r>
        <w:rPr>
          <w:rFonts w:hint="eastAsia" w:ascii="仿宋_GB2312" w:hAnsi="仿宋_GB2312" w:eastAsia="仿宋_GB2312" w:cs="仿宋_GB2312"/>
          <w:b/>
          <w:bCs/>
          <w:sz w:val="30"/>
          <w:szCs w:val="30"/>
          <w:lang w:val="en-US"/>
        </w:rPr>
        <w:t>、违约责任</w:t>
      </w:r>
    </w:p>
    <w:p w14:paraId="14702EA1">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.1投标方所提供的</w:t>
      </w:r>
      <w:r>
        <w:rPr>
          <w:rFonts w:hint="eastAsia" w:ascii="仿宋_GB2312" w:hAnsi="仿宋_GB2312" w:eastAsia="仿宋_GB2312" w:cs="仿宋_GB2312"/>
          <w:sz w:val="30"/>
          <w:szCs w:val="30"/>
          <w:lang w:val="en-US" w:eastAsia="zh-CN"/>
        </w:rPr>
        <w:t>服务</w:t>
      </w:r>
      <w:r>
        <w:rPr>
          <w:rFonts w:hint="eastAsia" w:ascii="仿宋_GB2312" w:hAnsi="仿宋_GB2312" w:eastAsia="仿宋_GB2312" w:cs="仿宋_GB2312"/>
          <w:sz w:val="30"/>
          <w:szCs w:val="30"/>
        </w:rPr>
        <w:t>提供的服务未达到合同要求，投标方应向我院支付违约货款额5%违约金并赔偿我院经济损失。</w:t>
      </w:r>
    </w:p>
    <w:p w14:paraId="14702EA2">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.2若投标方提供的产品或软件侵犯了第三方合法权益而引发的任何纠纷或诉讼，均由投标方负责交涉并承担全部责任。</w:t>
      </w:r>
    </w:p>
    <w:p w14:paraId="14702EA8">
      <w:pPr>
        <w:pStyle w:val="2"/>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en-US"/>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val="en-US"/>
        </w:rPr>
        <w:t>任何一方违反本技术要求中“保密、廉洁条款”要求的，应承担相应的违约责任并赔偿由此造成的损失，损失累计金额超过合同款项的5%的，损失方同时有权终止合同并收回已付款项。</w:t>
      </w:r>
    </w:p>
    <w:p w14:paraId="14702EA9">
      <w:pPr>
        <w:pStyle w:val="2"/>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4.4</w:t>
      </w:r>
      <w:r>
        <w:rPr>
          <w:rFonts w:hint="eastAsia" w:ascii="仿宋_GB2312" w:hAnsi="仿宋_GB2312" w:eastAsia="仿宋_GB2312" w:cs="仿宋_GB2312"/>
          <w:sz w:val="30"/>
          <w:szCs w:val="30"/>
          <w:lang w:val="en-US"/>
        </w:rPr>
        <w:t>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14702EAA">
      <w:pPr>
        <w:pStyle w:val="2"/>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kern w:val="2"/>
          <w:sz w:val="30"/>
          <w:szCs w:val="30"/>
          <w:lang w:val="en-US"/>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lang w:val="en-US"/>
        </w:rPr>
        <w:t>.</w:t>
      </w: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lang w:val="en-US"/>
        </w:rPr>
        <w:t>厂商不得在提供的硬件及软件系统中设置包括且不限于如：软硬件加密狗、加密软件、时间锁、授权码等限制硬件及软件系统正常运行的措施，如有特殊需要必须提交纸质文件说明，经过我院签字同意才可设置，否则视为乙方违约，乙方需要支付医院违约金</w:t>
      </w:r>
      <w:r>
        <w:rPr>
          <w:rFonts w:hint="eastAsia" w:ascii="仿宋_GB2312" w:hAnsi="仿宋_GB2312" w:eastAsia="仿宋_GB2312" w:cs="仿宋_GB2312"/>
          <w:color w:val="auto"/>
          <w:kern w:val="2"/>
          <w:sz w:val="30"/>
          <w:szCs w:val="30"/>
          <w:lang w:val="en-US" w:eastAsia="zh-CN"/>
        </w:rPr>
        <w:t>5</w:t>
      </w:r>
      <w:r>
        <w:rPr>
          <w:rFonts w:hint="eastAsia" w:ascii="仿宋_GB2312" w:hAnsi="仿宋_GB2312" w:eastAsia="仿宋_GB2312" w:cs="仿宋_GB2312"/>
          <w:color w:val="auto"/>
          <w:kern w:val="2"/>
          <w:sz w:val="30"/>
          <w:szCs w:val="30"/>
          <w:lang w:val="en-US"/>
        </w:rPr>
        <w:t>000元（</w:t>
      </w:r>
      <w:r>
        <w:rPr>
          <w:rFonts w:hint="eastAsia" w:ascii="仿宋_GB2312" w:hAnsi="仿宋_GB2312" w:eastAsia="仿宋_GB2312" w:cs="仿宋_GB2312"/>
          <w:color w:val="auto"/>
          <w:kern w:val="2"/>
          <w:sz w:val="30"/>
          <w:szCs w:val="30"/>
          <w:lang w:val="en-US" w:eastAsia="zh-CN"/>
        </w:rPr>
        <w:t>伍仟</w:t>
      </w:r>
      <w:r>
        <w:rPr>
          <w:rFonts w:hint="eastAsia" w:ascii="仿宋_GB2312" w:hAnsi="仿宋_GB2312" w:eastAsia="仿宋_GB2312" w:cs="仿宋_GB2312"/>
          <w:color w:val="auto"/>
          <w:kern w:val="2"/>
          <w:sz w:val="30"/>
          <w:szCs w:val="30"/>
          <w:lang w:val="en-US"/>
        </w:rPr>
        <w:t>元</w:t>
      </w:r>
      <w:r>
        <w:rPr>
          <w:rFonts w:hint="eastAsia" w:ascii="仿宋_GB2312" w:hAnsi="仿宋_GB2312" w:eastAsia="仿宋_GB2312" w:cs="仿宋_GB2312"/>
          <w:kern w:val="2"/>
          <w:sz w:val="30"/>
          <w:szCs w:val="30"/>
          <w:lang w:val="en-US"/>
        </w:rPr>
        <w:t>），在此基础上医院有权要求乙方退回甲方已支付的所有款项。如对医院造成损失的，甲方有权要求乙方赔偿。</w:t>
      </w:r>
    </w:p>
    <w:bookmarkEnd w:id="1"/>
    <w:p w14:paraId="14702EAD">
      <w:pPr>
        <w:pStyle w:val="2"/>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bCs/>
          <w:sz w:val="30"/>
          <w:szCs w:val="30"/>
          <w:lang w:val="en-US"/>
        </w:rPr>
      </w:pPr>
      <w:bookmarkStart w:id="2" w:name="_Toc507405799"/>
      <w:bookmarkStart w:id="3" w:name="_Toc507405800"/>
      <w:r>
        <w:rPr>
          <w:rFonts w:hint="eastAsia" w:ascii="仿宋_GB2312" w:hAnsi="仿宋_GB2312" w:eastAsia="仿宋_GB2312" w:cs="仿宋_GB2312"/>
          <w:b/>
          <w:bCs/>
          <w:sz w:val="30"/>
          <w:szCs w:val="30"/>
          <w:lang w:val="en-US" w:eastAsia="zh-CN"/>
        </w:rPr>
        <w:t>五</w:t>
      </w:r>
      <w:r>
        <w:rPr>
          <w:rFonts w:hint="eastAsia" w:ascii="仿宋_GB2312" w:hAnsi="仿宋_GB2312" w:eastAsia="仿宋_GB2312" w:cs="仿宋_GB2312"/>
          <w:b/>
          <w:bCs/>
          <w:sz w:val="30"/>
          <w:szCs w:val="30"/>
          <w:lang w:val="en-US"/>
        </w:rPr>
        <w:t>、保密、廉洁协议</w:t>
      </w:r>
    </w:p>
    <w:p w14:paraId="14702EAE">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14702EAF">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.2 双方不得以任何方式向第三方泄露本项目的软件技术、设计方案以及功能配置等内容。</w:t>
      </w:r>
    </w:p>
    <w:p w14:paraId="14702EB0">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.3不以任何方式向第三方泄露在本协议开发实施过程中获取的经济、技术、数据以及双方其他非公开的信息。</w:t>
      </w:r>
    </w:p>
    <w:p w14:paraId="14702EB1">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14702EB3">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.5保密期限自本合同生效之日起永久有效，如乙方需解除保密协议需向甲方提出书面申请，双方协商同意签字确认后方可解除。</w:t>
      </w:r>
    </w:p>
    <w:p w14:paraId="14702EB4">
      <w:pPr>
        <w:pStyle w:val="2"/>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bCs/>
          <w:sz w:val="30"/>
          <w:szCs w:val="30"/>
          <w:lang w:val="en-US"/>
        </w:rPr>
      </w:pPr>
      <w:r>
        <w:rPr>
          <w:rFonts w:hint="eastAsia" w:ascii="仿宋_GB2312" w:hAnsi="仿宋_GB2312" w:eastAsia="仿宋_GB2312" w:cs="仿宋_GB2312"/>
          <w:b/>
          <w:bCs/>
          <w:sz w:val="30"/>
          <w:szCs w:val="30"/>
          <w:lang w:val="en-US" w:eastAsia="zh-CN"/>
        </w:rPr>
        <w:t>六</w:t>
      </w:r>
      <w:r>
        <w:rPr>
          <w:rFonts w:hint="eastAsia" w:ascii="仿宋_GB2312" w:hAnsi="仿宋_GB2312" w:eastAsia="仿宋_GB2312" w:cs="仿宋_GB2312"/>
          <w:b/>
          <w:bCs/>
          <w:sz w:val="30"/>
          <w:szCs w:val="30"/>
          <w:lang w:val="en-US"/>
        </w:rPr>
        <w:t>、报价</w:t>
      </w:r>
    </w:p>
    <w:p w14:paraId="14702EB6">
      <w:pPr>
        <w:pStyle w:val="2"/>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val="en-US"/>
        </w:rPr>
        <w:t>.1</w:t>
      </w:r>
      <w:r>
        <w:rPr>
          <w:rFonts w:hint="eastAsia" w:ascii="仿宋_GB2312" w:hAnsi="仿宋_GB2312" w:eastAsia="仿宋_GB2312" w:cs="仿宋_GB2312"/>
          <w:sz w:val="30"/>
          <w:szCs w:val="30"/>
        </w:rPr>
        <w:t>竞标文件提供技术偏离表、服务偏离表，并标明详细的技术和服务内容。竞标文件按系统模块报价，报价表价格包含产品安装、调试实施、培训费用、产品升级费用等费用，以及明示所有责任、义务和一切风险。</w:t>
      </w:r>
    </w:p>
    <w:p w14:paraId="14702EB9">
      <w:pPr>
        <w:pStyle w:val="3"/>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Cs w:val="0"/>
          <w:sz w:val="30"/>
          <w:szCs w:val="30"/>
        </w:rPr>
      </w:pPr>
      <w:r>
        <w:rPr>
          <w:rFonts w:hint="eastAsia" w:ascii="仿宋_GB2312" w:hAnsi="仿宋_GB2312" w:eastAsia="仿宋_GB2312" w:cs="仿宋_GB2312"/>
          <w:bCs w:val="0"/>
          <w:sz w:val="30"/>
          <w:szCs w:val="30"/>
          <w:lang w:val="en-US" w:eastAsia="zh-CN"/>
        </w:rPr>
        <w:t>七</w:t>
      </w:r>
      <w:r>
        <w:rPr>
          <w:rFonts w:hint="eastAsia" w:ascii="仿宋_GB2312" w:hAnsi="仿宋_GB2312" w:eastAsia="仿宋_GB2312" w:cs="仿宋_GB2312"/>
          <w:bCs w:val="0"/>
          <w:sz w:val="30"/>
          <w:szCs w:val="30"/>
        </w:rPr>
        <w:t>、付款方式</w:t>
      </w:r>
      <w:bookmarkEnd w:id="2"/>
    </w:p>
    <w:bookmarkEnd w:id="3"/>
    <w:p w14:paraId="37F8DFCF">
      <w:pPr>
        <w:pageBreakBefore w:val="0"/>
        <w:widowControl w:val="0"/>
        <w:kinsoku/>
        <w:wordWrap/>
        <w:overflowPunct/>
        <w:topLinePunct w:val="0"/>
        <w:autoSpaceDE/>
        <w:autoSpaceDN/>
        <w:bidi w:val="0"/>
        <w:adjustRightInd/>
        <w:snapToGrid/>
        <w:spacing w:line="600" w:lineRule="exact"/>
        <w:ind w:firstLine="600" w:firstLineChars="200"/>
        <w:textAlignment w:val="auto"/>
      </w:pPr>
      <w:r>
        <w:rPr>
          <w:rFonts w:hint="eastAsia" w:ascii="仿宋_GB2312" w:hAnsi="仿宋_GB2312" w:eastAsia="仿宋_GB2312" w:cs="仿宋_GB2312"/>
          <w:sz w:val="30"/>
          <w:szCs w:val="30"/>
        </w:rPr>
        <w:t>项目双方签订合同，乙方开具全额发票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甲方一次性向乙方支付</w:t>
      </w:r>
      <w:r>
        <w:rPr>
          <w:rFonts w:hint="eastAsia" w:ascii="仿宋_GB2312" w:hAnsi="仿宋_GB2312" w:eastAsia="仿宋_GB2312" w:cs="仿宋_GB2312"/>
          <w:sz w:val="30"/>
          <w:szCs w:val="30"/>
        </w:rPr>
        <w:t>合同款项的</w:t>
      </w:r>
      <w:r>
        <w:rPr>
          <w:rFonts w:hint="eastAsia" w:ascii="仿宋_GB2312" w:hAnsi="仿宋_GB2312" w:eastAsia="仿宋_GB2312" w:cs="仿宋_GB2312"/>
          <w:sz w:val="30"/>
          <w:szCs w:val="30"/>
          <w:lang w:val="en-US" w:eastAsia="zh-CN"/>
        </w:rPr>
        <w:t>100%</w:t>
      </w:r>
      <w:bookmarkStart w:id="4" w:name="_GoBack"/>
      <w:bookmarkEnd w:id="4"/>
      <w:r>
        <w:rPr>
          <w:rFonts w:hint="eastAsia" w:ascii="仿宋_GB2312" w:hAnsi="仿宋_GB2312" w:eastAsia="仿宋_GB2312" w:cs="仿宋_GB2312"/>
          <w:sz w:val="30"/>
          <w:szCs w:val="3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4B87"/>
    <w:multiLevelType w:val="multilevel"/>
    <w:tmpl w:val="14D84B87"/>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27441"/>
    <w:rsid w:val="01213882"/>
    <w:rsid w:val="018B7BC6"/>
    <w:rsid w:val="04073203"/>
    <w:rsid w:val="041B6CAE"/>
    <w:rsid w:val="04844854"/>
    <w:rsid w:val="048E715A"/>
    <w:rsid w:val="050B4F93"/>
    <w:rsid w:val="05322871"/>
    <w:rsid w:val="056F73C4"/>
    <w:rsid w:val="071D4ED9"/>
    <w:rsid w:val="07711E01"/>
    <w:rsid w:val="09063A89"/>
    <w:rsid w:val="099A5DD9"/>
    <w:rsid w:val="0A115D4C"/>
    <w:rsid w:val="0A1165D8"/>
    <w:rsid w:val="0D311CBA"/>
    <w:rsid w:val="0D4C1C87"/>
    <w:rsid w:val="0D8062CF"/>
    <w:rsid w:val="0E4D5A58"/>
    <w:rsid w:val="0EF97BEC"/>
    <w:rsid w:val="105552F6"/>
    <w:rsid w:val="12DF6A87"/>
    <w:rsid w:val="132A7F13"/>
    <w:rsid w:val="133D454B"/>
    <w:rsid w:val="138B5DD7"/>
    <w:rsid w:val="13AD63F3"/>
    <w:rsid w:val="1461426A"/>
    <w:rsid w:val="15440659"/>
    <w:rsid w:val="15702DAD"/>
    <w:rsid w:val="157D66F5"/>
    <w:rsid w:val="15B91E83"/>
    <w:rsid w:val="189270E7"/>
    <w:rsid w:val="18D76EF3"/>
    <w:rsid w:val="1A9829AF"/>
    <w:rsid w:val="1B4B27EC"/>
    <w:rsid w:val="1BCB41D7"/>
    <w:rsid w:val="1C4E77C9"/>
    <w:rsid w:val="1E4E521C"/>
    <w:rsid w:val="1E850E0C"/>
    <w:rsid w:val="1EDE3B19"/>
    <w:rsid w:val="1EE44195"/>
    <w:rsid w:val="1F3D58D3"/>
    <w:rsid w:val="1F5644EA"/>
    <w:rsid w:val="2181419D"/>
    <w:rsid w:val="21C434AD"/>
    <w:rsid w:val="22325319"/>
    <w:rsid w:val="22C667F9"/>
    <w:rsid w:val="241624FB"/>
    <w:rsid w:val="24504F9C"/>
    <w:rsid w:val="24BE3012"/>
    <w:rsid w:val="255A78DA"/>
    <w:rsid w:val="25653B47"/>
    <w:rsid w:val="259F3EF0"/>
    <w:rsid w:val="25AE6883"/>
    <w:rsid w:val="29121B7F"/>
    <w:rsid w:val="2A834AE2"/>
    <w:rsid w:val="2A9F0F97"/>
    <w:rsid w:val="2BE7622A"/>
    <w:rsid w:val="2C5801F0"/>
    <w:rsid w:val="2CD17022"/>
    <w:rsid w:val="2D872B3B"/>
    <w:rsid w:val="2E045F3A"/>
    <w:rsid w:val="2E9B2706"/>
    <w:rsid w:val="2EA944D2"/>
    <w:rsid w:val="2ECA3355"/>
    <w:rsid w:val="2F4920C0"/>
    <w:rsid w:val="2FBE65BC"/>
    <w:rsid w:val="322A1E2D"/>
    <w:rsid w:val="335D2C02"/>
    <w:rsid w:val="33734FB2"/>
    <w:rsid w:val="34A301BF"/>
    <w:rsid w:val="35A6162C"/>
    <w:rsid w:val="383A044D"/>
    <w:rsid w:val="38A2244C"/>
    <w:rsid w:val="38F117B0"/>
    <w:rsid w:val="3A0D26BE"/>
    <w:rsid w:val="3A127C30"/>
    <w:rsid w:val="3AF831B7"/>
    <w:rsid w:val="3D81408C"/>
    <w:rsid w:val="3E860224"/>
    <w:rsid w:val="3F402B4A"/>
    <w:rsid w:val="3FB51BAD"/>
    <w:rsid w:val="3FEB6F5A"/>
    <w:rsid w:val="41F30347"/>
    <w:rsid w:val="420662CD"/>
    <w:rsid w:val="42716A3C"/>
    <w:rsid w:val="42AB0C22"/>
    <w:rsid w:val="434B26CB"/>
    <w:rsid w:val="4427077C"/>
    <w:rsid w:val="451E56DB"/>
    <w:rsid w:val="45505AB1"/>
    <w:rsid w:val="455455A1"/>
    <w:rsid w:val="459C4F2F"/>
    <w:rsid w:val="45A51959"/>
    <w:rsid w:val="45A858ED"/>
    <w:rsid w:val="464B2C73"/>
    <w:rsid w:val="469C5730"/>
    <w:rsid w:val="48EA304A"/>
    <w:rsid w:val="49D61A36"/>
    <w:rsid w:val="4AA956FA"/>
    <w:rsid w:val="4AD23FBA"/>
    <w:rsid w:val="4BA257C5"/>
    <w:rsid w:val="4BA45DBB"/>
    <w:rsid w:val="4C162F74"/>
    <w:rsid w:val="4C3D6D8F"/>
    <w:rsid w:val="4D60283F"/>
    <w:rsid w:val="4ED16A53"/>
    <w:rsid w:val="4EFD01D6"/>
    <w:rsid w:val="4F411D33"/>
    <w:rsid w:val="4F4246BC"/>
    <w:rsid w:val="535763DF"/>
    <w:rsid w:val="541C3C19"/>
    <w:rsid w:val="553C395C"/>
    <w:rsid w:val="55A75279"/>
    <w:rsid w:val="56102B52"/>
    <w:rsid w:val="57BB331D"/>
    <w:rsid w:val="57D460CD"/>
    <w:rsid w:val="580D1F08"/>
    <w:rsid w:val="5B514BC9"/>
    <w:rsid w:val="5B7E4D37"/>
    <w:rsid w:val="5BA863FD"/>
    <w:rsid w:val="5C34538D"/>
    <w:rsid w:val="5C3A6E47"/>
    <w:rsid w:val="5D267DAB"/>
    <w:rsid w:val="5DDB2B96"/>
    <w:rsid w:val="5E2F036C"/>
    <w:rsid w:val="5E782572"/>
    <w:rsid w:val="5E7E2FB5"/>
    <w:rsid w:val="60567FC7"/>
    <w:rsid w:val="612C30DB"/>
    <w:rsid w:val="622D678C"/>
    <w:rsid w:val="625807E9"/>
    <w:rsid w:val="62C07765"/>
    <w:rsid w:val="63FE5F4D"/>
    <w:rsid w:val="643E324C"/>
    <w:rsid w:val="64FE478A"/>
    <w:rsid w:val="66304E17"/>
    <w:rsid w:val="666845B1"/>
    <w:rsid w:val="67CC581F"/>
    <w:rsid w:val="698F23B5"/>
    <w:rsid w:val="69B0084D"/>
    <w:rsid w:val="6C4E5B53"/>
    <w:rsid w:val="6CBD4F2A"/>
    <w:rsid w:val="6CE44417"/>
    <w:rsid w:val="6DB13D15"/>
    <w:rsid w:val="6EB760D5"/>
    <w:rsid w:val="6F92269E"/>
    <w:rsid w:val="6F976BAF"/>
    <w:rsid w:val="6FC13D25"/>
    <w:rsid w:val="6FEA4288"/>
    <w:rsid w:val="70136361"/>
    <w:rsid w:val="72897D89"/>
    <w:rsid w:val="73353C08"/>
    <w:rsid w:val="75C01524"/>
    <w:rsid w:val="763A3FE7"/>
    <w:rsid w:val="77AC1BC4"/>
    <w:rsid w:val="781E25CB"/>
    <w:rsid w:val="7874624B"/>
    <w:rsid w:val="796B625E"/>
    <w:rsid w:val="7AEA7905"/>
    <w:rsid w:val="7BD55DED"/>
    <w:rsid w:val="7C7962EB"/>
    <w:rsid w:val="7D6F401F"/>
    <w:rsid w:val="7D71658F"/>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1630</Words>
  <Characters>1699</Characters>
  <Lines>0</Lines>
  <Paragraphs>0</Paragraphs>
  <TotalTime>0</TotalTime>
  <ScaleCrop>false</ScaleCrop>
  <LinksUpToDate>false</LinksUpToDate>
  <CharactersWithSpaces>1709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2026-03-19T03:27:00Z</dcterms:created>
  <dc:creator>Administrator</dc:creator>
  <cp:lastModifiedBy>不为什么</cp:lastModifiedBy>
  <dcterms:modified xsi:type="dcterms:W3CDTF">2026-04-10T03:39:28Z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eyJoZGlkIjoiYmRlNGQ1ZjU3MjI2Mjc5OGQyNmEwZjVkN2FlOTUyMGQiLCJ1c2VySWQiOiI4MjU2MjIwOTUifQ==</vt:lpwstr>
  </property>
  <property fmtid="{D5CDD505-2E9C-101B-9397-08002B2CF9AE}" pid="4" name="ICV">
    <vt:lpwstr>D150BE0B8B6348B4A85E3C870FBFAD79_12</vt:lpwstr>
  </property>
</Properties>
</file>