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F2D26">
      <w:pPr>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柳州市工人医院</w:t>
      </w:r>
      <w:r>
        <w:rPr>
          <w:rFonts w:hint="eastAsia" w:ascii="仿宋" w:hAnsi="仿宋" w:eastAsia="仿宋" w:cs="仿宋"/>
          <w:b/>
          <w:bCs/>
          <w:color w:val="auto"/>
          <w:sz w:val="36"/>
          <w:szCs w:val="36"/>
          <w:lang w:val="en-US" w:eastAsia="zh-CN"/>
        </w:rPr>
        <w:t>2026年工会会员春节慰问品</w:t>
      </w:r>
      <w:r>
        <w:rPr>
          <w:rFonts w:hint="eastAsia" w:ascii="仿宋" w:hAnsi="仿宋" w:eastAsia="仿宋" w:cs="仿宋"/>
          <w:b/>
          <w:bCs/>
          <w:color w:val="auto"/>
          <w:sz w:val="36"/>
          <w:szCs w:val="36"/>
        </w:rPr>
        <w:t>采购项目需求</w:t>
      </w:r>
    </w:p>
    <w:p w14:paraId="333821D1">
      <w:pPr>
        <w:pStyle w:val="3"/>
        <w:rPr>
          <w:rFonts w:hint="eastAsia"/>
        </w:rPr>
      </w:pPr>
    </w:p>
    <w:p w14:paraId="2ADDEEC2">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一、项目名称</w:t>
      </w:r>
    </w:p>
    <w:p w14:paraId="04FFC9F1">
      <w:pPr>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柳州市工人医院工会</w:t>
      </w:r>
      <w:r>
        <w:rPr>
          <w:rFonts w:hint="eastAsia" w:ascii="仿宋" w:hAnsi="仿宋" w:eastAsia="仿宋" w:cs="仿宋"/>
          <w:bCs/>
          <w:color w:val="auto"/>
          <w:sz w:val="28"/>
          <w:szCs w:val="28"/>
          <w:lang w:val="en-US" w:eastAsia="zh-CN"/>
        </w:rPr>
        <w:t>2026年工会会员春节慰问品</w:t>
      </w:r>
      <w:r>
        <w:rPr>
          <w:rFonts w:hint="eastAsia" w:ascii="仿宋" w:hAnsi="仿宋" w:eastAsia="仿宋" w:cs="仿宋"/>
          <w:bCs/>
          <w:color w:val="auto"/>
          <w:sz w:val="28"/>
          <w:szCs w:val="28"/>
        </w:rPr>
        <w:t>采购</w:t>
      </w:r>
      <w:r>
        <w:rPr>
          <w:rFonts w:hint="eastAsia" w:ascii="仿宋" w:hAnsi="仿宋" w:eastAsia="仿宋" w:cs="仿宋"/>
          <w:bCs/>
          <w:color w:val="auto"/>
          <w:sz w:val="28"/>
          <w:szCs w:val="28"/>
          <w:lang w:val="en-US" w:eastAsia="zh-CN"/>
        </w:rPr>
        <w:t>项目</w:t>
      </w:r>
    </w:p>
    <w:p w14:paraId="08B94F1B">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二、项目概况</w:t>
      </w:r>
    </w:p>
    <w:p w14:paraId="7BFDF763">
      <w:pPr>
        <w:spacing w:line="400" w:lineRule="exact"/>
        <w:ind w:firstLine="600" w:firstLineChars="200"/>
        <w:rPr>
          <w:rFonts w:hint="eastAsia" w:eastAsia="仿宋"/>
          <w:lang w:val="en-US" w:eastAsia="zh-CN"/>
        </w:rPr>
      </w:pPr>
      <w:r>
        <w:rPr>
          <w:rFonts w:hint="eastAsia" w:ascii="仿宋" w:hAnsi="仿宋" w:eastAsia="仿宋" w:cs="仿宋"/>
          <w:sz w:val="30"/>
          <w:szCs w:val="30"/>
          <w:highlight w:val="none"/>
        </w:rPr>
        <w:t>按照桂工发[2018]3号《广西壮族自治区基层工会经费收支管理实施办法》文件精神，工会可在法定节日给会员发放慰问品。</w:t>
      </w:r>
      <w:r>
        <w:rPr>
          <w:rFonts w:hint="eastAsia" w:ascii="仿宋" w:hAnsi="仿宋" w:eastAsia="仿宋" w:cs="仿宋"/>
          <w:sz w:val="30"/>
          <w:szCs w:val="30"/>
          <w:highlight w:val="none"/>
          <w:lang w:val="en-US" w:eastAsia="zh-CN"/>
        </w:rPr>
        <w:t>拟定于2026年春节慰问品</w:t>
      </w:r>
      <w:r>
        <w:rPr>
          <w:rFonts w:hint="eastAsia" w:ascii="仿宋" w:hAnsi="仿宋" w:eastAsia="仿宋" w:cs="仿宋"/>
          <w:sz w:val="30"/>
          <w:szCs w:val="30"/>
          <w:highlight w:val="none"/>
        </w:rPr>
        <w:t>发放每人</w:t>
      </w:r>
      <w:r>
        <w:rPr>
          <w:rFonts w:hint="eastAsia" w:ascii="仿宋" w:hAnsi="仿宋" w:eastAsia="仿宋" w:cs="仿宋"/>
          <w:sz w:val="30"/>
          <w:szCs w:val="30"/>
          <w:highlight w:val="none"/>
          <w:lang w:val="en-US" w:eastAsia="zh-CN"/>
        </w:rPr>
        <w:t>400</w:t>
      </w:r>
      <w:r>
        <w:rPr>
          <w:rFonts w:hint="eastAsia" w:ascii="仿宋" w:hAnsi="仿宋" w:eastAsia="仿宋" w:cs="仿宋"/>
          <w:sz w:val="30"/>
          <w:szCs w:val="30"/>
          <w:highlight w:val="none"/>
        </w:rPr>
        <w:t>元慰问品，均在832平台上购买扶贫产品</w:t>
      </w:r>
      <w:r>
        <w:rPr>
          <w:rFonts w:hint="eastAsia" w:ascii="仿宋" w:hAnsi="仿宋" w:eastAsia="仿宋" w:cs="仿宋"/>
          <w:sz w:val="30"/>
          <w:szCs w:val="30"/>
          <w:highlight w:val="none"/>
          <w:lang w:eastAsia="zh-CN"/>
        </w:rPr>
        <w:t>。</w:t>
      </w:r>
    </w:p>
    <w:p w14:paraId="5C78A804">
      <w:pPr>
        <w:rPr>
          <w:rFonts w:hint="eastAsia" w:ascii="仿宋" w:hAnsi="仿宋" w:eastAsia="仿宋" w:cs="仿宋"/>
          <w:b/>
          <w:bCs/>
          <w:color w:val="auto"/>
          <w:sz w:val="28"/>
          <w:szCs w:val="28"/>
        </w:rPr>
      </w:pPr>
      <w:r>
        <w:rPr>
          <w:rFonts w:hint="eastAsia" w:ascii="仿宋" w:hAnsi="仿宋" w:eastAsia="仿宋" w:cs="仿宋"/>
          <w:b/>
          <w:color w:val="auto"/>
          <w:sz w:val="28"/>
          <w:szCs w:val="28"/>
        </w:rPr>
        <w:t>三、</w:t>
      </w:r>
      <w:r>
        <w:rPr>
          <w:rFonts w:hint="eastAsia" w:ascii="仿宋" w:hAnsi="仿宋" w:eastAsia="仿宋" w:cs="仿宋"/>
          <w:b/>
          <w:bCs/>
          <w:color w:val="auto"/>
          <w:sz w:val="28"/>
          <w:szCs w:val="28"/>
        </w:rPr>
        <w:t>供应商资质条件</w:t>
      </w:r>
    </w:p>
    <w:p w14:paraId="437D2474">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1、</w:t>
      </w:r>
      <w:r>
        <w:rPr>
          <w:rFonts w:hint="eastAsia" w:ascii="仿宋" w:hAnsi="仿宋" w:eastAsia="仿宋" w:cs="仿宋"/>
          <w:bCs/>
          <w:color w:val="auto"/>
          <w:sz w:val="28"/>
          <w:szCs w:val="28"/>
        </w:rPr>
        <w:t>投标人需为国内注册（指按国家有关规定要求注册的）生产或经营本次招标采购货物及服务、具备法人资格的供应商。</w:t>
      </w:r>
    </w:p>
    <w:p w14:paraId="297EB465">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2、投标人三年内在经营活动中没有重大违法记录和不良信用记录。</w:t>
      </w:r>
    </w:p>
    <w:p w14:paraId="3A34D387">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3、投标人有效的“营业执照”副本复印件。</w:t>
      </w:r>
    </w:p>
    <w:p w14:paraId="2C935EA4">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4、投标人有效的“税务登记证”副本复印件。</w:t>
      </w:r>
    </w:p>
    <w:p w14:paraId="5B332146">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5、授权经营许可证，食品经营许可证。</w:t>
      </w:r>
    </w:p>
    <w:p w14:paraId="13A62837">
      <w:pPr>
        <w:keepNext w:val="0"/>
        <w:keepLines w:val="0"/>
        <w:pageBreakBefore w:val="0"/>
        <w:numPr>
          <w:ilvl w:val="0"/>
          <w:numId w:val="0"/>
        </w:numPr>
        <w:kinsoku/>
        <w:wordWrap/>
        <w:overflowPunct/>
        <w:topLinePunct w:val="0"/>
        <w:autoSpaceDE/>
        <w:autoSpaceDN/>
        <w:bidi w:val="0"/>
        <w:snapToGrid/>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6、</w:t>
      </w:r>
      <w:r>
        <w:rPr>
          <w:rFonts w:hint="eastAsia" w:ascii="仿宋" w:hAnsi="仿宋" w:eastAsia="仿宋" w:cs="仿宋"/>
          <w:color w:val="auto"/>
          <w:sz w:val="28"/>
          <w:szCs w:val="28"/>
          <w:lang w:val="en-US" w:eastAsia="zh-CN"/>
        </w:rPr>
        <w:t>产品检验报告。</w:t>
      </w:r>
    </w:p>
    <w:p w14:paraId="5A3006B8">
      <w:pPr>
        <w:spacing w:line="40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7、投标人需在832平台注册，所采购产品需在平台上架。</w:t>
      </w:r>
    </w:p>
    <w:p w14:paraId="213454C2">
      <w:pPr>
        <w:keepNext w:val="0"/>
        <w:keepLines w:val="0"/>
        <w:pageBreakBefore w:val="0"/>
        <w:widowControl w:val="0"/>
        <w:numPr>
          <w:ilvl w:val="0"/>
          <w:numId w:val="1"/>
        </w:numPr>
        <w:kinsoku/>
        <w:wordWrap/>
        <w:overflowPunct/>
        <w:topLinePunct w:val="0"/>
        <w:autoSpaceDE/>
        <w:autoSpaceDN/>
        <w:bidi w:val="0"/>
        <w:adjustRightInd/>
        <w:snapToGrid/>
        <w:ind w:left="0" w:leftChars="0"/>
        <w:jc w:val="both"/>
        <w:textAlignment w:val="auto"/>
        <w:rPr>
          <w:rFonts w:hint="eastAsia" w:ascii="仿宋" w:hAnsi="仿宋" w:eastAsia="仿宋" w:cs="仿宋"/>
          <w:b/>
          <w:color w:val="auto"/>
          <w:sz w:val="28"/>
          <w:szCs w:val="28"/>
        </w:rPr>
      </w:pPr>
      <w:r>
        <w:rPr>
          <w:rFonts w:hint="eastAsia" w:ascii="仿宋" w:hAnsi="仿宋" w:eastAsia="仿宋" w:cs="仿宋"/>
          <w:b/>
          <w:bCs/>
          <w:color w:val="auto"/>
          <w:sz w:val="28"/>
          <w:szCs w:val="28"/>
          <w:lang w:val="en-US" w:eastAsia="zh-CN"/>
        </w:rPr>
        <w:t>采购产品</w:t>
      </w:r>
      <w:r>
        <w:rPr>
          <w:rFonts w:hint="eastAsia" w:ascii="仿宋" w:hAnsi="仿宋" w:eastAsia="仿宋" w:cs="仿宋"/>
          <w:b/>
          <w:bCs/>
          <w:color w:val="auto"/>
          <w:sz w:val="28"/>
          <w:szCs w:val="28"/>
        </w:rPr>
        <w:t>：</w:t>
      </w:r>
    </w:p>
    <w:p w14:paraId="5F2998E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油类：一级花生油；茶油；</w:t>
      </w:r>
    </w:p>
    <w:p w14:paraId="4F737C2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米面类：大米；杂粮礼盒；面条；</w:t>
      </w:r>
    </w:p>
    <w:p w14:paraId="14E01B4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干货类：香菇；木耳；笋干；竹荪；罗汉果；螺蛳粉；</w:t>
      </w:r>
    </w:p>
    <w:p w14:paraId="3B69CCE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茶类：红茶；绿茶；</w:t>
      </w:r>
    </w:p>
    <w:p w14:paraId="4A5A83D1">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sz w:val="30"/>
          <w:szCs w:val="30"/>
          <w:lang w:val="en-US" w:eastAsia="zh-CN"/>
        </w:rPr>
        <w:t>腊肉类：腊肉；广味腊肠；咸味腊肠；牛肉干；</w:t>
      </w:r>
    </w:p>
    <w:p w14:paraId="2FF9C0AB">
      <w:pPr>
        <w:numPr>
          <w:ilvl w:val="0"/>
          <w:numId w:val="0"/>
        </w:numPr>
        <w:spacing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由职工自由组合以上中标产品，组合产品不得超过400元，组合产品不足400元者，由中标供应商搭配其它产品补足400元。（按照截止12月3日，全院工会会员共计3877人，最终以实际采购数量结算）</w:t>
      </w:r>
    </w:p>
    <w:p w14:paraId="7A917D6E">
      <w:pPr>
        <w:numPr>
          <w:ilvl w:val="0"/>
          <w:numId w:val="0"/>
        </w:numPr>
        <w:spacing w:line="400" w:lineRule="exact"/>
        <w:ind w:firstLine="562" w:firstLineChars="200"/>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u w:val="single"/>
          <w:lang w:val="en-US" w:eastAsia="zh-CN"/>
        </w:rPr>
        <w:t>该项目分为7个标段进行招标及报价，投标供应商需按标段进行投标并且满足标段所列出产品，不满足视为该标段投标无效（如标段3为4个产品，投标该段标段的供应商需满足4个产品，否则视为无效投标）详细参数</w:t>
      </w:r>
      <w:bookmarkStart w:id="0" w:name="_GoBack"/>
      <w:bookmarkEnd w:id="0"/>
      <w:r>
        <w:rPr>
          <w:rFonts w:hint="eastAsia" w:ascii="仿宋" w:hAnsi="仿宋" w:eastAsia="仿宋" w:cs="仿宋"/>
          <w:b/>
          <w:bCs/>
          <w:color w:val="auto"/>
          <w:sz w:val="28"/>
          <w:szCs w:val="28"/>
          <w:highlight w:val="none"/>
          <w:u w:val="single"/>
          <w:lang w:val="en-US" w:eastAsia="zh-CN"/>
        </w:rPr>
        <w:t>如下：</w:t>
      </w:r>
    </w:p>
    <w:tbl>
      <w:tblPr>
        <w:tblStyle w:val="4"/>
        <w:tblW w:w="9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246"/>
        <w:gridCol w:w="1252"/>
        <w:gridCol w:w="1224"/>
        <w:gridCol w:w="6035"/>
      </w:tblGrid>
      <w:tr w14:paraId="2CB1A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59" w:hRule="atLeast"/>
          <w:jc w:val="center"/>
        </w:trPr>
        <w:tc>
          <w:tcPr>
            <w:tcW w:w="1246" w:type="dxa"/>
            <w:tcBorders>
              <w:tl2br w:val="nil"/>
              <w:tr2bl w:val="nil"/>
            </w:tcBorders>
            <w:shd w:val="clear" w:color="auto" w:fill="auto"/>
            <w:tcMar>
              <w:top w:w="15" w:type="dxa"/>
              <w:left w:w="15" w:type="dxa"/>
              <w:right w:w="15" w:type="dxa"/>
            </w:tcMar>
            <w:vAlign w:val="center"/>
          </w:tcPr>
          <w:p w14:paraId="163EC575">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品类</w:t>
            </w:r>
          </w:p>
        </w:tc>
        <w:tc>
          <w:tcPr>
            <w:tcW w:w="1252" w:type="dxa"/>
            <w:tcBorders>
              <w:tl2br w:val="nil"/>
              <w:tr2bl w:val="nil"/>
            </w:tcBorders>
            <w:shd w:val="clear" w:color="auto" w:fill="auto"/>
            <w:tcMar>
              <w:top w:w="15" w:type="dxa"/>
              <w:left w:w="15" w:type="dxa"/>
              <w:right w:w="15" w:type="dxa"/>
            </w:tcMar>
            <w:vAlign w:val="center"/>
          </w:tcPr>
          <w:p w14:paraId="4740B9C8">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货物名称</w:t>
            </w:r>
          </w:p>
        </w:tc>
        <w:tc>
          <w:tcPr>
            <w:tcW w:w="1224" w:type="dxa"/>
            <w:tcBorders>
              <w:tl2br w:val="nil"/>
              <w:tr2bl w:val="nil"/>
            </w:tcBorders>
            <w:shd w:val="clear" w:color="auto" w:fill="auto"/>
            <w:tcMar>
              <w:top w:w="15" w:type="dxa"/>
              <w:left w:w="15" w:type="dxa"/>
              <w:right w:w="15" w:type="dxa"/>
            </w:tcMar>
            <w:vAlign w:val="center"/>
          </w:tcPr>
          <w:p w14:paraId="6E928475">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数量及单位</w:t>
            </w:r>
          </w:p>
        </w:tc>
        <w:tc>
          <w:tcPr>
            <w:tcW w:w="6035" w:type="dxa"/>
            <w:tcBorders>
              <w:tl2br w:val="nil"/>
              <w:tr2bl w:val="nil"/>
            </w:tcBorders>
            <w:shd w:val="clear" w:color="auto" w:fill="auto"/>
            <w:tcMar>
              <w:top w:w="15" w:type="dxa"/>
              <w:left w:w="15" w:type="dxa"/>
              <w:right w:w="15" w:type="dxa"/>
            </w:tcMar>
            <w:vAlign w:val="center"/>
          </w:tcPr>
          <w:p w14:paraId="2D178931">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功能目标及技术指标</w:t>
            </w:r>
          </w:p>
        </w:tc>
      </w:tr>
      <w:tr w14:paraId="5F63F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46" w:type="dxa"/>
            <w:vMerge w:val="restart"/>
            <w:tcBorders>
              <w:tl2br w:val="nil"/>
              <w:tr2bl w:val="nil"/>
            </w:tcBorders>
            <w:shd w:val="clear" w:color="auto" w:fill="auto"/>
            <w:tcMar>
              <w:top w:w="15" w:type="dxa"/>
              <w:left w:w="15" w:type="dxa"/>
              <w:right w:w="15" w:type="dxa"/>
            </w:tcMar>
            <w:vAlign w:val="center"/>
          </w:tcPr>
          <w:p w14:paraId="05137EA1">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标段1</w:t>
            </w:r>
          </w:p>
          <w:p w14:paraId="0CA236B1">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w:t>
            </w:r>
            <w:r>
              <w:rPr>
                <w:rFonts w:hint="eastAsia" w:ascii="宋体" w:hAnsi="宋体" w:eastAsia="宋体" w:cs="宋体"/>
                <w:b/>
                <w:i w:val="0"/>
                <w:color w:val="000000"/>
                <w:kern w:val="0"/>
                <w:sz w:val="22"/>
                <w:szCs w:val="22"/>
                <w:u w:val="none"/>
                <w:lang w:val="en-US" w:eastAsia="zh-CN" w:bidi="ar"/>
              </w:rPr>
              <w:t>油类</w:t>
            </w:r>
            <w:r>
              <w:rPr>
                <w:rFonts w:hint="eastAsia" w:ascii="宋体" w:hAnsi="宋体" w:cs="宋体"/>
                <w:b/>
                <w:i w:val="0"/>
                <w:color w:val="000000"/>
                <w:kern w:val="0"/>
                <w:sz w:val="22"/>
                <w:szCs w:val="22"/>
                <w:u w:val="none"/>
                <w:lang w:val="en-US" w:eastAsia="zh-CN" w:bidi="ar"/>
              </w:rPr>
              <w:t>）</w:t>
            </w:r>
          </w:p>
        </w:tc>
        <w:tc>
          <w:tcPr>
            <w:tcW w:w="1252" w:type="dxa"/>
            <w:tcBorders>
              <w:tl2br w:val="nil"/>
              <w:tr2bl w:val="nil"/>
            </w:tcBorders>
            <w:shd w:val="clear" w:color="auto" w:fill="auto"/>
            <w:tcMar>
              <w:top w:w="15" w:type="dxa"/>
              <w:left w:w="15" w:type="dxa"/>
              <w:right w:w="15" w:type="dxa"/>
            </w:tcMar>
            <w:vAlign w:val="center"/>
          </w:tcPr>
          <w:p w14:paraId="51C32B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一级花生油</w:t>
            </w:r>
          </w:p>
        </w:tc>
        <w:tc>
          <w:tcPr>
            <w:tcW w:w="1224" w:type="dxa"/>
            <w:tcBorders>
              <w:tl2br w:val="nil"/>
              <w:tr2bl w:val="nil"/>
            </w:tcBorders>
            <w:shd w:val="clear" w:color="auto" w:fill="auto"/>
            <w:tcMar>
              <w:top w:w="15" w:type="dxa"/>
              <w:left w:w="15" w:type="dxa"/>
              <w:right w:w="15" w:type="dxa"/>
            </w:tcMar>
            <w:vAlign w:val="center"/>
          </w:tcPr>
          <w:p w14:paraId="115A8F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1瓶</w:t>
            </w:r>
          </w:p>
        </w:tc>
        <w:tc>
          <w:tcPr>
            <w:tcW w:w="6035" w:type="dxa"/>
            <w:tcBorders>
              <w:tl2br w:val="nil"/>
              <w:tr2bl w:val="nil"/>
            </w:tcBorders>
            <w:shd w:val="clear" w:color="auto" w:fill="auto"/>
            <w:tcMar>
              <w:top w:w="15" w:type="dxa"/>
              <w:left w:w="15" w:type="dxa"/>
              <w:right w:w="15" w:type="dxa"/>
            </w:tcMar>
            <w:vAlign w:val="center"/>
          </w:tcPr>
          <w:p w14:paraId="0E70B8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★1.压榨一级花生油，符合GB/T 1534花生油国家标准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2.规格或净含量：5L/瓶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4.加工工艺：压榨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5.原料原产国：中国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6.产品要求为供货前2个月内生产。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7.外包装要求：包装袋密封性能好，油品清明透亮，无沉淀物和凝结物，基本没有气泡产生，标明规格/净含量、等级、配料/配料表、产地、生产日期、保质期、SC认证标志、生产许可证编号等相关信息。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8.保质期：自生产出厂之日12个月(含)以上</w:t>
            </w:r>
          </w:p>
        </w:tc>
      </w:tr>
      <w:tr w14:paraId="22F1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2" w:hRule="atLeast"/>
          <w:jc w:val="center"/>
        </w:trPr>
        <w:tc>
          <w:tcPr>
            <w:tcW w:w="1246" w:type="dxa"/>
            <w:vMerge w:val="continue"/>
            <w:tcBorders>
              <w:tl2br w:val="nil"/>
              <w:tr2bl w:val="nil"/>
            </w:tcBorders>
            <w:shd w:val="clear" w:color="auto" w:fill="auto"/>
            <w:tcMar>
              <w:top w:w="15" w:type="dxa"/>
              <w:left w:w="15" w:type="dxa"/>
              <w:right w:w="15" w:type="dxa"/>
            </w:tcMar>
            <w:vAlign w:val="center"/>
          </w:tcPr>
          <w:p w14:paraId="1B8E81D2">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252" w:type="dxa"/>
            <w:tcBorders>
              <w:tl2br w:val="nil"/>
              <w:tr2bl w:val="nil"/>
            </w:tcBorders>
            <w:shd w:val="clear" w:color="auto" w:fill="auto"/>
            <w:tcMar>
              <w:top w:w="15" w:type="dxa"/>
              <w:left w:w="15" w:type="dxa"/>
              <w:right w:w="15" w:type="dxa"/>
            </w:tcMar>
            <w:vAlign w:val="center"/>
          </w:tcPr>
          <w:p w14:paraId="53A8D6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茶油</w:t>
            </w:r>
          </w:p>
        </w:tc>
        <w:tc>
          <w:tcPr>
            <w:tcW w:w="1224" w:type="dxa"/>
            <w:tcBorders>
              <w:tl2br w:val="nil"/>
              <w:tr2bl w:val="nil"/>
            </w:tcBorders>
            <w:shd w:val="clear" w:color="auto" w:fill="auto"/>
            <w:noWrap/>
            <w:tcMar>
              <w:top w:w="15" w:type="dxa"/>
              <w:left w:w="15" w:type="dxa"/>
              <w:right w:w="15" w:type="dxa"/>
            </w:tcMar>
            <w:vAlign w:val="center"/>
          </w:tcPr>
          <w:p w14:paraId="40CBA0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1瓶</w:t>
            </w:r>
          </w:p>
        </w:tc>
        <w:tc>
          <w:tcPr>
            <w:tcW w:w="6035" w:type="dxa"/>
            <w:tcBorders>
              <w:tl2br w:val="nil"/>
              <w:tr2bl w:val="nil"/>
            </w:tcBorders>
            <w:shd w:val="clear" w:color="auto" w:fill="auto"/>
            <w:tcMar>
              <w:top w:w="15" w:type="dxa"/>
              <w:left w:w="15" w:type="dxa"/>
              <w:right w:w="15" w:type="dxa"/>
            </w:tcMar>
            <w:vAlign w:val="center"/>
          </w:tcPr>
          <w:p w14:paraId="0F27C1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1.符合山茶油国家标准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2.规格或净含量：500ml/瓶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3.质量等级：二级及以上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4.加工工艺：热榨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5.原料原产国：中国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6.产品要求为供货前2个月内生产。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7.外包装要求：包装袋密封性能好，油品清明透亮，无沉淀物和凝结物，基本没有气泡产生，标明规格/净含量、等级、配料/配料表、产地、生产日期、保质期、生产许可证编号等相关信息。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8.保质期：自生产出厂之日12个月(含)以上</w:t>
            </w:r>
          </w:p>
        </w:tc>
      </w:tr>
      <w:tr w14:paraId="425E0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atLeast"/>
          <w:jc w:val="center"/>
        </w:trPr>
        <w:tc>
          <w:tcPr>
            <w:tcW w:w="1246" w:type="dxa"/>
            <w:tcBorders>
              <w:tl2br w:val="nil"/>
              <w:tr2bl w:val="nil"/>
            </w:tcBorders>
            <w:shd w:val="clear" w:color="auto" w:fill="auto"/>
            <w:tcMar>
              <w:top w:w="15" w:type="dxa"/>
              <w:left w:w="15" w:type="dxa"/>
              <w:right w:w="15" w:type="dxa"/>
            </w:tcMar>
            <w:vAlign w:val="center"/>
          </w:tcPr>
          <w:p w14:paraId="6F51DA59">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标段2</w:t>
            </w:r>
          </w:p>
          <w:p w14:paraId="51E416CD">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w:t>
            </w:r>
            <w:r>
              <w:rPr>
                <w:rFonts w:hint="eastAsia" w:ascii="宋体" w:hAnsi="宋体" w:eastAsia="宋体" w:cs="宋体"/>
                <w:b/>
                <w:i w:val="0"/>
                <w:color w:val="000000"/>
                <w:kern w:val="0"/>
                <w:sz w:val="22"/>
                <w:szCs w:val="22"/>
                <w:u w:val="none"/>
                <w:lang w:val="en-US" w:eastAsia="zh-CN" w:bidi="ar"/>
              </w:rPr>
              <w:t>米类</w:t>
            </w:r>
            <w:r>
              <w:rPr>
                <w:rFonts w:hint="eastAsia" w:ascii="宋体" w:hAnsi="宋体" w:cs="宋体"/>
                <w:b/>
                <w:i w:val="0"/>
                <w:color w:val="000000"/>
                <w:kern w:val="0"/>
                <w:sz w:val="22"/>
                <w:szCs w:val="22"/>
                <w:u w:val="none"/>
                <w:lang w:val="en-US" w:eastAsia="zh-CN" w:bidi="ar"/>
              </w:rPr>
              <w:t>）</w:t>
            </w:r>
          </w:p>
        </w:tc>
        <w:tc>
          <w:tcPr>
            <w:tcW w:w="1252" w:type="dxa"/>
            <w:tcBorders>
              <w:tl2br w:val="nil"/>
              <w:tr2bl w:val="nil"/>
            </w:tcBorders>
            <w:shd w:val="clear" w:color="auto" w:fill="auto"/>
            <w:tcMar>
              <w:top w:w="15" w:type="dxa"/>
              <w:left w:w="15" w:type="dxa"/>
              <w:right w:w="15" w:type="dxa"/>
            </w:tcMar>
            <w:vAlign w:val="center"/>
          </w:tcPr>
          <w:p w14:paraId="1B29A7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224" w:type="dxa"/>
            <w:tcBorders>
              <w:tl2br w:val="nil"/>
              <w:tr2bl w:val="nil"/>
            </w:tcBorders>
            <w:shd w:val="clear" w:color="auto" w:fill="auto"/>
            <w:tcMar>
              <w:top w:w="15" w:type="dxa"/>
              <w:left w:w="15" w:type="dxa"/>
              <w:right w:w="15" w:type="dxa"/>
            </w:tcMar>
            <w:vAlign w:val="center"/>
          </w:tcPr>
          <w:p w14:paraId="500948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1袋</w:t>
            </w:r>
          </w:p>
        </w:tc>
        <w:tc>
          <w:tcPr>
            <w:tcW w:w="6035" w:type="dxa"/>
            <w:tcBorders>
              <w:tl2br w:val="nil"/>
              <w:tr2bl w:val="nil"/>
            </w:tcBorders>
            <w:shd w:val="clear" w:color="auto" w:fill="auto"/>
            <w:tcMar>
              <w:top w:w="15" w:type="dxa"/>
              <w:left w:w="15" w:type="dxa"/>
              <w:right w:w="15" w:type="dxa"/>
            </w:tcMar>
            <w:vAlign w:val="center"/>
          </w:tcPr>
          <w:p w14:paraId="0C73EB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★1.一级大米，5KG/袋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2.符合GB1354-2018标准要求，无霉变，无掺杂、无黄粒米、无沙石等异物、无异常色泽和异味。（投标文件中提供产品质量监</w:t>
            </w:r>
            <w:r>
              <w:rPr>
                <w:rFonts w:hint="eastAsia" w:ascii="宋体" w:hAnsi="宋体" w:eastAsia="宋体" w:cs="宋体"/>
                <w:i w:val="0"/>
                <w:color w:val="000000"/>
                <w:kern w:val="0"/>
                <w:sz w:val="22"/>
                <w:szCs w:val="22"/>
                <w:highlight w:val="none"/>
                <w:u w:val="none"/>
                <w:lang w:val="en-US" w:eastAsia="zh-CN" w:bidi="ar"/>
              </w:rPr>
              <w:t>督所的检验报告复印件）</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★3.质量等级一级（含）以上，有SC认证标志</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4.预包装食品标签符合GB 7718-2011标准</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5.产品要求为供货前2个月内生产。</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 xml:space="preserve">6.保质期：自生产出厂之日6个月(含)以上 </w:t>
            </w:r>
          </w:p>
        </w:tc>
      </w:tr>
      <w:tr w14:paraId="34C5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jc w:val="center"/>
        </w:trPr>
        <w:tc>
          <w:tcPr>
            <w:tcW w:w="1246" w:type="dxa"/>
            <w:vMerge w:val="restart"/>
            <w:tcBorders>
              <w:tl2br w:val="nil"/>
              <w:tr2bl w:val="nil"/>
            </w:tcBorders>
            <w:shd w:val="clear" w:color="auto" w:fill="auto"/>
            <w:tcMar>
              <w:top w:w="15" w:type="dxa"/>
              <w:left w:w="15" w:type="dxa"/>
              <w:right w:w="15" w:type="dxa"/>
            </w:tcMar>
            <w:vAlign w:val="center"/>
          </w:tcPr>
          <w:p w14:paraId="263E4E05">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标段3</w:t>
            </w:r>
          </w:p>
          <w:p w14:paraId="55A2EFCE">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w:t>
            </w:r>
            <w:r>
              <w:rPr>
                <w:rFonts w:hint="eastAsia" w:ascii="宋体" w:hAnsi="宋体" w:eastAsia="宋体" w:cs="宋体"/>
                <w:b/>
                <w:i w:val="0"/>
                <w:color w:val="000000"/>
                <w:kern w:val="0"/>
                <w:sz w:val="22"/>
                <w:szCs w:val="22"/>
                <w:u w:val="none"/>
                <w:lang w:val="en-US" w:eastAsia="zh-CN" w:bidi="ar"/>
              </w:rPr>
              <w:t>干货类</w:t>
            </w:r>
            <w:r>
              <w:rPr>
                <w:rFonts w:hint="eastAsia" w:ascii="宋体" w:hAnsi="宋体" w:cs="宋体"/>
                <w:b/>
                <w:i w:val="0"/>
                <w:color w:val="000000"/>
                <w:kern w:val="0"/>
                <w:sz w:val="22"/>
                <w:szCs w:val="22"/>
                <w:u w:val="none"/>
                <w:lang w:val="en-US" w:eastAsia="zh-CN" w:bidi="ar"/>
              </w:rPr>
              <w:t>）</w:t>
            </w:r>
          </w:p>
        </w:tc>
        <w:tc>
          <w:tcPr>
            <w:tcW w:w="1252" w:type="dxa"/>
            <w:tcBorders>
              <w:tl2br w:val="nil"/>
              <w:tr2bl w:val="nil"/>
            </w:tcBorders>
            <w:shd w:val="clear" w:color="auto" w:fill="auto"/>
            <w:tcMar>
              <w:top w:w="15" w:type="dxa"/>
              <w:left w:w="15" w:type="dxa"/>
              <w:right w:w="15" w:type="dxa"/>
            </w:tcMar>
            <w:vAlign w:val="center"/>
          </w:tcPr>
          <w:p w14:paraId="70275B4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香菇</w:t>
            </w:r>
          </w:p>
        </w:tc>
        <w:tc>
          <w:tcPr>
            <w:tcW w:w="1224" w:type="dxa"/>
            <w:tcBorders>
              <w:tl2br w:val="nil"/>
              <w:tr2bl w:val="nil"/>
            </w:tcBorders>
            <w:shd w:val="clear" w:color="auto" w:fill="auto"/>
            <w:noWrap/>
            <w:tcMar>
              <w:top w:w="15" w:type="dxa"/>
              <w:left w:w="15" w:type="dxa"/>
              <w:right w:w="15" w:type="dxa"/>
            </w:tcMar>
            <w:vAlign w:val="center"/>
          </w:tcPr>
          <w:p w14:paraId="444F3D0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1袋</w:t>
            </w:r>
          </w:p>
        </w:tc>
        <w:tc>
          <w:tcPr>
            <w:tcW w:w="6035" w:type="dxa"/>
            <w:tcBorders>
              <w:tl2br w:val="nil"/>
              <w:tr2bl w:val="nil"/>
            </w:tcBorders>
            <w:shd w:val="clear" w:color="auto" w:fill="auto"/>
            <w:tcMar>
              <w:top w:w="15" w:type="dxa"/>
              <w:left w:w="15" w:type="dxa"/>
              <w:right w:w="15" w:type="dxa"/>
            </w:tcMar>
            <w:vAlign w:val="top"/>
          </w:tcPr>
          <w:p w14:paraId="160CA9A1">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1.规格：≥250g/包</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2.样品状态：包装完好 封签完好</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3.质量等级：干香菇等级二级及以上品质</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质保期：6个月</w:t>
            </w:r>
          </w:p>
        </w:tc>
      </w:tr>
      <w:tr w14:paraId="4219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jc w:val="center"/>
        </w:trPr>
        <w:tc>
          <w:tcPr>
            <w:tcW w:w="1246" w:type="dxa"/>
            <w:vMerge w:val="continue"/>
            <w:tcBorders>
              <w:tl2br w:val="nil"/>
              <w:tr2bl w:val="nil"/>
            </w:tcBorders>
            <w:shd w:val="clear" w:color="auto" w:fill="auto"/>
            <w:tcMar>
              <w:top w:w="15" w:type="dxa"/>
              <w:left w:w="15" w:type="dxa"/>
              <w:right w:w="15" w:type="dxa"/>
            </w:tcMar>
            <w:vAlign w:val="center"/>
          </w:tcPr>
          <w:p w14:paraId="0C59E7D7">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252" w:type="dxa"/>
            <w:tcBorders>
              <w:tl2br w:val="nil"/>
              <w:tr2bl w:val="nil"/>
            </w:tcBorders>
            <w:shd w:val="clear" w:color="auto" w:fill="auto"/>
            <w:tcMar>
              <w:top w:w="15" w:type="dxa"/>
              <w:left w:w="15" w:type="dxa"/>
              <w:right w:w="15" w:type="dxa"/>
            </w:tcMar>
            <w:vAlign w:val="center"/>
          </w:tcPr>
          <w:p w14:paraId="25FAB06E">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木耳</w:t>
            </w:r>
          </w:p>
        </w:tc>
        <w:tc>
          <w:tcPr>
            <w:tcW w:w="1224" w:type="dxa"/>
            <w:tcBorders>
              <w:tl2br w:val="nil"/>
              <w:tr2bl w:val="nil"/>
            </w:tcBorders>
            <w:shd w:val="clear" w:color="auto" w:fill="auto"/>
            <w:noWrap/>
            <w:tcMar>
              <w:top w:w="15" w:type="dxa"/>
              <w:left w:w="15" w:type="dxa"/>
              <w:right w:w="15" w:type="dxa"/>
            </w:tcMar>
            <w:vAlign w:val="center"/>
          </w:tcPr>
          <w:p w14:paraId="16B77E3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1袋</w:t>
            </w:r>
          </w:p>
        </w:tc>
        <w:tc>
          <w:tcPr>
            <w:tcW w:w="6035" w:type="dxa"/>
            <w:tcBorders>
              <w:tl2br w:val="nil"/>
              <w:tr2bl w:val="nil"/>
            </w:tcBorders>
            <w:shd w:val="clear" w:color="auto" w:fill="auto"/>
            <w:tcMar>
              <w:top w:w="15" w:type="dxa"/>
              <w:left w:w="15" w:type="dxa"/>
              <w:right w:w="15" w:type="dxa"/>
            </w:tcMar>
            <w:vAlign w:val="top"/>
          </w:tcPr>
          <w:p w14:paraId="29483C21">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1.规格：≥250g/包</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2.样品状态：包装完好 封签完好</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3.质量等级：干木耳二级及以上品质</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质保期：6个月</w:t>
            </w:r>
          </w:p>
        </w:tc>
      </w:tr>
      <w:tr w14:paraId="34FA7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jc w:val="center"/>
        </w:trPr>
        <w:tc>
          <w:tcPr>
            <w:tcW w:w="1246" w:type="dxa"/>
            <w:vMerge w:val="continue"/>
            <w:tcBorders>
              <w:tl2br w:val="nil"/>
              <w:tr2bl w:val="nil"/>
            </w:tcBorders>
            <w:shd w:val="clear" w:color="auto" w:fill="auto"/>
            <w:tcMar>
              <w:top w:w="15" w:type="dxa"/>
              <w:left w:w="15" w:type="dxa"/>
              <w:right w:w="15" w:type="dxa"/>
            </w:tcMar>
            <w:vAlign w:val="center"/>
          </w:tcPr>
          <w:p w14:paraId="54C21A61">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252" w:type="dxa"/>
            <w:tcBorders>
              <w:tl2br w:val="nil"/>
              <w:tr2bl w:val="nil"/>
            </w:tcBorders>
            <w:shd w:val="clear" w:color="auto" w:fill="auto"/>
            <w:tcMar>
              <w:top w:w="15" w:type="dxa"/>
              <w:left w:w="15" w:type="dxa"/>
              <w:right w:w="15" w:type="dxa"/>
            </w:tcMar>
            <w:vAlign w:val="center"/>
          </w:tcPr>
          <w:p w14:paraId="6BA15E1C">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笋干</w:t>
            </w:r>
          </w:p>
        </w:tc>
        <w:tc>
          <w:tcPr>
            <w:tcW w:w="1224" w:type="dxa"/>
            <w:tcBorders>
              <w:tl2br w:val="nil"/>
              <w:tr2bl w:val="nil"/>
            </w:tcBorders>
            <w:shd w:val="clear" w:color="auto" w:fill="auto"/>
            <w:noWrap/>
            <w:tcMar>
              <w:top w:w="15" w:type="dxa"/>
              <w:left w:w="15" w:type="dxa"/>
              <w:right w:w="15" w:type="dxa"/>
            </w:tcMar>
            <w:vAlign w:val="center"/>
          </w:tcPr>
          <w:p w14:paraId="1F04BAD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1袋</w:t>
            </w:r>
          </w:p>
        </w:tc>
        <w:tc>
          <w:tcPr>
            <w:tcW w:w="6035" w:type="dxa"/>
            <w:tcBorders>
              <w:tl2br w:val="nil"/>
              <w:tr2bl w:val="nil"/>
            </w:tcBorders>
            <w:shd w:val="clear" w:color="auto" w:fill="auto"/>
            <w:tcMar>
              <w:top w:w="15" w:type="dxa"/>
              <w:left w:w="15" w:type="dxa"/>
              <w:right w:w="15" w:type="dxa"/>
            </w:tcMar>
            <w:vAlign w:val="top"/>
          </w:tcPr>
          <w:p w14:paraId="429458D7">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1.规格：≥250g/包</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2.样品状态：包装完好 封签完好</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3.质量等级：一级及以上品质</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质保期：12个月</w:t>
            </w:r>
          </w:p>
        </w:tc>
      </w:tr>
      <w:tr w14:paraId="55BB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jc w:val="center"/>
        </w:trPr>
        <w:tc>
          <w:tcPr>
            <w:tcW w:w="1246" w:type="dxa"/>
            <w:vMerge w:val="continue"/>
            <w:tcBorders>
              <w:tl2br w:val="nil"/>
              <w:tr2bl w:val="nil"/>
            </w:tcBorders>
            <w:shd w:val="clear" w:color="auto" w:fill="auto"/>
            <w:tcMar>
              <w:top w:w="15" w:type="dxa"/>
              <w:left w:w="15" w:type="dxa"/>
              <w:right w:w="15" w:type="dxa"/>
            </w:tcMar>
            <w:vAlign w:val="center"/>
          </w:tcPr>
          <w:p w14:paraId="4E5FD71E">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252" w:type="dxa"/>
            <w:tcBorders>
              <w:tl2br w:val="nil"/>
              <w:tr2bl w:val="nil"/>
            </w:tcBorders>
            <w:shd w:val="clear" w:color="auto" w:fill="auto"/>
            <w:tcMar>
              <w:top w:w="15" w:type="dxa"/>
              <w:left w:w="15" w:type="dxa"/>
              <w:right w:w="15" w:type="dxa"/>
            </w:tcMar>
            <w:vAlign w:val="center"/>
          </w:tcPr>
          <w:p w14:paraId="246D8459">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竹荪</w:t>
            </w:r>
          </w:p>
        </w:tc>
        <w:tc>
          <w:tcPr>
            <w:tcW w:w="1224" w:type="dxa"/>
            <w:tcBorders>
              <w:tl2br w:val="nil"/>
              <w:tr2bl w:val="nil"/>
            </w:tcBorders>
            <w:shd w:val="clear" w:color="auto" w:fill="auto"/>
            <w:noWrap/>
            <w:tcMar>
              <w:top w:w="15" w:type="dxa"/>
              <w:left w:w="15" w:type="dxa"/>
              <w:right w:w="15" w:type="dxa"/>
            </w:tcMar>
            <w:vAlign w:val="center"/>
          </w:tcPr>
          <w:p w14:paraId="3DF484E6">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1袋</w:t>
            </w:r>
          </w:p>
        </w:tc>
        <w:tc>
          <w:tcPr>
            <w:tcW w:w="6035" w:type="dxa"/>
            <w:tcBorders>
              <w:tl2br w:val="nil"/>
              <w:tr2bl w:val="nil"/>
            </w:tcBorders>
            <w:shd w:val="clear" w:color="auto" w:fill="auto"/>
            <w:tcMar>
              <w:top w:w="15" w:type="dxa"/>
              <w:left w:w="15" w:type="dxa"/>
              <w:right w:w="15" w:type="dxa"/>
            </w:tcMar>
            <w:vAlign w:val="top"/>
          </w:tcPr>
          <w:p w14:paraId="5F5825B2">
            <w:pPr>
              <w:keepNext w:val="0"/>
              <w:keepLines w:val="0"/>
              <w:widowControl/>
              <w:suppressLineNumbers w:val="0"/>
              <w:jc w:val="left"/>
              <w:textAlignment w:val="top"/>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1.规格：≥50g/包</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2.样品状态：包装完好 封签完好</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质保期：12个月</w:t>
            </w:r>
          </w:p>
        </w:tc>
      </w:tr>
      <w:tr w14:paraId="4ED73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jc w:val="center"/>
        </w:trPr>
        <w:tc>
          <w:tcPr>
            <w:tcW w:w="1246" w:type="dxa"/>
            <w:vMerge w:val="restart"/>
            <w:tcBorders>
              <w:tl2br w:val="nil"/>
              <w:tr2bl w:val="nil"/>
            </w:tcBorders>
            <w:shd w:val="clear" w:color="auto" w:fill="auto"/>
            <w:tcMar>
              <w:top w:w="15" w:type="dxa"/>
              <w:left w:w="15" w:type="dxa"/>
              <w:right w:w="15" w:type="dxa"/>
            </w:tcMar>
            <w:vAlign w:val="center"/>
          </w:tcPr>
          <w:p w14:paraId="052F11C6">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标段4</w:t>
            </w:r>
          </w:p>
          <w:p w14:paraId="0E46512C">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w:t>
            </w:r>
            <w:r>
              <w:rPr>
                <w:rFonts w:hint="eastAsia" w:ascii="宋体" w:hAnsi="宋体" w:eastAsia="宋体" w:cs="宋体"/>
                <w:b/>
                <w:i w:val="0"/>
                <w:color w:val="000000"/>
                <w:kern w:val="0"/>
                <w:sz w:val="22"/>
                <w:szCs w:val="22"/>
                <w:u w:val="none"/>
                <w:lang w:val="en-US" w:eastAsia="zh-CN" w:bidi="ar"/>
              </w:rPr>
              <w:t>茶类</w:t>
            </w:r>
            <w:r>
              <w:rPr>
                <w:rFonts w:hint="eastAsia" w:ascii="宋体" w:hAnsi="宋体" w:cs="宋体"/>
                <w:b/>
                <w:i w:val="0"/>
                <w:color w:val="000000"/>
                <w:kern w:val="0"/>
                <w:sz w:val="22"/>
                <w:szCs w:val="22"/>
                <w:u w:val="none"/>
                <w:lang w:val="en-US" w:eastAsia="zh-CN" w:bidi="ar"/>
              </w:rPr>
              <w:t>）</w:t>
            </w:r>
          </w:p>
        </w:tc>
        <w:tc>
          <w:tcPr>
            <w:tcW w:w="1252" w:type="dxa"/>
            <w:tcBorders>
              <w:tl2br w:val="nil"/>
              <w:tr2bl w:val="nil"/>
            </w:tcBorders>
            <w:shd w:val="clear" w:color="auto" w:fill="auto"/>
            <w:tcMar>
              <w:top w:w="15" w:type="dxa"/>
              <w:left w:w="15" w:type="dxa"/>
              <w:right w:w="15" w:type="dxa"/>
            </w:tcMar>
            <w:vAlign w:val="center"/>
          </w:tcPr>
          <w:p w14:paraId="023EC9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红茶</w:t>
            </w:r>
          </w:p>
        </w:tc>
        <w:tc>
          <w:tcPr>
            <w:tcW w:w="1224" w:type="dxa"/>
            <w:tcBorders>
              <w:tl2br w:val="nil"/>
              <w:tr2bl w:val="nil"/>
            </w:tcBorders>
            <w:shd w:val="clear" w:color="auto" w:fill="auto"/>
            <w:noWrap/>
            <w:tcMar>
              <w:top w:w="15" w:type="dxa"/>
              <w:left w:w="15" w:type="dxa"/>
              <w:right w:w="15" w:type="dxa"/>
            </w:tcMar>
            <w:vAlign w:val="center"/>
          </w:tcPr>
          <w:p w14:paraId="00CB89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1袋</w:t>
            </w:r>
          </w:p>
        </w:tc>
        <w:tc>
          <w:tcPr>
            <w:tcW w:w="6035" w:type="dxa"/>
            <w:tcBorders>
              <w:tl2br w:val="nil"/>
              <w:tr2bl w:val="nil"/>
            </w:tcBorders>
            <w:shd w:val="clear" w:color="auto" w:fill="auto"/>
            <w:tcMar>
              <w:top w:w="15" w:type="dxa"/>
              <w:left w:w="15" w:type="dxa"/>
              <w:right w:w="15" w:type="dxa"/>
            </w:tcMar>
            <w:vAlign w:val="top"/>
          </w:tcPr>
          <w:p w14:paraId="4DE5ADC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1.规格：</w:t>
            </w:r>
            <w:r>
              <w:rPr>
                <w:rStyle w:val="6"/>
                <w:color w:val="auto"/>
                <w:lang w:val="en-US" w:eastAsia="zh-CN" w:bidi="ar"/>
              </w:rPr>
              <w:t>≥100g/盒/包</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2.样品状态：包装完好 封签完好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3.气味与滋味：具有该产品应有的香气与滋味 无异味</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4.保质期:18个月</w:t>
            </w:r>
          </w:p>
        </w:tc>
      </w:tr>
      <w:tr w14:paraId="67414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jc w:val="center"/>
        </w:trPr>
        <w:tc>
          <w:tcPr>
            <w:tcW w:w="1246" w:type="dxa"/>
            <w:vMerge w:val="continue"/>
            <w:tcBorders>
              <w:tl2br w:val="nil"/>
              <w:tr2bl w:val="nil"/>
            </w:tcBorders>
            <w:shd w:val="clear" w:color="auto" w:fill="auto"/>
            <w:tcMar>
              <w:top w:w="15" w:type="dxa"/>
              <w:left w:w="15" w:type="dxa"/>
              <w:right w:w="15" w:type="dxa"/>
            </w:tcMar>
            <w:vAlign w:val="center"/>
          </w:tcPr>
          <w:p w14:paraId="0474ACA0">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252" w:type="dxa"/>
            <w:tcBorders>
              <w:tl2br w:val="nil"/>
              <w:tr2bl w:val="nil"/>
            </w:tcBorders>
            <w:shd w:val="clear" w:color="auto" w:fill="auto"/>
            <w:tcMar>
              <w:top w:w="15" w:type="dxa"/>
              <w:left w:w="15" w:type="dxa"/>
              <w:right w:w="15" w:type="dxa"/>
            </w:tcMar>
            <w:vAlign w:val="center"/>
          </w:tcPr>
          <w:p w14:paraId="7B4BC3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绿茶</w:t>
            </w:r>
          </w:p>
        </w:tc>
        <w:tc>
          <w:tcPr>
            <w:tcW w:w="1224" w:type="dxa"/>
            <w:tcBorders>
              <w:tl2br w:val="nil"/>
              <w:tr2bl w:val="nil"/>
            </w:tcBorders>
            <w:shd w:val="clear" w:color="auto" w:fill="auto"/>
            <w:noWrap/>
            <w:tcMar>
              <w:top w:w="15" w:type="dxa"/>
              <w:left w:w="15" w:type="dxa"/>
              <w:right w:w="15" w:type="dxa"/>
            </w:tcMar>
            <w:vAlign w:val="center"/>
          </w:tcPr>
          <w:p w14:paraId="1AE24A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1袋</w:t>
            </w:r>
          </w:p>
        </w:tc>
        <w:tc>
          <w:tcPr>
            <w:tcW w:w="6035" w:type="dxa"/>
            <w:tcBorders>
              <w:tl2br w:val="nil"/>
              <w:tr2bl w:val="nil"/>
            </w:tcBorders>
            <w:shd w:val="clear" w:color="auto" w:fill="auto"/>
            <w:tcMar>
              <w:top w:w="15" w:type="dxa"/>
              <w:left w:w="15" w:type="dxa"/>
              <w:right w:w="15" w:type="dxa"/>
            </w:tcMar>
            <w:vAlign w:val="center"/>
          </w:tcPr>
          <w:p w14:paraId="323C61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1.规格：</w:t>
            </w:r>
            <w:r>
              <w:rPr>
                <w:rStyle w:val="6"/>
                <w:color w:val="auto"/>
                <w:lang w:val="en-US" w:eastAsia="zh-CN" w:bidi="ar"/>
              </w:rPr>
              <w:t>≥100g/盒/包</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2.样品状态：包装完好 封签完好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3.气味与滋味：具有该产品应有的香气与滋味 无异味</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4.保质期:18个月</w:t>
            </w:r>
          </w:p>
        </w:tc>
      </w:tr>
      <w:tr w14:paraId="5F25C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jc w:val="center"/>
        </w:trPr>
        <w:tc>
          <w:tcPr>
            <w:tcW w:w="1246" w:type="dxa"/>
            <w:vMerge w:val="restart"/>
            <w:tcBorders>
              <w:tl2br w:val="nil"/>
              <w:tr2bl w:val="nil"/>
            </w:tcBorders>
            <w:shd w:val="clear" w:color="auto" w:fill="auto"/>
            <w:tcMar>
              <w:top w:w="15" w:type="dxa"/>
              <w:left w:w="15" w:type="dxa"/>
              <w:right w:w="15" w:type="dxa"/>
            </w:tcMar>
            <w:vAlign w:val="center"/>
          </w:tcPr>
          <w:p w14:paraId="47AA16C5">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标段5</w:t>
            </w:r>
          </w:p>
          <w:p w14:paraId="199B717C">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w:t>
            </w:r>
            <w:r>
              <w:rPr>
                <w:rFonts w:hint="eastAsia" w:ascii="宋体" w:hAnsi="宋体" w:eastAsia="宋体" w:cs="宋体"/>
                <w:b/>
                <w:i w:val="0"/>
                <w:color w:val="000000"/>
                <w:kern w:val="0"/>
                <w:sz w:val="22"/>
                <w:szCs w:val="22"/>
                <w:u w:val="none"/>
                <w:lang w:val="en-US" w:eastAsia="zh-CN" w:bidi="ar"/>
              </w:rPr>
              <w:t>腊肉类</w:t>
            </w:r>
            <w:r>
              <w:rPr>
                <w:rFonts w:hint="eastAsia" w:ascii="宋体" w:hAnsi="宋体" w:cs="宋体"/>
                <w:b/>
                <w:i w:val="0"/>
                <w:color w:val="000000"/>
                <w:kern w:val="0"/>
                <w:sz w:val="22"/>
                <w:szCs w:val="22"/>
                <w:u w:val="none"/>
                <w:lang w:val="en-US" w:eastAsia="zh-CN" w:bidi="ar"/>
              </w:rPr>
              <w:t>）</w:t>
            </w:r>
          </w:p>
        </w:tc>
        <w:tc>
          <w:tcPr>
            <w:tcW w:w="1252" w:type="dxa"/>
            <w:tcBorders>
              <w:tl2br w:val="nil"/>
              <w:tr2bl w:val="nil"/>
            </w:tcBorders>
            <w:shd w:val="clear" w:color="auto" w:fill="auto"/>
            <w:tcMar>
              <w:top w:w="15" w:type="dxa"/>
              <w:left w:w="15" w:type="dxa"/>
              <w:right w:w="15" w:type="dxa"/>
            </w:tcMar>
            <w:vAlign w:val="center"/>
          </w:tcPr>
          <w:p w14:paraId="76C6BE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腊肉</w:t>
            </w:r>
          </w:p>
        </w:tc>
        <w:tc>
          <w:tcPr>
            <w:tcW w:w="1224" w:type="dxa"/>
            <w:tcBorders>
              <w:tl2br w:val="nil"/>
              <w:tr2bl w:val="nil"/>
            </w:tcBorders>
            <w:shd w:val="clear" w:color="auto" w:fill="auto"/>
            <w:noWrap/>
            <w:tcMar>
              <w:top w:w="15" w:type="dxa"/>
              <w:left w:w="15" w:type="dxa"/>
              <w:right w:w="15" w:type="dxa"/>
            </w:tcMar>
            <w:vAlign w:val="center"/>
          </w:tcPr>
          <w:p w14:paraId="0669E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1袋</w:t>
            </w:r>
          </w:p>
        </w:tc>
        <w:tc>
          <w:tcPr>
            <w:tcW w:w="6035" w:type="dxa"/>
            <w:tcBorders>
              <w:tl2br w:val="nil"/>
              <w:tr2bl w:val="nil"/>
            </w:tcBorders>
            <w:shd w:val="clear" w:color="auto" w:fill="auto"/>
            <w:tcMar>
              <w:top w:w="15" w:type="dxa"/>
              <w:left w:w="15" w:type="dxa"/>
              <w:right w:w="15" w:type="dxa"/>
            </w:tcMar>
            <w:vAlign w:val="center"/>
          </w:tcPr>
          <w:p w14:paraId="6B0F3E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1.规格：≥500g/包</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2.优质猪五花肉、后腿肉等为原料（广味）</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3.质保期：180天</w:t>
            </w:r>
          </w:p>
        </w:tc>
      </w:tr>
      <w:tr w14:paraId="7CA9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jc w:val="center"/>
        </w:trPr>
        <w:tc>
          <w:tcPr>
            <w:tcW w:w="1246" w:type="dxa"/>
            <w:vMerge w:val="continue"/>
            <w:tcBorders>
              <w:tl2br w:val="nil"/>
              <w:tr2bl w:val="nil"/>
            </w:tcBorders>
            <w:shd w:val="clear" w:color="auto" w:fill="auto"/>
            <w:tcMar>
              <w:top w:w="15" w:type="dxa"/>
              <w:left w:w="15" w:type="dxa"/>
              <w:right w:w="15" w:type="dxa"/>
            </w:tcMar>
            <w:vAlign w:val="center"/>
          </w:tcPr>
          <w:p w14:paraId="5D5832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2" w:type="dxa"/>
            <w:tcBorders>
              <w:tl2br w:val="nil"/>
              <w:tr2bl w:val="nil"/>
            </w:tcBorders>
            <w:shd w:val="clear" w:color="auto" w:fill="auto"/>
            <w:tcMar>
              <w:top w:w="15" w:type="dxa"/>
              <w:left w:w="15" w:type="dxa"/>
              <w:right w:w="15" w:type="dxa"/>
            </w:tcMar>
            <w:vAlign w:val="center"/>
          </w:tcPr>
          <w:p w14:paraId="1073CD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广味腊肠</w:t>
            </w:r>
          </w:p>
        </w:tc>
        <w:tc>
          <w:tcPr>
            <w:tcW w:w="1224" w:type="dxa"/>
            <w:tcBorders>
              <w:tl2br w:val="nil"/>
              <w:tr2bl w:val="nil"/>
            </w:tcBorders>
            <w:shd w:val="clear" w:color="auto" w:fill="auto"/>
            <w:noWrap/>
            <w:tcMar>
              <w:top w:w="15" w:type="dxa"/>
              <w:left w:w="15" w:type="dxa"/>
              <w:right w:w="15" w:type="dxa"/>
            </w:tcMar>
            <w:vAlign w:val="center"/>
          </w:tcPr>
          <w:p w14:paraId="5CD5B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1袋</w:t>
            </w:r>
          </w:p>
        </w:tc>
        <w:tc>
          <w:tcPr>
            <w:tcW w:w="6035" w:type="dxa"/>
            <w:tcBorders>
              <w:tl2br w:val="nil"/>
              <w:tr2bl w:val="nil"/>
            </w:tcBorders>
            <w:shd w:val="clear" w:color="auto" w:fill="auto"/>
            <w:tcMar>
              <w:top w:w="15" w:type="dxa"/>
              <w:left w:w="15" w:type="dxa"/>
              <w:right w:w="15" w:type="dxa"/>
            </w:tcMar>
            <w:vAlign w:val="center"/>
          </w:tcPr>
          <w:p w14:paraId="4F107C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1.规格：≥320g/包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2.优质猪五花肉、后腿肉等为原料（广味）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r>
      <w:tr w14:paraId="2D485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jc w:val="center"/>
        </w:trPr>
        <w:tc>
          <w:tcPr>
            <w:tcW w:w="1246" w:type="dxa"/>
            <w:vMerge w:val="continue"/>
            <w:tcBorders>
              <w:tl2br w:val="nil"/>
              <w:tr2bl w:val="nil"/>
            </w:tcBorders>
            <w:shd w:val="clear" w:color="auto" w:fill="auto"/>
            <w:noWrap/>
            <w:tcMar>
              <w:top w:w="15" w:type="dxa"/>
              <w:left w:w="15" w:type="dxa"/>
              <w:right w:w="15" w:type="dxa"/>
            </w:tcMar>
            <w:vAlign w:val="center"/>
          </w:tcPr>
          <w:p w14:paraId="694E1F8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2" w:type="dxa"/>
            <w:tcBorders>
              <w:tl2br w:val="nil"/>
              <w:tr2bl w:val="nil"/>
            </w:tcBorders>
            <w:shd w:val="clear" w:color="auto" w:fill="auto"/>
            <w:noWrap/>
            <w:tcMar>
              <w:top w:w="15" w:type="dxa"/>
              <w:left w:w="15" w:type="dxa"/>
              <w:right w:w="15" w:type="dxa"/>
            </w:tcMar>
            <w:vAlign w:val="center"/>
          </w:tcPr>
          <w:p w14:paraId="4B6F16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农家腊肠</w:t>
            </w:r>
          </w:p>
        </w:tc>
        <w:tc>
          <w:tcPr>
            <w:tcW w:w="1224" w:type="dxa"/>
            <w:tcBorders>
              <w:tl2br w:val="nil"/>
              <w:tr2bl w:val="nil"/>
            </w:tcBorders>
            <w:shd w:val="clear" w:color="auto" w:fill="auto"/>
            <w:noWrap/>
            <w:tcMar>
              <w:top w:w="15" w:type="dxa"/>
              <w:left w:w="15" w:type="dxa"/>
              <w:right w:w="15" w:type="dxa"/>
            </w:tcMar>
            <w:vAlign w:val="center"/>
          </w:tcPr>
          <w:p w14:paraId="05445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1袋</w:t>
            </w:r>
          </w:p>
        </w:tc>
        <w:tc>
          <w:tcPr>
            <w:tcW w:w="6035" w:type="dxa"/>
            <w:tcBorders>
              <w:tl2br w:val="nil"/>
              <w:tr2bl w:val="nil"/>
            </w:tcBorders>
            <w:shd w:val="clear" w:color="auto" w:fill="auto"/>
            <w:tcMar>
              <w:top w:w="15" w:type="dxa"/>
              <w:left w:w="15" w:type="dxa"/>
              <w:right w:w="15" w:type="dxa"/>
            </w:tcMar>
            <w:vAlign w:val="center"/>
          </w:tcPr>
          <w:p w14:paraId="41A53F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1.规格：≥500g/包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2.优质猪肉、食用盐等为原料（咸味腊肠）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r>
      <w:tr w14:paraId="2EDC4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jc w:val="center"/>
        </w:trPr>
        <w:tc>
          <w:tcPr>
            <w:tcW w:w="1246" w:type="dxa"/>
            <w:vMerge w:val="continue"/>
            <w:tcBorders>
              <w:tl2br w:val="nil"/>
              <w:tr2bl w:val="nil"/>
            </w:tcBorders>
            <w:shd w:val="clear" w:color="auto" w:fill="auto"/>
            <w:noWrap/>
            <w:tcMar>
              <w:top w:w="15" w:type="dxa"/>
              <w:left w:w="15" w:type="dxa"/>
              <w:right w:w="15" w:type="dxa"/>
            </w:tcMar>
            <w:vAlign w:val="center"/>
          </w:tcPr>
          <w:p w14:paraId="4DE48E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2" w:type="dxa"/>
            <w:tcBorders>
              <w:tl2br w:val="nil"/>
              <w:tr2bl w:val="nil"/>
            </w:tcBorders>
            <w:shd w:val="clear" w:color="auto" w:fill="auto"/>
            <w:noWrap/>
            <w:tcMar>
              <w:top w:w="15" w:type="dxa"/>
              <w:left w:w="15" w:type="dxa"/>
              <w:right w:w="15" w:type="dxa"/>
            </w:tcMar>
            <w:vAlign w:val="center"/>
          </w:tcPr>
          <w:p w14:paraId="596C76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牛肉干</w:t>
            </w:r>
          </w:p>
        </w:tc>
        <w:tc>
          <w:tcPr>
            <w:tcW w:w="1224" w:type="dxa"/>
            <w:tcBorders>
              <w:tl2br w:val="nil"/>
              <w:tr2bl w:val="nil"/>
            </w:tcBorders>
            <w:shd w:val="clear" w:color="auto" w:fill="auto"/>
            <w:noWrap/>
            <w:tcMar>
              <w:top w:w="15" w:type="dxa"/>
              <w:left w:w="15" w:type="dxa"/>
              <w:right w:w="15" w:type="dxa"/>
            </w:tcMar>
            <w:vAlign w:val="center"/>
          </w:tcPr>
          <w:p w14:paraId="583C5D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1包</w:t>
            </w:r>
          </w:p>
        </w:tc>
        <w:tc>
          <w:tcPr>
            <w:tcW w:w="6035" w:type="dxa"/>
            <w:tcBorders>
              <w:tl2br w:val="nil"/>
              <w:tr2bl w:val="nil"/>
            </w:tcBorders>
            <w:shd w:val="clear" w:color="auto" w:fill="auto"/>
            <w:tcMar>
              <w:top w:w="15" w:type="dxa"/>
              <w:left w:w="15" w:type="dxa"/>
              <w:right w:w="15" w:type="dxa"/>
            </w:tcMar>
            <w:vAlign w:val="center"/>
          </w:tcPr>
          <w:p w14:paraId="3A7658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1.规格：≥100g/包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2.精选牛肉等为原料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r>
      <w:tr w14:paraId="0862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0" w:hRule="atLeast"/>
          <w:jc w:val="center"/>
        </w:trPr>
        <w:tc>
          <w:tcPr>
            <w:tcW w:w="1246" w:type="dxa"/>
            <w:tcBorders>
              <w:tl2br w:val="nil"/>
              <w:tr2bl w:val="nil"/>
            </w:tcBorders>
            <w:shd w:val="clear" w:color="auto" w:fill="auto"/>
            <w:noWrap/>
            <w:tcMar>
              <w:top w:w="15" w:type="dxa"/>
              <w:left w:w="15" w:type="dxa"/>
              <w:right w:w="15" w:type="dxa"/>
            </w:tcMar>
            <w:vAlign w:val="center"/>
          </w:tcPr>
          <w:p w14:paraId="1B2E0967">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标段6</w:t>
            </w:r>
          </w:p>
          <w:p w14:paraId="64ECA9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（杂粮类）</w:t>
            </w:r>
          </w:p>
        </w:tc>
        <w:tc>
          <w:tcPr>
            <w:tcW w:w="1252" w:type="dxa"/>
            <w:tcBorders>
              <w:tl2br w:val="nil"/>
              <w:tr2bl w:val="nil"/>
            </w:tcBorders>
            <w:shd w:val="clear" w:color="auto" w:fill="auto"/>
            <w:noWrap/>
            <w:tcMar>
              <w:top w:w="15" w:type="dxa"/>
              <w:left w:w="15" w:type="dxa"/>
              <w:right w:w="15" w:type="dxa"/>
            </w:tcMar>
            <w:vAlign w:val="center"/>
          </w:tcPr>
          <w:p w14:paraId="037770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杂粮礼盒</w:t>
            </w:r>
          </w:p>
        </w:tc>
        <w:tc>
          <w:tcPr>
            <w:tcW w:w="1224" w:type="dxa"/>
            <w:tcBorders>
              <w:tl2br w:val="nil"/>
              <w:tr2bl w:val="nil"/>
            </w:tcBorders>
            <w:shd w:val="clear" w:color="auto" w:fill="auto"/>
            <w:noWrap/>
            <w:tcMar>
              <w:top w:w="15" w:type="dxa"/>
              <w:left w:w="15" w:type="dxa"/>
              <w:right w:w="15" w:type="dxa"/>
            </w:tcMar>
            <w:vAlign w:val="center"/>
          </w:tcPr>
          <w:p w14:paraId="41223B5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1盒</w:t>
            </w:r>
          </w:p>
        </w:tc>
        <w:tc>
          <w:tcPr>
            <w:tcW w:w="6035" w:type="dxa"/>
            <w:tcBorders>
              <w:tl2br w:val="nil"/>
              <w:tr2bl w:val="nil"/>
            </w:tcBorders>
            <w:shd w:val="clear" w:color="auto" w:fill="auto"/>
            <w:tcMar>
              <w:top w:w="15" w:type="dxa"/>
              <w:left w:w="15" w:type="dxa"/>
              <w:right w:w="15" w:type="dxa"/>
            </w:tcMar>
            <w:vAlign w:val="center"/>
          </w:tcPr>
          <w:p w14:paraId="6E0A2F9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1.规格：≥500g/包*6包（糙米、红米、糯米、红香米、黑米、黄豆、绿豆等其中2-3个品种）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2.符合Q-BMSL 0002S标准要求，无霉变，无掺杂、无沙石等异物、无异常色泽和异味。（投标文件中提供产品质量监督所的检验报告复印件）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4.产品要求为供货前2个月内生产。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5.保质期：自生产出厂之日12个月(含)以上 </w:t>
            </w:r>
          </w:p>
        </w:tc>
      </w:tr>
      <w:tr w14:paraId="467DE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jc w:val="center"/>
        </w:trPr>
        <w:tc>
          <w:tcPr>
            <w:tcW w:w="1246" w:type="dxa"/>
            <w:vMerge w:val="restart"/>
            <w:tcBorders>
              <w:tl2br w:val="nil"/>
              <w:tr2bl w:val="nil"/>
            </w:tcBorders>
            <w:shd w:val="clear" w:color="auto" w:fill="auto"/>
            <w:noWrap/>
            <w:tcMar>
              <w:top w:w="15" w:type="dxa"/>
              <w:left w:w="15" w:type="dxa"/>
              <w:right w:w="15" w:type="dxa"/>
            </w:tcMar>
            <w:vAlign w:val="center"/>
          </w:tcPr>
          <w:p w14:paraId="351ACE64">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标段7</w:t>
            </w:r>
          </w:p>
          <w:p w14:paraId="4DF4B5F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（其他类）</w:t>
            </w:r>
          </w:p>
        </w:tc>
        <w:tc>
          <w:tcPr>
            <w:tcW w:w="1252" w:type="dxa"/>
            <w:tcBorders>
              <w:tl2br w:val="nil"/>
              <w:tr2bl w:val="nil"/>
            </w:tcBorders>
            <w:shd w:val="clear" w:color="auto" w:fill="auto"/>
            <w:noWrap/>
            <w:tcMar>
              <w:top w:w="15" w:type="dxa"/>
              <w:left w:w="15" w:type="dxa"/>
              <w:right w:w="15" w:type="dxa"/>
            </w:tcMar>
            <w:vAlign w:val="center"/>
          </w:tcPr>
          <w:p w14:paraId="6BE7C13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面条</w:t>
            </w:r>
          </w:p>
        </w:tc>
        <w:tc>
          <w:tcPr>
            <w:tcW w:w="1224" w:type="dxa"/>
            <w:tcBorders>
              <w:tl2br w:val="nil"/>
              <w:tr2bl w:val="nil"/>
            </w:tcBorders>
            <w:shd w:val="clear" w:color="auto" w:fill="auto"/>
            <w:noWrap/>
            <w:tcMar>
              <w:top w:w="15" w:type="dxa"/>
              <w:left w:w="15" w:type="dxa"/>
              <w:right w:w="15" w:type="dxa"/>
            </w:tcMar>
            <w:vAlign w:val="center"/>
          </w:tcPr>
          <w:p w14:paraId="3BA3AB9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6035" w:type="dxa"/>
            <w:tcBorders>
              <w:tl2br w:val="nil"/>
              <w:tr2bl w:val="nil"/>
            </w:tcBorders>
            <w:shd w:val="clear" w:color="auto" w:fill="auto"/>
            <w:tcMar>
              <w:top w:w="15" w:type="dxa"/>
              <w:left w:w="15" w:type="dxa"/>
              <w:right w:w="15" w:type="dxa"/>
            </w:tcMar>
            <w:vAlign w:val="center"/>
          </w:tcPr>
          <w:p w14:paraId="2F9B5C26">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参考类别：荞麦面、淮山面、杂粮面红薯粉等干制粉类</w:t>
            </w:r>
          </w:p>
          <w:p w14:paraId="1016164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规格：≥500g/包</w:t>
            </w:r>
          </w:p>
          <w:p w14:paraId="7F2D64C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样品状态：包装完好 封签完好 </w:t>
            </w:r>
          </w:p>
          <w:p w14:paraId="365977D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3.气味与滋味：具有该产品应有的香气与滋味 无异味</w:t>
            </w:r>
          </w:p>
          <w:p w14:paraId="43EEE47C">
            <w:pPr>
              <w:keepNext w:val="0"/>
              <w:keepLines w:val="0"/>
              <w:widowControl/>
              <w:suppressLineNumbers w:val="0"/>
              <w:jc w:val="left"/>
              <w:textAlignment w:val="center"/>
              <w:rPr>
                <w:rFonts w:hint="eastAsia" w:ascii="仿宋" w:hAnsi="仿宋" w:eastAsia="仿宋" w:cs="仿宋"/>
                <w:bCs/>
                <w:kern w:val="2"/>
                <w:sz w:val="24"/>
                <w:szCs w:val="24"/>
                <w:highlight w:val="none"/>
                <w:lang w:val="en-US" w:eastAsia="zh-CN" w:bidi="ar-SA"/>
              </w:rPr>
            </w:pPr>
            <w:r>
              <w:rPr>
                <w:rFonts w:hint="eastAsia" w:ascii="宋体" w:hAnsi="宋体" w:eastAsia="宋体" w:cs="宋体"/>
                <w:i w:val="0"/>
                <w:color w:val="000000"/>
                <w:kern w:val="0"/>
                <w:sz w:val="22"/>
                <w:szCs w:val="22"/>
                <w:u w:val="none"/>
                <w:lang w:val="en-US" w:eastAsia="zh-CN" w:bidi="ar"/>
              </w:rPr>
              <w:t>4.保质期:6个月</w:t>
            </w:r>
          </w:p>
        </w:tc>
      </w:tr>
      <w:tr w14:paraId="28DE7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jc w:val="center"/>
        </w:trPr>
        <w:tc>
          <w:tcPr>
            <w:tcW w:w="1246" w:type="dxa"/>
            <w:vMerge w:val="continue"/>
            <w:tcBorders>
              <w:tl2br w:val="nil"/>
              <w:tr2bl w:val="nil"/>
            </w:tcBorders>
            <w:shd w:val="clear" w:color="auto" w:fill="auto"/>
            <w:noWrap/>
            <w:tcMar>
              <w:top w:w="15" w:type="dxa"/>
              <w:left w:w="15" w:type="dxa"/>
              <w:right w:w="15" w:type="dxa"/>
            </w:tcMar>
            <w:vAlign w:val="center"/>
          </w:tcPr>
          <w:p w14:paraId="718BC15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2" w:type="dxa"/>
            <w:tcBorders>
              <w:tl2br w:val="nil"/>
              <w:tr2bl w:val="nil"/>
            </w:tcBorders>
            <w:shd w:val="clear" w:color="auto" w:fill="auto"/>
            <w:noWrap/>
            <w:tcMar>
              <w:top w:w="15" w:type="dxa"/>
              <w:left w:w="15" w:type="dxa"/>
              <w:right w:w="15" w:type="dxa"/>
            </w:tcMar>
            <w:vAlign w:val="center"/>
          </w:tcPr>
          <w:p w14:paraId="12DAAA7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螺蛳粉</w:t>
            </w:r>
          </w:p>
        </w:tc>
        <w:tc>
          <w:tcPr>
            <w:tcW w:w="1224" w:type="dxa"/>
            <w:tcBorders>
              <w:tl2br w:val="nil"/>
              <w:tr2bl w:val="nil"/>
            </w:tcBorders>
            <w:shd w:val="clear" w:color="auto" w:fill="auto"/>
            <w:noWrap/>
            <w:tcMar>
              <w:top w:w="15" w:type="dxa"/>
              <w:left w:w="15" w:type="dxa"/>
              <w:right w:w="15" w:type="dxa"/>
            </w:tcMar>
            <w:vAlign w:val="center"/>
          </w:tcPr>
          <w:p w14:paraId="1D5B486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6035" w:type="dxa"/>
            <w:tcBorders>
              <w:tl2br w:val="nil"/>
              <w:tr2bl w:val="nil"/>
            </w:tcBorders>
            <w:shd w:val="clear" w:color="auto" w:fill="auto"/>
            <w:tcMar>
              <w:top w:w="15" w:type="dxa"/>
              <w:left w:w="15" w:type="dxa"/>
              <w:right w:w="15" w:type="dxa"/>
            </w:tcMar>
            <w:vAlign w:val="center"/>
          </w:tcPr>
          <w:p w14:paraId="36141B0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2.样品状态：包装完好 封签完好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3.气味与滋味：具有该产品应有的香气与滋味 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4.保质期:6个月</w:t>
            </w:r>
          </w:p>
        </w:tc>
      </w:tr>
      <w:tr w14:paraId="06A63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1246" w:type="dxa"/>
            <w:vMerge w:val="continue"/>
            <w:tcBorders>
              <w:tl2br w:val="nil"/>
              <w:tr2bl w:val="nil"/>
            </w:tcBorders>
            <w:shd w:val="clear" w:color="auto" w:fill="auto"/>
            <w:noWrap/>
            <w:tcMar>
              <w:top w:w="15" w:type="dxa"/>
              <w:left w:w="15" w:type="dxa"/>
              <w:right w:w="15" w:type="dxa"/>
            </w:tcMar>
            <w:vAlign w:val="center"/>
          </w:tcPr>
          <w:p w14:paraId="0D2502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2" w:type="dxa"/>
            <w:tcBorders>
              <w:tl2br w:val="nil"/>
              <w:tr2bl w:val="nil"/>
            </w:tcBorders>
            <w:shd w:val="clear" w:color="auto" w:fill="auto"/>
            <w:noWrap/>
            <w:tcMar>
              <w:top w:w="15" w:type="dxa"/>
              <w:left w:w="15" w:type="dxa"/>
              <w:right w:w="15" w:type="dxa"/>
            </w:tcMar>
            <w:vAlign w:val="center"/>
          </w:tcPr>
          <w:p w14:paraId="40F65D0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罗汉果</w:t>
            </w:r>
          </w:p>
        </w:tc>
        <w:tc>
          <w:tcPr>
            <w:tcW w:w="1224" w:type="dxa"/>
            <w:tcBorders>
              <w:tl2br w:val="nil"/>
              <w:tr2bl w:val="nil"/>
            </w:tcBorders>
            <w:shd w:val="clear" w:color="auto" w:fill="auto"/>
            <w:noWrap/>
            <w:tcMar>
              <w:top w:w="15" w:type="dxa"/>
              <w:left w:w="15" w:type="dxa"/>
              <w:right w:w="15" w:type="dxa"/>
            </w:tcMar>
            <w:vAlign w:val="center"/>
          </w:tcPr>
          <w:p w14:paraId="3FD9FDF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1个</w:t>
            </w:r>
          </w:p>
        </w:tc>
        <w:tc>
          <w:tcPr>
            <w:tcW w:w="6035" w:type="dxa"/>
            <w:tcBorders>
              <w:tl2br w:val="nil"/>
              <w:tr2bl w:val="nil"/>
            </w:tcBorders>
            <w:shd w:val="clear" w:color="auto" w:fill="auto"/>
            <w:tcMar>
              <w:top w:w="15" w:type="dxa"/>
              <w:left w:w="15" w:type="dxa"/>
              <w:right w:w="15" w:type="dxa"/>
            </w:tcMar>
            <w:vAlign w:val="center"/>
          </w:tcPr>
          <w:p w14:paraId="4D2A535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1.单个单独包装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质保期：12个月</w:t>
            </w:r>
          </w:p>
        </w:tc>
      </w:tr>
    </w:tbl>
    <w:p w14:paraId="60AE80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如需详细了解项目需求，请联系</w:t>
      </w:r>
      <w:r>
        <w:rPr>
          <w:rFonts w:hint="eastAsia" w:ascii="仿宋" w:hAnsi="仿宋" w:eastAsia="仿宋" w:cs="仿宋"/>
          <w:b/>
          <w:bCs w:val="0"/>
          <w:color w:val="auto"/>
          <w:sz w:val="28"/>
          <w:szCs w:val="28"/>
          <w:lang w:val="en-US" w:eastAsia="zh-CN"/>
        </w:rPr>
        <w:t>招标办：0772-3832133，</w:t>
      </w:r>
      <w:r>
        <w:rPr>
          <w:rFonts w:hint="eastAsia" w:ascii="仿宋" w:hAnsi="仿宋" w:eastAsia="仿宋" w:cs="仿宋"/>
          <w:b/>
          <w:bCs w:val="0"/>
          <w:color w:val="auto"/>
          <w:sz w:val="28"/>
          <w:szCs w:val="28"/>
        </w:rPr>
        <w:t>总务科：</w:t>
      </w:r>
      <w:r>
        <w:rPr>
          <w:rFonts w:hint="eastAsia" w:ascii="仿宋" w:hAnsi="仿宋" w:eastAsia="仿宋" w:cs="仿宋"/>
          <w:b/>
          <w:bCs w:val="0"/>
          <w:color w:val="auto"/>
          <w:sz w:val="28"/>
          <w:szCs w:val="28"/>
          <w:lang w:val="en-US" w:eastAsia="zh-CN"/>
        </w:rPr>
        <w:t>18077209939</w:t>
      </w:r>
      <w:r>
        <w:rPr>
          <w:rFonts w:hint="eastAsia" w:ascii="仿宋" w:hAnsi="仿宋" w:eastAsia="仿宋" w:cs="仿宋"/>
          <w:b/>
          <w:bCs w:val="0"/>
          <w:color w:val="auto"/>
          <w:sz w:val="28"/>
          <w:szCs w:val="28"/>
          <w:highlight w:val="none"/>
        </w:rPr>
        <w:t xml:space="preserve"> </w:t>
      </w:r>
      <w:r>
        <w:rPr>
          <w:rFonts w:hint="eastAsia" w:ascii="仿宋" w:hAnsi="仿宋" w:eastAsia="仿宋" w:cs="仿宋"/>
          <w:b/>
          <w:bCs w:val="0"/>
          <w:color w:val="auto"/>
          <w:sz w:val="28"/>
          <w:szCs w:val="28"/>
          <w:highlight w:val="none"/>
          <w:lang w:val="en-US" w:eastAsia="zh-CN"/>
        </w:rPr>
        <w:t>樊</w:t>
      </w:r>
      <w:r>
        <w:rPr>
          <w:rFonts w:hint="eastAsia" w:ascii="仿宋" w:hAnsi="仿宋" w:eastAsia="仿宋" w:cs="仿宋"/>
          <w:b/>
          <w:bCs w:val="0"/>
          <w:color w:val="auto"/>
          <w:sz w:val="28"/>
          <w:szCs w:val="28"/>
          <w:highlight w:val="none"/>
        </w:rPr>
        <w:t>女士</w:t>
      </w:r>
    </w:p>
    <w:p w14:paraId="547CBDF8">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五、总体要求</w:t>
      </w:r>
    </w:p>
    <w:p w14:paraId="31358341">
      <w:pPr>
        <w:spacing w:line="400" w:lineRule="exact"/>
        <w:ind w:firstLine="562" w:firstLineChars="200"/>
        <w:rPr>
          <w:rFonts w:hint="eastAsia" w:ascii="仿宋" w:hAnsi="仿宋" w:eastAsia="仿宋" w:cs="仿宋"/>
          <w:b/>
          <w:bCs w:val="0"/>
          <w:color w:val="auto"/>
          <w:sz w:val="28"/>
          <w:szCs w:val="28"/>
          <w:highlight w:val="none"/>
          <w:u w:val="single"/>
        </w:rPr>
      </w:pPr>
      <w:r>
        <w:rPr>
          <w:rFonts w:hint="eastAsia" w:ascii="仿宋" w:hAnsi="仿宋" w:eastAsia="仿宋" w:cs="仿宋"/>
          <w:b/>
          <w:bCs w:val="0"/>
          <w:color w:val="auto"/>
          <w:sz w:val="28"/>
          <w:szCs w:val="28"/>
          <w:highlight w:val="none"/>
          <w:u w:val="single"/>
        </w:rPr>
        <w:t>1、该项目接受联合体投标(联合体成员数量不超过2个)。</w:t>
      </w:r>
    </w:p>
    <w:p w14:paraId="470D2BAD">
      <w:pPr>
        <w:spacing w:line="400" w:lineRule="exac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2、本次采购为单价，须为国家832扶贫平台产品，非本公司平台产品不受理</w:t>
      </w:r>
      <w:r>
        <w:rPr>
          <w:rFonts w:hint="eastAsia" w:ascii="仿宋" w:hAnsi="仿宋" w:eastAsia="仿宋" w:cs="仿宋"/>
          <w:bCs/>
          <w:color w:val="auto"/>
          <w:sz w:val="28"/>
          <w:szCs w:val="28"/>
          <w:highlight w:val="none"/>
          <w:lang w:eastAsia="zh-CN"/>
        </w:rPr>
        <w:t>。</w:t>
      </w:r>
    </w:p>
    <w:p w14:paraId="1D4A091D">
      <w:pPr>
        <w:spacing w:line="40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3、本项目对投标人应标的商品品牌型号、品质、质保期、价格及服务及时性进行综合评价。</w:t>
      </w:r>
    </w:p>
    <w:p w14:paraId="41EB7788">
      <w:pPr>
        <w:spacing w:line="400" w:lineRule="exact"/>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4、其中标段2（大米）需提前试吃，</w:t>
      </w:r>
      <w:r>
        <w:rPr>
          <w:rFonts w:hint="eastAsia" w:ascii="仿宋" w:hAnsi="仿宋" w:eastAsia="仿宋" w:cs="仿宋"/>
          <w:b/>
          <w:bCs w:val="0"/>
          <w:color w:val="auto"/>
          <w:sz w:val="28"/>
          <w:szCs w:val="28"/>
          <w:highlight w:val="none"/>
          <w:u w:val="single"/>
          <w:lang w:eastAsia="zh-CN"/>
        </w:rPr>
        <w:t>（</w:t>
      </w:r>
      <w:r>
        <w:rPr>
          <w:rFonts w:hint="eastAsia" w:ascii="仿宋" w:hAnsi="仿宋" w:eastAsia="仿宋" w:cs="仿宋"/>
          <w:b/>
          <w:bCs w:val="0"/>
          <w:color w:val="auto"/>
          <w:sz w:val="28"/>
          <w:szCs w:val="28"/>
          <w:highlight w:val="none"/>
          <w:u w:val="single"/>
          <w:lang w:val="en-US" w:eastAsia="zh-CN"/>
        </w:rPr>
        <w:t>试吃列入综合评分，请投标该标段供应商在投标截止2个工作日内提供样品至总务科</w:t>
      </w:r>
      <w:r>
        <w:rPr>
          <w:rFonts w:hint="eastAsia" w:ascii="仿宋" w:hAnsi="仿宋" w:eastAsia="仿宋" w:cs="仿宋"/>
          <w:b/>
          <w:bCs w:val="0"/>
          <w:color w:val="auto"/>
          <w:sz w:val="28"/>
          <w:szCs w:val="28"/>
          <w:highlight w:val="none"/>
          <w:u w:val="single"/>
          <w:lang w:eastAsia="zh-CN"/>
        </w:rPr>
        <w:t>）</w:t>
      </w:r>
    </w:p>
    <w:p w14:paraId="421A480A">
      <w:pPr>
        <w:adjustRightInd w:val="0"/>
        <w:spacing w:line="400" w:lineRule="exact"/>
        <w:ind w:firstLine="560" w:firstLineChars="200"/>
        <w:rPr>
          <w:rFonts w:hint="eastAsia" w:ascii="仿宋" w:hAnsi="仿宋" w:eastAsia="仿宋" w:cs="仿宋"/>
          <w:b/>
          <w:bCs w:val="0"/>
          <w:color w:val="auto"/>
          <w:sz w:val="28"/>
          <w:szCs w:val="28"/>
          <w:highlight w:val="none"/>
        </w:rPr>
      </w:pPr>
      <w:r>
        <w:rPr>
          <w:rFonts w:hint="eastAsia" w:ascii="仿宋" w:hAnsi="仿宋" w:eastAsia="仿宋" w:cs="仿宋"/>
          <w:bCs/>
          <w:color w:val="auto"/>
          <w:sz w:val="28"/>
          <w:szCs w:val="28"/>
          <w:highlight w:val="none"/>
        </w:rPr>
        <w:t>5、</w:t>
      </w:r>
      <w:r>
        <w:rPr>
          <w:rFonts w:hint="eastAsia" w:ascii="仿宋" w:hAnsi="仿宋" w:eastAsia="仿宋" w:cs="仿宋"/>
          <w:b/>
          <w:bCs w:val="0"/>
          <w:color w:val="auto"/>
          <w:sz w:val="28"/>
          <w:szCs w:val="28"/>
          <w:highlight w:val="none"/>
        </w:rPr>
        <w:t>投标人不论中标产品、数量多少，中标后按期配送，若有中标后不按时或不配送的中标供应商，将该中标供应商拉入黑名单。</w:t>
      </w:r>
    </w:p>
    <w:p w14:paraId="5845A592">
      <w:pPr>
        <w:adjustRightInd w:val="0"/>
        <w:spacing w:line="4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六、供货要求</w:t>
      </w:r>
    </w:p>
    <w:p w14:paraId="2F28DE6A">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1、为保障本项目供货进度和质量，投标人应根据实际情况制定出完整组织方案、进度计划、配送计划、人员配置及服务保障方法和措施等。</w:t>
      </w:r>
    </w:p>
    <w:p w14:paraId="6B55DCE2">
      <w:pPr>
        <w:spacing w:line="4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2、供应商根据工会要求</w:t>
      </w:r>
      <w:r>
        <w:rPr>
          <w:rFonts w:hint="eastAsia" w:ascii="仿宋" w:hAnsi="仿宋" w:eastAsia="仿宋" w:cs="仿宋"/>
          <w:color w:val="auto"/>
          <w:sz w:val="28"/>
          <w:szCs w:val="28"/>
          <w:highlight w:val="none"/>
          <w:lang w:val="en-US" w:eastAsia="zh-CN"/>
        </w:rPr>
        <w:t>配送慰问品至4个院区各个对应科室</w:t>
      </w:r>
      <w:r>
        <w:rPr>
          <w:rFonts w:hint="eastAsia" w:ascii="仿宋" w:hAnsi="仿宋" w:eastAsia="仿宋" w:cs="仿宋"/>
          <w:color w:val="auto"/>
          <w:sz w:val="28"/>
          <w:szCs w:val="28"/>
          <w:highlight w:val="none"/>
          <w:lang w:eastAsia="zh-CN"/>
        </w:rPr>
        <w:t>。</w:t>
      </w:r>
    </w:p>
    <w:p w14:paraId="3A84B541">
      <w:pPr>
        <w:adjustRightInd w:val="0"/>
        <w:spacing w:line="4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七、报价要求</w:t>
      </w:r>
    </w:p>
    <w:p w14:paraId="3B6684EF">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1、报价包含：产品费用、人工费、材料费、装卸车费、运输费、管理费、保险、维护、利润、税金等为完成本项目所需的所有费用，在实施期间不因市场因素而变动。</w:t>
      </w:r>
    </w:p>
    <w:p w14:paraId="22821FF6">
      <w:pPr>
        <w:spacing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2、标注★号的要求，投标人必须实质性响应，否则投标无效。</w:t>
      </w:r>
    </w:p>
    <w:p w14:paraId="4D04EB5F">
      <w:pPr>
        <w:spacing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文件中必须提供所投产品外包装清晰正反面图片或网页截图。图片或截图必须能清晰体现该产品的主要技术参数。如提供不全或不按要求提供的，则按如下处理：属于要求实质性响应技术参数的投标无效。其他技术参数在“货物性能”评审时视为负偏离，按评审标准进行扣分。</w:t>
      </w:r>
    </w:p>
    <w:p w14:paraId="56A8445B">
      <w:pPr>
        <w:spacing w:line="4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4、报价单内容包含产品单价、规格等，详见采购清单，如对某一项不进行报价，可用斜杠“/”表示</w:t>
      </w:r>
      <w:r>
        <w:rPr>
          <w:rFonts w:hint="eastAsia" w:ascii="仿宋" w:hAnsi="仿宋" w:eastAsia="仿宋" w:cs="仿宋"/>
          <w:color w:val="auto"/>
          <w:sz w:val="28"/>
          <w:szCs w:val="28"/>
          <w:lang w:val="en-US" w:eastAsia="zh-CN"/>
        </w:rPr>
        <w:t>。</w:t>
      </w:r>
    </w:p>
    <w:p w14:paraId="4EC0BE19">
      <w:pPr>
        <w:adjustRightInd w:val="0"/>
        <w:spacing w:line="4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八、</w:t>
      </w:r>
      <w:r>
        <w:rPr>
          <w:rFonts w:hint="eastAsia" w:ascii="仿宋" w:hAnsi="仿宋" w:eastAsia="仿宋" w:cs="仿宋"/>
          <w:b/>
          <w:color w:val="auto"/>
          <w:sz w:val="28"/>
          <w:szCs w:val="28"/>
          <w:lang w:val="en-US" w:eastAsia="zh-CN"/>
        </w:rPr>
        <w:t>产品质量及</w:t>
      </w:r>
      <w:r>
        <w:rPr>
          <w:rFonts w:hint="eastAsia" w:ascii="仿宋" w:hAnsi="仿宋" w:eastAsia="仿宋" w:cs="仿宋"/>
          <w:b/>
          <w:color w:val="auto"/>
          <w:sz w:val="28"/>
          <w:szCs w:val="28"/>
        </w:rPr>
        <w:t>售后</w:t>
      </w:r>
      <w:r>
        <w:rPr>
          <w:rFonts w:hint="eastAsia" w:ascii="仿宋" w:hAnsi="仿宋" w:eastAsia="仿宋" w:cs="仿宋"/>
          <w:b/>
          <w:color w:val="auto"/>
          <w:sz w:val="28"/>
          <w:szCs w:val="28"/>
          <w:lang w:val="en-US" w:eastAsia="zh-CN"/>
        </w:rPr>
        <w:t>要求</w:t>
      </w:r>
    </w:p>
    <w:p w14:paraId="70A1B38C">
      <w:pPr>
        <w:pStyle w:val="7"/>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产品须是按厂家出厂标准配置提供的全新产品，是具备正规合法经销渠道，符合《中华人民共和国食品安全法》、《中华人民共和国食品安全法实施条例》等有关规定的质量标准、环保标准或行业标准等国家相关质量标准的合格产品。交货后如出现质量达不到国家标准/行业标准的情况，供应商应无条件给予更换。</w:t>
      </w:r>
    </w:p>
    <w:p w14:paraId="1B73BE13">
      <w:pPr>
        <w:pStyle w:val="7"/>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产品质量必须符合国家卫生标准，不得有腐烂、变质、油脂酸败、霉变、生虫、污秽不洁、混有异物或者其他感官性异常，并不得含有可能对人体健康有害的物质。交货验收时如发现商品破损、发霉等问题由中标人无条件调换。</w:t>
      </w:r>
    </w:p>
    <w:p w14:paraId="4B4D0DFA">
      <w:pPr>
        <w:pStyle w:val="7"/>
        <w:spacing w:line="40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若中标后，提供的所有货物产品及原料的生产日期均不得超过自备货之日起的二个月范围，均须在安全的保质期内且每样货品均有生产许可证。如发现有质量问题和过期食品的，招标人有权退货，并依据《消费者权益保护法》和《食品安全法》相关条款要求中标人赔偿。在规定的保质期内，中标人应对由于运输装卸、保质期等引起的问题承担全部责任</w:t>
      </w:r>
      <w:r>
        <w:rPr>
          <w:rFonts w:hint="eastAsia" w:ascii="仿宋" w:hAnsi="仿宋" w:eastAsia="仿宋" w:cs="仿宋"/>
          <w:color w:val="auto"/>
          <w:sz w:val="28"/>
          <w:szCs w:val="28"/>
        </w:rPr>
        <w:t>。</w:t>
      </w:r>
    </w:p>
    <w:p w14:paraId="5BC9E6C0">
      <w:pPr>
        <w:pStyle w:val="7"/>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如招标人需增补慰问品数量，将按合同价以实际采购量进行结算，中标人需根据招标人需求配送至指定地点。</w:t>
      </w:r>
    </w:p>
    <w:p w14:paraId="7658FF7B">
      <w:pPr>
        <w:pStyle w:val="7"/>
        <w:spacing w:line="400" w:lineRule="exact"/>
        <w:ind w:firstLine="0" w:firstLineChars="0"/>
        <w:rPr>
          <w:rFonts w:hint="eastAsia" w:ascii="仿宋" w:hAnsi="仿宋" w:eastAsia="仿宋" w:cs="仿宋"/>
          <w:color w:val="auto"/>
          <w:sz w:val="28"/>
          <w:szCs w:val="28"/>
        </w:rPr>
      </w:pPr>
      <w:r>
        <w:rPr>
          <w:rFonts w:hint="eastAsia" w:ascii="仿宋" w:hAnsi="仿宋" w:eastAsia="仿宋" w:cs="仿宋"/>
          <w:b/>
          <w:bCs/>
          <w:color w:val="auto"/>
          <w:sz w:val="28"/>
          <w:szCs w:val="28"/>
        </w:rPr>
        <w:t>九、慰问品验收</w:t>
      </w:r>
    </w:p>
    <w:p w14:paraId="7C03DC46">
      <w:pPr>
        <w:spacing w:line="400" w:lineRule="exact"/>
        <w:ind w:firstLine="560" w:firstLineChars="200"/>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甲方收到乙方货物检验无误后，应与乙方办理签收手续。验收中，如甲方发现包装破损或存在保质期、质量等问题应告知乙方，乙方须在甲方告知后三个工作日内予以退换。</w:t>
      </w:r>
    </w:p>
    <w:p w14:paraId="4014917D">
      <w:pPr>
        <w:pStyle w:val="7"/>
        <w:spacing w:line="400" w:lineRule="exact"/>
        <w:ind w:firstLine="0"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十、付款方式</w:t>
      </w:r>
    </w:p>
    <w:p w14:paraId="162E07E7">
      <w:pPr>
        <w:spacing w:line="400" w:lineRule="exact"/>
        <w:ind w:firstLine="560" w:firstLineChars="200"/>
        <w:rPr>
          <w:rFonts w:hint="eastAsia"/>
          <w:lang w:val="en-US" w:eastAsia="zh-CN"/>
        </w:rPr>
      </w:pPr>
      <w:r>
        <w:rPr>
          <w:rFonts w:hint="eastAsia" w:ascii="仿宋" w:hAnsi="仿宋" w:eastAsia="仿宋" w:cs="仿宋"/>
          <w:color w:val="auto"/>
          <w:kern w:val="0"/>
          <w:sz w:val="28"/>
          <w:szCs w:val="28"/>
          <w:lang w:bidi="ar"/>
        </w:rPr>
        <w:t>本项目无预付款，按合同单价以实际</w:t>
      </w:r>
      <w:r>
        <w:rPr>
          <w:rFonts w:hint="eastAsia" w:ascii="仿宋" w:hAnsi="仿宋" w:eastAsia="仿宋" w:cs="仿宋"/>
          <w:color w:val="auto"/>
          <w:kern w:val="0"/>
          <w:sz w:val="28"/>
          <w:szCs w:val="28"/>
          <w:lang w:val="en-US" w:eastAsia="zh-CN" w:bidi="ar"/>
        </w:rPr>
        <w:t>配送、签收量进行结算</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一次性付全款。</w:t>
      </w:r>
    </w:p>
    <w:p w14:paraId="6897B7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769E1"/>
    <w:multiLevelType w:val="singleLevel"/>
    <w:tmpl w:val="F8F769E1"/>
    <w:lvl w:ilvl="0" w:tentative="0">
      <w:start w:val="4"/>
      <w:numFmt w:val="chineseCounting"/>
      <w:suff w:val="nothing"/>
      <w:lvlText w:val="%1、"/>
      <w:lvlJc w:val="left"/>
      <w:pPr>
        <w:ind w:left="0"/>
      </w:pPr>
      <w:rPr>
        <w:rFonts w:hint="eastAsia"/>
      </w:rPr>
    </w:lvl>
  </w:abstractNum>
  <w:abstractNum w:abstractNumId="1">
    <w:nsid w:val="2BE3A3B7"/>
    <w:multiLevelType w:val="singleLevel"/>
    <w:tmpl w:val="2BE3A3B7"/>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24B9E"/>
    <w:rsid w:val="0982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金山简黑体" w:eastAsia="金山简黑体"/>
      <w:b/>
      <w:spacing w:val="-8"/>
      <w:sz w:val="44"/>
    </w:rPr>
  </w:style>
  <w:style w:type="paragraph" w:styleId="3">
    <w:name w:val="List 2"/>
    <w:basedOn w:val="1"/>
    <w:qFormat/>
    <w:uiPriority w:val="0"/>
    <w:pPr>
      <w:ind w:left="100" w:leftChars="200" w:hanging="200" w:hangingChars="200"/>
    </w:pPr>
  </w:style>
  <w:style w:type="character" w:customStyle="1" w:styleId="6">
    <w:name w:val="font11"/>
    <w:basedOn w:val="5"/>
    <w:qFormat/>
    <w:uiPriority w:val="0"/>
    <w:rPr>
      <w:rFonts w:hint="eastAsia" w:ascii="宋体" w:hAnsi="宋体" w:eastAsia="宋体" w:cs="宋体"/>
      <w:color w:val="FF0000"/>
      <w:sz w:val="22"/>
      <w:szCs w:val="22"/>
      <w:u w:val="none"/>
    </w:rPr>
  </w:style>
  <w:style w:type="paragraph" w:styleId="7">
    <w:name w:val="List 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2026-01-07T06:56:00Z</dcterms:created>
  <dc:creator>加深</dc:creator>
  <cp:lastModifiedBy>加深</cp:lastModifiedBy>
  <dcterms:modified xsi:type="dcterms:W3CDTF">2026-01-07T06:56:39Z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8BBAB0F3FC3346759AC0156E16739CB5_11</vt:lpwstr>
  </property>
  <property fmtid="{D5CDD505-2E9C-101B-9397-08002B2CF9AE}" pid="4" name="KSOTemplateDocerSaveRecord">
    <vt:lpwstr>eyJoZGlkIjoiNmFkNzM0MjEyYTJlMGViYTU0N2EyNjMzYjM3OTNmZjIiLCJ1c2VySWQiOiIzNTY0MzY5ODAifQ==</vt:lpwstr>
  </property>
</Properties>
</file>