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bookmarkStart w:id="0" w:name="_GoBack"/>
      <w:bookmarkEnd w:id="0"/>
      <w:r>
        <w:rPr>
          <w:rFonts w:hint="eastAsia" w:ascii="仿宋" w:hAnsi="仿宋" w:eastAsia="仿宋" w:cs="仿宋"/>
          <w:b/>
          <w:bCs/>
          <w:sz w:val="36"/>
          <w:szCs w:val="36"/>
        </w:rPr>
        <w:t>放射药品钼锝发生器</w:t>
      </w:r>
      <w:r>
        <w:rPr>
          <w:rFonts w:hint="eastAsia" w:ascii="仿宋" w:hAnsi="仿宋" w:eastAsia="仿宋" w:cs="仿宋"/>
          <w:b/>
          <w:bCs/>
          <w:sz w:val="36"/>
          <w:szCs w:val="36"/>
          <w:lang w:eastAsia="zh-CN"/>
        </w:rPr>
        <w:t>配送服务项目</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放射药品钼锝发生器</w:t>
      </w:r>
      <w:r>
        <w:rPr>
          <w:rFonts w:hint="eastAsia" w:ascii="宋体" w:hAnsi="宋体" w:eastAsia="宋体" w:cs="宋体"/>
          <w:b w:val="0"/>
          <w:bCs w:val="0"/>
          <w:sz w:val="28"/>
          <w:szCs w:val="28"/>
          <w:lang w:eastAsia="zh-CN"/>
        </w:rPr>
        <w:t>配送服务项目</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项目概况</w:t>
      </w:r>
    </w:p>
    <w:p>
      <w:pPr>
        <w:spacing w:line="500" w:lineRule="exact"/>
        <w:ind w:firstLine="480"/>
        <w:rPr>
          <w:rFonts w:hint="eastAsia" w:ascii="宋体" w:hAnsi="宋体" w:eastAsia="宋体" w:cs="宋体"/>
          <w:sz w:val="28"/>
          <w:szCs w:val="28"/>
        </w:rPr>
      </w:pPr>
      <w:r>
        <w:rPr>
          <w:rFonts w:hint="eastAsia" w:ascii="宋体" w:hAnsi="宋体" w:eastAsia="宋体" w:cs="宋体"/>
          <w:b w:val="0"/>
          <w:bCs w:val="0"/>
          <w:sz w:val="28"/>
          <w:szCs w:val="28"/>
          <w:lang w:val="en-US" w:eastAsia="zh-CN"/>
        </w:rPr>
        <w:t>应我院核医学科需求，遴</w:t>
      </w:r>
      <w:r>
        <w:rPr>
          <w:rFonts w:hint="eastAsia" w:ascii="宋体" w:hAnsi="宋体" w:eastAsia="宋体" w:cs="宋体"/>
          <w:sz w:val="28"/>
          <w:szCs w:val="28"/>
          <w:lang w:val="en-US" w:eastAsia="zh-CN"/>
        </w:rPr>
        <w:t>选1家</w:t>
      </w:r>
      <w:r>
        <w:rPr>
          <w:rFonts w:hint="eastAsia" w:ascii="宋体" w:hAnsi="宋体" w:eastAsia="宋体" w:cs="宋体"/>
          <w:sz w:val="28"/>
          <w:szCs w:val="28"/>
        </w:rPr>
        <w:t>供应商</w:t>
      </w:r>
      <w:r>
        <w:rPr>
          <w:rFonts w:hint="eastAsia" w:ascii="宋体" w:hAnsi="宋体" w:eastAsia="宋体" w:cs="宋体"/>
          <w:sz w:val="28"/>
          <w:szCs w:val="28"/>
          <w:lang w:eastAsia="zh-CN"/>
        </w:rPr>
        <w:t>，为我院提供</w:t>
      </w:r>
      <w:r>
        <w:rPr>
          <w:rFonts w:hint="eastAsia" w:ascii="宋体" w:hAnsi="宋体" w:eastAsia="宋体" w:cs="宋体"/>
          <w:sz w:val="28"/>
          <w:szCs w:val="28"/>
          <w:lang w:val="en-US" w:eastAsia="zh-CN"/>
        </w:rPr>
        <w:t>钼锝发生器配送服务，</w:t>
      </w:r>
      <w:r>
        <w:rPr>
          <w:rFonts w:hint="eastAsia" w:ascii="宋体" w:hAnsi="宋体" w:eastAsia="宋体" w:cs="宋体"/>
          <w:sz w:val="28"/>
          <w:szCs w:val="28"/>
          <w:lang w:eastAsia="zh-CN"/>
        </w:rPr>
        <w:t>服务期限</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年</w:t>
      </w:r>
      <w:r>
        <w:rPr>
          <w:rFonts w:hint="eastAsia" w:ascii="宋体" w:hAnsi="宋体" w:eastAsia="宋体" w:cs="宋体"/>
          <w:sz w:val="28"/>
          <w:szCs w:val="28"/>
        </w:rPr>
        <w:t>。</w:t>
      </w:r>
    </w:p>
    <w:p>
      <w:pPr>
        <w:pStyle w:val="2"/>
        <w:numPr>
          <w:ilvl w:val="0"/>
          <w:numId w:val="1"/>
        </w:numPr>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采购需求一览表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575"/>
        <w:gridCol w:w="148"/>
        <w:gridCol w:w="676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07" w:hRule="atLeast"/>
        </w:trPr>
        <w:tc>
          <w:tcPr>
            <w:tcW w:w="1207" w:type="dxa"/>
            <w:noWrap w:val="0"/>
            <w:vAlign w:val="center"/>
          </w:tcPr>
          <w:p>
            <w:pPr>
              <w:numPr>
                <w:ilvl w:val="0"/>
                <w:numId w:val="0"/>
              </w:numPr>
              <w:jc w:val="center"/>
              <w:rPr>
                <w:rStyle w:val="11"/>
                <w:rFonts w:hint="eastAsia" w:ascii="宋体" w:hAnsi="宋体" w:eastAsia="宋体" w:cs="宋体"/>
                <w:b/>
                <w:bCs/>
                <w:color w:val="auto"/>
                <w:highlight w:val="none"/>
                <w:lang w:val="en-US" w:eastAsia="zh-CN" w:bidi="ar"/>
              </w:rPr>
            </w:pPr>
            <w:r>
              <w:rPr>
                <w:rFonts w:hint="eastAsia" w:ascii="宋体" w:hAnsi="宋体" w:cs="宋体"/>
                <w:b/>
                <w:color w:val="auto"/>
                <w:szCs w:val="21"/>
                <w:highlight w:val="none"/>
              </w:rPr>
              <w:t>服务名称</w:t>
            </w:r>
          </w:p>
        </w:tc>
        <w:tc>
          <w:tcPr>
            <w:tcW w:w="723" w:type="dxa"/>
            <w:gridSpan w:val="2"/>
            <w:noWrap w:val="0"/>
            <w:vAlign w:val="center"/>
          </w:tcPr>
          <w:p>
            <w:pPr>
              <w:numPr>
                <w:ilvl w:val="0"/>
                <w:numId w:val="0"/>
              </w:numPr>
              <w:jc w:val="center"/>
              <w:rPr>
                <w:rStyle w:val="11"/>
                <w:rFonts w:hint="eastAsia" w:ascii="宋体" w:hAnsi="宋体" w:eastAsia="宋体" w:cs="宋体"/>
                <w:b/>
                <w:bCs/>
                <w:color w:val="auto"/>
                <w:highlight w:val="none"/>
                <w:lang w:val="en-US" w:eastAsia="zh-CN" w:bidi="ar"/>
              </w:rPr>
            </w:pPr>
            <w:r>
              <w:rPr>
                <w:rStyle w:val="11"/>
                <w:rFonts w:hint="eastAsia" w:ascii="宋体" w:hAnsi="宋体" w:eastAsia="宋体" w:cs="宋体"/>
                <w:b/>
                <w:bCs/>
                <w:color w:val="auto"/>
                <w:highlight w:val="none"/>
                <w:lang w:val="en-US" w:eastAsia="zh-CN" w:bidi="ar"/>
              </w:rPr>
              <w:t>数量</w:t>
            </w:r>
          </w:p>
        </w:tc>
        <w:tc>
          <w:tcPr>
            <w:tcW w:w="6768" w:type="dxa"/>
            <w:noWrap w:val="0"/>
            <w:vAlign w:val="center"/>
          </w:tcPr>
          <w:p>
            <w:pPr>
              <w:numPr>
                <w:ilvl w:val="0"/>
                <w:numId w:val="0"/>
              </w:numPr>
              <w:jc w:val="center"/>
              <w:rPr>
                <w:rStyle w:val="11"/>
                <w:rFonts w:hint="eastAsia" w:ascii="宋体" w:hAnsi="宋体" w:eastAsia="宋体" w:cs="宋体"/>
                <w:b/>
                <w:bCs/>
                <w:color w:val="auto"/>
                <w:highlight w:val="none"/>
                <w:lang w:val="en-US" w:eastAsia="zh-CN" w:bidi="ar"/>
              </w:rPr>
            </w:pPr>
            <w:r>
              <w:rPr>
                <w:rStyle w:val="11"/>
                <w:rFonts w:hint="eastAsia" w:ascii="宋体" w:hAnsi="宋体" w:eastAsia="宋体" w:cs="宋体"/>
                <w:b/>
                <w:bCs/>
                <w:color w:val="auto"/>
                <w:highlight w:val="none"/>
                <w:lang w:val="en-US" w:eastAsia="zh-CN" w:bidi="ar"/>
              </w:rPr>
              <w:t>技术参数及服务要求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460" w:hRule="atLeast"/>
        </w:trPr>
        <w:tc>
          <w:tcPr>
            <w:tcW w:w="1207" w:type="dxa"/>
            <w:noWrap w:val="0"/>
            <w:vAlign w:val="center"/>
          </w:tcPr>
          <w:p>
            <w:pPr>
              <w:numPr>
                <w:ilvl w:val="0"/>
                <w:numId w:val="0"/>
              </w:numPr>
              <w:jc w:val="center"/>
              <w:rPr>
                <w:rStyle w:val="11"/>
                <w:rFonts w:hint="default" w:ascii="宋体" w:hAnsi="宋体" w:eastAsia="宋体" w:cs="宋体"/>
                <w:color w:val="auto"/>
                <w:highlight w:val="none"/>
                <w:lang w:val="en-US" w:eastAsia="zh-CN" w:bidi="ar"/>
              </w:rPr>
            </w:pPr>
            <w:r>
              <w:rPr>
                <w:rFonts w:hint="eastAsia" w:ascii="宋体" w:hAnsi="宋体" w:eastAsia="宋体" w:cs="宋体"/>
                <w:sz w:val="24"/>
                <w:szCs w:val="24"/>
              </w:rPr>
              <w:t>钼锝发生器</w:t>
            </w:r>
            <w:r>
              <w:rPr>
                <w:rStyle w:val="11"/>
                <w:rFonts w:hint="eastAsia" w:ascii="宋体" w:hAnsi="宋体" w:eastAsia="宋体" w:cs="宋体"/>
                <w:color w:val="auto"/>
                <w:highlight w:val="none"/>
                <w:lang w:val="en-US" w:eastAsia="zh-CN" w:bidi="ar"/>
              </w:rPr>
              <w:t>配送服务</w:t>
            </w:r>
          </w:p>
        </w:tc>
        <w:tc>
          <w:tcPr>
            <w:tcW w:w="723" w:type="dxa"/>
            <w:gridSpan w:val="2"/>
            <w:noWrap w:val="0"/>
            <w:vAlign w:val="center"/>
          </w:tcPr>
          <w:p>
            <w:pPr>
              <w:numPr>
                <w:ilvl w:val="0"/>
                <w:numId w:val="0"/>
              </w:numPr>
              <w:jc w:val="center"/>
              <w:rPr>
                <w:rStyle w:val="11"/>
                <w:rFonts w:hint="eastAsia" w:ascii="宋体" w:hAnsi="宋体" w:eastAsia="宋体" w:cs="宋体"/>
                <w:color w:val="auto"/>
                <w:highlight w:val="none"/>
                <w:lang w:val="en-US" w:eastAsia="zh-CN" w:bidi="ar"/>
              </w:rPr>
            </w:pPr>
            <w:r>
              <w:rPr>
                <w:rStyle w:val="11"/>
                <w:rFonts w:hint="eastAsia" w:ascii="宋体" w:hAnsi="宋体" w:eastAsia="宋体" w:cs="宋体"/>
                <w:color w:val="auto"/>
                <w:highlight w:val="none"/>
                <w:lang w:val="en-US" w:eastAsia="zh-CN" w:bidi="ar"/>
              </w:rPr>
              <w:t>1项</w:t>
            </w:r>
          </w:p>
        </w:tc>
        <w:tc>
          <w:tcPr>
            <w:tcW w:w="6768" w:type="dxa"/>
            <w:noWrap w:val="0"/>
            <w:vAlign w:val="top"/>
          </w:tcPr>
          <w:p>
            <w:pPr>
              <w:widowControl/>
              <w:numPr>
                <w:ilvl w:val="0"/>
                <w:numId w:val="0"/>
              </w:numPr>
              <w:spacing w:beforeLines="0" w:line="400" w:lineRule="exact"/>
              <w:ind w:firstLine="422" w:firstLineChars="200"/>
              <w:jc w:val="left"/>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一、服务范围</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color w:val="auto"/>
                <w:sz w:val="21"/>
                <w:szCs w:val="21"/>
                <w:highlight w:val="none"/>
                <w:lang w:val="en-US" w:eastAsia="zh-CN" w:bidi="ar"/>
              </w:rPr>
              <w:t>要求提供放射性药品的安全运输、规范储存及精准配送服务。配送服务需确保药品活度、纯度及无菌性等符合临床诊疗需求，满足辐射防护及药监法规要求。放射性药品目录：</w:t>
            </w:r>
          </w:p>
          <w:tbl>
            <w:tblPr>
              <w:tblStyle w:val="6"/>
              <w:tblpPr w:leftFromText="180" w:rightFromText="180" w:vertAnchor="text" w:horzAnchor="page" w:tblpXSpec="center" w:tblpY="268"/>
              <w:tblOverlap w:val="never"/>
              <w:tblW w:w="43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149"/>
              <w:gridCol w:w="2148"/>
              <w:gridCol w:w="66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8" w:type="pct"/>
                  <w:noWrap w:val="0"/>
                  <w:vAlign w:val="center"/>
                </w:tcPr>
                <w:p>
                  <w:pPr>
                    <w:keepNext w:val="0"/>
                    <w:keepLines w:val="0"/>
                    <w:widowControl/>
                    <w:numPr>
                      <w:ilvl w:val="0"/>
                      <w:numId w:val="0"/>
                    </w:numPr>
                    <w:suppressLineNumbers w:val="0"/>
                    <w:spacing w:beforeLines="0" w:line="400" w:lineRule="exact"/>
                    <w:ind w:firstLine="0" w:firstLineChars="0"/>
                    <w:jc w:val="left"/>
                    <w:textAlignment w:val="auto"/>
                    <w:rPr>
                      <w:rStyle w:val="11"/>
                      <w:rFonts w:hint="eastAsia" w:ascii="宋体" w:hAnsi="宋体" w:eastAsia="宋体" w:cs="宋体"/>
                      <w:b/>
                      <w:bCs/>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序号</w:t>
                  </w:r>
                </w:p>
              </w:tc>
              <w:tc>
                <w:tcPr>
                  <w:tcW w:w="1020" w:type="pct"/>
                  <w:noWrap w:val="0"/>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b/>
                      <w:bCs/>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药品名称</w:t>
                  </w:r>
                </w:p>
              </w:tc>
              <w:tc>
                <w:tcPr>
                  <w:tcW w:w="1908" w:type="pct"/>
                  <w:noWrap w:val="0"/>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b/>
                      <w:bCs/>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规格</w:t>
                  </w:r>
                </w:p>
              </w:tc>
              <w:tc>
                <w:tcPr>
                  <w:tcW w:w="586" w:type="pct"/>
                  <w:noWrap/>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b/>
                      <w:bCs/>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单位</w:t>
                  </w:r>
                </w:p>
              </w:tc>
              <w:tc>
                <w:tcPr>
                  <w:tcW w:w="1075" w:type="pct"/>
                  <w:noWrap w:val="0"/>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预计采购数量/一年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08" w:type="pct"/>
                  <w:noWrap w:val="0"/>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color w:val="auto"/>
                      <w:sz w:val="21"/>
                      <w:szCs w:val="21"/>
                      <w:highlight w:val="none"/>
                      <w:lang w:val="en-US" w:eastAsia="zh-CN" w:bidi="ar"/>
                    </w:rPr>
                    <w:t>1</w:t>
                  </w:r>
                </w:p>
              </w:tc>
              <w:tc>
                <w:tcPr>
                  <w:tcW w:w="1020" w:type="pct"/>
                  <w:noWrap w:val="0"/>
                  <w:vAlign w:val="center"/>
                </w:tcPr>
                <w:p>
                  <w:pPr>
                    <w:keepNext w:val="0"/>
                    <w:keepLines w:val="0"/>
                    <w:widowControl/>
                    <w:numPr>
                      <w:ilvl w:val="0"/>
                      <w:numId w:val="0"/>
                    </w:numPr>
                    <w:suppressLineNumbers w:val="0"/>
                    <w:spacing w:beforeLines="0" w:line="400" w:lineRule="exact"/>
                    <w:ind w:left="0" w:leftChars="0" w:firstLine="0" w:firstLineChars="0"/>
                    <w:jc w:val="center"/>
                    <w:textAlignment w:val="auto"/>
                    <w:rPr>
                      <w:rStyle w:val="11"/>
                      <w:rFonts w:hint="eastAsia" w:ascii="宋体" w:hAnsi="宋体" w:eastAsia="宋体" w:cs="宋体"/>
                      <w:color w:val="auto"/>
                      <w:sz w:val="21"/>
                      <w:szCs w:val="21"/>
                      <w:highlight w:val="none"/>
                      <w:lang w:val="en-US" w:eastAsia="zh-CN" w:bidi="ar"/>
                    </w:rPr>
                  </w:pPr>
                  <w:r>
                    <w:rPr>
                      <w:rFonts w:hint="eastAsia" w:ascii="宋体" w:hAnsi="宋体" w:eastAsia="宋体" w:cs="宋体"/>
                      <w:sz w:val="24"/>
                      <w:szCs w:val="24"/>
                    </w:rPr>
                    <w:t>钼锝发生器</w:t>
                  </w:r>
                </w:p>
              </w:tc>
              <w:tc>
                <w:tcPr>
                  <w:tcW w:w="1908" w:type="pct"/>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800/500/300mCi</w:t>
                  </w:r>
                </w:p>
              </w:tc>
              <w:tc>
                <w:tcPr>
                  <w:tcW w:w="586" w:type="pct"/>
                  <w:noWrap/>
                  <w:vAlign w:val="center"/>
                </w:tcPr>
                <w:p>
                  <w:pPr>
                    <w:keepNext w:val="0"/>
                    <w:keepLines w:val="0"/>
                    <w:widowControl/>
                    <w:numPr>
                      <w:ilvl w:val="0"/>
                      <w:numId w:val="0"/>
                    </w:numPr>
                    <w:suppressLineNumbers w:val="0"/>
                    <w:spacing w:beforeLines="0" w:line="400" w:lineRule="exact"/>
                    <w:ind w:left="0" w:leftChars="0" w:firstLine="0" w:firstLineChars="0"/>
                    <w:jc w:val="center"/>
                    <w:textAlignment w:val="auto"/>
                    <w:rPr>
                      <w:rStyle w:val="11"/>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000000"/>
                      <w:sz w:val="24"/>
                      <w:szCs w:val="24"/>
                      <w:u w:val="none"/>
                      <w:lang w:val="en-US" w:eastAsia="zh-CN"/>
                    </w:rPr>
                    <w:t>个</w:t>
                  </w:r>
                </w:p>
              </w:tc>
              <w:tc>
                <w:tcPr>
                  <w:tcW w:w="1075" w:type="pct"/>
                  <w:noWrap/>
                  <w:vAlign w:val="center"/>
                </w:tcPr>
                <w:p>
                  <w:pPr>
                    <w:keepNext w:val="0"/>
                    <w:keepLines w:val="0"/>
                    <w:widowControl/>
                    <w:numPr>
                      <w:ilvl w:val="0"/>
                      <w:numId w:val="0"/>
                    </w:numPr>
                    <w:suppressLineNumbers w:val="0"/>
                    <w:spacing w:beforeLines="0" w:line="400" w:lineRule="exact"/>
                    <w:ind w:left="0" w:leftChars="0" w:firstLine="0" w:firstLineChars="0"/>
                    <w:jc w:val="center"/>
                    <w:textAlignment w:val="auto"/>
                    <w:rPr>
                      <w:rStyle w:val="11"/>
                      <w:rFonts w:hint="default" w:ascii="宋体" w:hAnsi="宋体" w:eastAsia="宋体" w:cs="宋体"/>
                      <w:color w:val="auto"/>
                      <w:sz w:val="21"/>
                      <w:szCs w:val="21"/>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r>
          </w:tbl>
          <w:p>
            <w:pPr>
              <w:widowControl/>
              <w:numPr>
                <w:ilvl w:val="0"/>
                <w:numId w:val="0"/>
              </w:numPr>
              <w:spacing w:beforeLines="0" w:line="400" w:lineRule="exact"/>
              <w:ind w:firstLine="442" w:firstLineChars="200"/>
              <w:jc w:val="left"/>
              <w:rPr>
                <w:rFonts w:hint="eastAsia" w:ascii="宋体" w:hAnsi="宋体" w:eastAsia="宋体" w:cs="宋体"/>
                <w:b/>
                <w:bCs/>
                <w:color w:val="auto"/>
                <w:kern w:val="2"/>
                <w:sz w:val="22"/>
                <w:szCs w:val="22"/>
                <w:highlight w:val="none"/>
                <w:lang w:val="en-US" w:eastAsia="zh-CN" w:bidi="ar"/>
              </w:rPr>
            </w:pPr>
          </w:p>
          <w:p>
            <w:pPr>
              <w:widowControl/>
              <w:numPr>
                <w:ilvl w:val="0"/>
                <w:numId w:val="0"/>
              </w:numPr>
              <w:spacing w:beforeLines="0" w:line="400" w:lineRule="exact"/>
              <w:ind w:firstLine="422" w:firstLineChars="20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二、服务技术标准</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hint="eastAsia" w:ascii="宋体" w:hAnsi="宋体" w:eastAsia="宋体" w:cs="宋体"/>
                <w:color w:val="auto"/>
                <w:sz w:val="21"/>
                <w:szCs w:val="21"/>
                <w:highlight w:val="none"/>
                <w:lang w:val="en-US" w:eastAsia="zh-CN" w:bidi="ar"/>
              </w:rPr>
              <w:t>1.</w:t>
            </w:r>
            <w:r>
              <w:rPr>
                <w:rStyle w:val="11"/>
                <w:rFonts w:hint="eastAsia" w:ascii="宋体" w:hAnsi="宋体" w:eastAsia="宋体" w:cs="宋体"/>
                <w:color w:val="auto"/>
                <w:sz w:val="21"/>
                <w:szCs w:val="21"/>
                <w:highlight w:val="none"/>
                <w:lang w:eastAsia="zh-CN" w:bidi="ar"/>
              </w:rPr>
              <w:t>放射性</w:t>
            </w:r>
            <w:r>
              <w:rPr>
                <w:rStyle w:val="11"/>
                <w:rFonts w:hint="eastAsia" w:ascii="宋体" w:hAnsi="宋体" w:eastAsia="宋体" w:cs="宋体"/>
                <w:color w:val="auto"/>
                <w:sz w:val="21"/>
                <w:szCs w:val="21"/>
                <w:highlight w:val="none"/>
                <w:lang w:val="en-US" w:eastAsia="zh-CN" w:bidi="ar"/>
              </w:rPr>
              <w:t>药品</w:t>
            </w:r>
            <w:r>
              <w:rPr>
                <w:rStyle w:val="11"/>
                <w:rFonts w:ascii="宋体" w:hAnsi="宋体" w:eastAsia="宋体" w:cs="宋体"/>
                <w:color w:val="auto"/>
                <w:sz w:val="21"/>
                <w:szCs w:val="21"/>
                <w:highlight w:val="none"/>
                <w:lang w:bidi="ar"/>
              </w:rPr>
              <w:t>性状</w:t>
            </w: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鉴别、检查项、</w:t>
            </w:r>
            <w:r>
              <w:rPr>
                <w:rStyle w:val="11"/>
                <w:rFonts w:ascii="宋体" w:hAnsi="宋体" w:eastAsia="宋体" w:cs="宋体"/>
                <w:color w:val="auto"/>
                <w:sz w:val="21"/>
                <w:szCs w:val="21"/>
                <w:highlight w:val="none"/>
                <w:lang w:bidi="ar"/>
              </w:rPr>
              <w:t>放射性核纯度</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放射化学纯度</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放射性浓度</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放射性</w:t>
            </w:r>
            <w:r>
              <w:rPr>
                <w:rStyle w:val="11"/>
                <w:rFonts w:hint="eastAsia" w:ascii="宋体" w:hAnsi="宋体" w:eastAsia="宋体" w:cs="宋体"/>
                <w:color w:val="auto"/>
                <w:sz w:val="21"/>
                <w:szCs w:val="21"/>
                <w:highlight w:val="none"/>
                <w:lang w:eastAsia="zh-CN" w:bidi="ar"/>
              </w:rPr>
              <w:t>活</w:t>
            </w:r>
            <w:r>
              <w:rPr>
                <w:rStyle w:val="11"/>
                <w:rFonts w:ascii="宋体" w:hAnsi="宋体" w:eastAsia="宋体" w:cs="宋体"/>
                <w:color w:val="auto"/>
                <w:sz w:val="21"/>
                <w:szCs w:val="21"/>
                <w:highlight w:val="none"/>
                <w:lang w:bidi="ar"/>
              </w:rPr>
              <w:t>度等</w:t>
            </w:r>
            <w:r>
              <w:rPr>
                <w:rStyle w:val="11"/>
                <w:rFonts w:hint="eastAsia" w:ascii="宋体" w:hAnsi="宋体" w:eastAsia="宋体" w:cs="宋体"/>
                <w:color w:val="auto"/>
                <w:sz w:val="21"/>
                <w:szCs w:val="21"/>
                <w:highlight w:val="none"/>
                <w:lang w:eastAsia="zh-CN" w:bidi="ar"/>
              </w:rPr>
              <w:t>应</w:t>
            </w:r>
            <w:r>
              <w:rPr>
                <w:rStyle w:val="11"/>
                <w:rFonts w:ascii="宋体" w:hAnsi="宋体" w:eastAsia="宋体" w:cs="宋体"/>
                <w:color w:val="auto"/>
                <w:sz w:val="21"/>
                <w:szCs w:val="21"/>
                <w:highlight w:val="none"/>
                <w:lang w:bidi="ar"/>
              </w:rPr>
              <w:t>符合或优于《中华人民共和国药典》（最新版）</w:t>
            </w: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eastAsia="zh-CN" w:bidi="ar"/>
              </w:rPr>
              <w:t>二部</w:t>
            </w:r>
            <w:r>
              <w:rPr>
                <w:rStyle w:val="11"/>
                <w:rFonts w:hint="eastAsia" w:ascii="宋体" w:hAnsi="宋体" w:eastAsia="宋体" w:cs="宋体"/>
                <w:color w:val="auto"/>
                <w:sz w:val="21"/>
                <w:szCs w:val="21"/>
                <w:highlight w:val="none"/>
                <w:lang w:val="en-US" w:eastAsia="zh-CN" w:bidi="ar"/>
              </w:rPr>
              <w:t>，</w:t>
            </w:r>
            <w:r>
              <w:rPr>
                <w:rStyle w:val="11"/>
                <w:rFonts w:hint="eastAsia" w:ascii="宋体" w:hAnsi="宋体" w:eastAsia="宋体" w:cs="宋体"/>
                <w:color w:val="auto"/>
                <w:sz w:val="21"/>
                <w:szCs w:val="21"/>
                <w:highlight w:val="none"/>
                <w:lang w:eastAsia="zh-CN" w:bidi="ar"/>
              </w:rPr>
              <w:t>正文品种第二部分</w:t>
            </w:r>
            <w:r>
              <w:rPr>
                <w:rStyle w:val="11"/>
                <w:rFonts w:ascii="宋体" w:hAnsi="宋体" w:eastAsia="宋体" w:cs="宋体"/>
                <w:color w:val="auto"/>
                <w:sz w:val="21"/>
                <w:szCs w:val="21"/>
                <w:highlight w:val="none"/>
                <w:lang w:eastAsia="zh-CN" w:bidi="ar"/>
              </w:rPr>
              <w:t>）的</w:t>
            </w:r>
            <w:r>
              <w:rPr>
                <w:rStyle w:val="11"/>
                <w:rFonts w:hint="eastAsia" w:ascii="宋体" w:hAnsi="宋体" w:eastAsia="宋体" w:cs="宋体"/>
                <w:color w:val="auto"/>
                <w:sz w:val="21"/>
                <w:szCs w:val="21"/>
                <w:highlight w:val="none"/>
                <w:lang w:val="en-US" w:eastAsia="zh-CN" w:bidi="ar"/>
              </w:rPr>
              <w:t>质量</w:t>
            </w:r>
            <w:r>
              <w:rPr>
                <w:rStyle w:val="11"/>
                <w:rFonts w:ascii="宋体" w:hAnsi="宋体" w:eastAsia="宋体" w:cs="宋体"/>
                <w:color w:val="auto"/>
                <w:sz w:val="21"/>
                <w:szCs w:val="21"/>
                <w:highlight w:val="none"/>
                <w:lang w:bidi="ar"/>
              </w:rPr>
              <w:t>标准要求。</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color w:val="auto"/>
                <w:sz w:val="21"/>
                <w:szCs w:val="21"/>
                <w:highlight w:val="none"/>
                <w:lang w:val="en-US" w:eastAsia="zh-CN" w:bidi="ar"/>
              </w:rPr>
              <w:t>2.</w:t>
            </w:r>
            <w:r>
              <w:rPr>
                <w:rStyle w:val="11"/>
                <w:rFonts w:hint="eastAsia" w:ascii="宋体" w:hAnsi="宋体" w:eastAsia="宋体" w:cs="宋体"/>
                <w:color w:val="auto"/>
                <w:sz w:val="21"/>
                <w:szCs w:val="21"/>
                <w:highlight w:val="none"/>
                <w:lang w:eastAsia="zh-CN" w:bidi="ar"/>
              </w:rPr>
              <w:t>放射性</w:t>
            </w:r>
            <w:r>
              <w:rPr>
                <w:rStyle w:val="11"/>
                <w:rFonts w:hint="eastAsia" w:ascii="宋体" w:hAnsi="宋体" w:eastAsia="宋体" w:cs="宋体"/>
                <w:color w:val="auto"/>
                <w:sz w:val="21"/>
                <w:szCs w:val="21"/>
                <w:highlight w:val="none"/>
                <w:lang w:val="en-US" w:eastAsia="zh-CN" w:bidi="ar"/>
              </w:rPr>
              <w:t>药品包装及标签</w:t>
            </w:r>
            <w:r>
              <w:rPr>
                <w:rStyle w:val="11"/>
                <w:rFonts w:hint="eastAsia" w:ascii="宋体" w:hAnsi="宋体" w:eastAsia="宋体" w:cs="宋体"/>
                <w:color w:val="auto"/>
                <w:sz w:val="21"/>
                <w:szCs w:val="21"/>
                <w:highlight w:val="none"/>
                <w:lang w:eastAsia="zh-CN" w:bidi="ar"/>
              </w:rPr>
              <w:t>应</w:t>
            </w:r>
            <w:r>
              <w:rPr>
                <w:rStyle w:val="11"/>
                <w:rFonts w:ascii="宋体" w:hAnsi="宋体" w:eastAsia="宋体" w:cs="宋体"/>
                <w:color w:val="auto"/>
                <w:sz w:val="21"/>
                <w:szCs w:val="21"/>
                <w:highlight w:val="none"/>
                <w:lang w:bidi="ar"/>
              </w:rPr>
              <w:t>符合《放射性药品管理办法》（国务院令第25号）及《药品说明书和标签管理</w:t>
            </w:r>
            <w:r>
              <w:rPr>
                <w:rStyle w:val="11"/>
                <w:rFonts w:hint="eastAsia" w:ascii="宋体" w:hAnsi="宋体" w:eastAsia="宋体" w:cs="宋体"/>
                <w:color w:val="auto"/>
                <w:sz w:val="21"/>
                <w:szCs w:val="21"/>
                <w:highlight w:val="none"/>
                <w:lang w:val="en-US" w:eastAsia="zh-CN" w:bidi="ar"/>
              </w:rPr>
              <w:t>规定</w:t>
            </w:r>
            <w:r>
              <w:rPr>
                <w:rStyle w:val="11"/>
                <w:rFonts w:ascii="宋体" w:hAnsi="宋体" w:eastAsia="宋体" w:cs="宋体"/>
                <w:color w:val="auto"/>
                <w:sz w:val="21"/>
                <w:szCs w:val="21"/>
                <w:highlight w:val="none"/>
                <w:lang w:bidi="ar"/>
              </w:rPr>
              <w:t>》（国家食品药品监督管理局令第24号）</w:t>
            </w:r>
            <w:r>
              <w:rPr>
                <w:rStyle w:val="11"/>
                <w:rFonts w:hint="eastAsia" w:ascii="宋体" w:hAnsi="宋体" w:eastAsia="宋体" w:cs="宋体"/>
                <w:color w:val="auto"/>
                <w:sz w:val="21"/>
                <w:szCs w:val="21"/>
                <w:highlight w:val="none"/>
                <w:lang w:val="en-US" w:eastAsia="zh-CN" w:bidi="ar"/>
              </w:rPr>
              <w:t>等法规文件要求。</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eastAsia="zh-CN" w:bidi="ar"/>
              </w:rPr>
            </w:pPr>
            <w:r>
              <w:rPr>
                <w:rStyle w:val="11"/>
                <w:rFonts w:ascii="宋体" w:hAnsi="宋体" w:eastAsia="宋体" w:cs="宋体"/>
                <w:color w:val="auto"/>
                <w:sz w:val="21"/>
                <w:szCs w:val="21"/>
                <w:highlight w:val="none"/>
                <w:lang w:bidi="ar"/>
              </w:rPr>
              <w:t>3.放射性药品运输车辆应符合《放射性物品道路运输管理规定》，</w:t>
            </w:r>
            <w:r>
              <w:rPr>
                <w:rStyle w:val="11"/>
                <w:rFonts w:hint="eastAsia" w:ascii="宋体" w:hAnsi="宋体" w:eastAsia="宋体" w:cs="宋体"/>
                <w:color w:val="auto"/>
                <w:sz w:val="21"/>
                <w:szCs w:val="21"/>
                <w:highlight w:val="none"/>
                <w:lang w:val="en-US" w:eastAsia="zh-CN" w:bidi="ar"/>
              </w:rPr>
              <w:t>需取得运输</w:t>
            </w:r>
            <w:r>
              <w:rPr>
                <w:rStyle w:val="11"/>
                <w:rFonts w:ascii="宋体" w:hAnsi="宋体" w:eastAsia="宋体" w:cs="宋体"/>
                <w:color w:val="auto"/>
                <w:sz w:val="21"/>
                <w:szCs w:val="21"/>
                <w:highlight w:val="none"/>
                <w:lang w:bidi="ar"/>
              </w:rPr>
              <w:t>放射性物品</w:t>
            </w:r>
            <w:r>
              <w:rPr>
                <w:rStyle w:val="11"/>
                <w:rFonts w:ascii="宋体" w:hAnsi="宋体" w:eastAsia="宋体" w:cs="宋体"/>
                <w:color w:val="auto"/>
                <w:sz w:val="21"/>
                <w:szCs w:val="21"/>
                <w:highlight w:val="none"/>
                <w:lang w:eastAsia="zh-CN" w:bidi="ar"/>
              </w:rPr>
              <w:t>的</w:t>
            </w:r>
            <w:r>
              <w:rPr>
                <w:rStyle w:val="11"/>
                <w:rFonts w:hint="eastAsia" w:ascii="宋体" w:hAnsi="宋体" w:eastAsia="宋体" w:cs="宋体"/>
                <w:color w:val="auto"/>
                <w:sz w:val="21"/>
                <w:szCs w:val="21"/>
                <w:highlight w:val="none"/>
                <w:lang w:val="en-US" w:eastAsia="zh-CN" w:bidi="ar"/>
              </w:rPr>
              <w:t>相关</w:t>
            </w:r>
            <w:r>
              <w:rPr>
                <w:rStyle w:val="11"/>
                <w:rFonts w:ascii="宋体" w:hAnsi="宋体" w:eastAsia="宋体" w:cs="宋体"/>
                <w:color w:val="auto"/>
                <w:sz w:val="21"/>
                <w:szCs w:val="21"/>
                <w:highlight w:val="none"/>
                <w:lang w:bidi="ar"/>
              </w:rPr>
              <w:t>许可证</w:t>
            </w:r>
            <w:r>
              <w:rPr>
                <w:rStyle w:val="11"/>
                <w:rFonts w:hint="eastAsia" w:ascii="宋体" w:hAnsi="宋体" w:eastAsia="宋体" w:cs="宋体"/>
                <w:color w:val="auto"/>
                <w:sz w:val="21"/>
                <w:szCs w:val="21"/>
                <w:highlight w:val="none"/>
                <w:lang w:val="en-US" w:eastAsia="zh-CN" w:bidi="ar"/>
              </w:rPr>
              <w:t>,并</w:t>
            </w:r>
            <w:r>
              <w:rPr>
                <w:rStyle w:val="11"/>
                <w:rFonts w:ascii="宋体" w:hAnsi="宋体" w:eastAsia="宋体" w:cs="宋体"/>
                <w:color w:val="auto"/>
                <w:sz w:val="21"/>
                <w:szCs w:val="21"/>
                <w:highlight w:val="none"/>
                <w:lang w:bidi="ar"/>
              </w:rPr>
              <w:t>配备符合国家标准的辐射屏蔽装置（如铅防护容器）和实时温控</w:t>
            </w:r>
            <w:r>
              <w:rPr>
                <w:rStyle w:val="11"/>
                <w:rFonts w:hint="eastAsia" w:ascii="宋体" w:hAnsi="宋体" w:eastAsia="宋体" w:cs="宋体"/>
                <w:color w:val="auto"/>
                <w:sz w:val="21"/>
                <w:szCs w:val="21"/>
                <w:highlight w:val="none"/>
                <w:lang w:val="en-US" w:eastAsia="zh-CN" w:bidi="ar"/>
              </w:rPr>
              <w:t>系统等必要设施，同时需具备</w:t>
            </w:r>
            <w:r>
              <w:rPr>
                <w:rStyle w:val="11"/>
                <w:rFonts w:ascii="宋体" w:hAnsi="宋体" w:eastAsia="宋体" w:cs="宋体"/>
                <w:color w:val="auto"/>
                <w:sz w:val="21"/>
                <w:szCs w:val="21"/>
                <w:highlight w:val="none"/>
                <w:lang w:bidi="ar"/>
              </w:rPr>
              <w:t>车辆</w:t>
            </w:r>
            <w:r>
              <w:rPr>
                <w:rStyle w:val="11"/>
                <w:rFonts w:hint="eastAsia"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容器有效的检验/合格证明、驾驶员资质等</w:t>
            </w:r>
            <w:r>
              <w:rPr>
                <w:rStyle w:val="11"/>
                <w:rFonts w:hint="eastAsia" w:ascii="宋体" w:hAnsi="宋体" w:eastAsia="宋体" w:cs="宋体"/>
                <w:color w:val="auto"/>
                <w:sz w:val="21"/>
                <w:szCs w:val="21"/>
                <w:highlight w:val="none"/>
                <w:lang w:val="en-US" w:eastAsia="zh-CN" w:bidi="ar"/>
              </w:rPr>
              <w:t>资质</w:t>
            </w:r>
            <w:r>
              <w:rPr>
                <w:rStyle w:val="11"/>
                <w:rFonts w:ascii="宋体" w:hAnsi="宋体" w:eastAsia="宋体" w:cs="宋体"/>
                <w:color w:val="auto"/>
                <w:sz w:val="21"/>
                <w:szCs w:val="21"/>
                <w:highlight w:val="none"/>
                <w:lang w:bidi="ar"/>
              </w:rPr>
              <w:t>材料</w:t>
            </w: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运输容器满足国家标准</w:t>
            </w:r>
            <w:r>
              <w:rPr>
                <w:rStyle w:val="11"/>
                <w:rFonts w:hint="eastAsia" w:ascii="宋体" w:hAnsi="宋体" w:cs="宋体"/>
                <w:color w:val="auto"/>
                <w:sz w:val="21"/>
                <w:szCs w:val="21"/>
                <w:highlight w:val="none"/>
                <w:lang w:val="en-US" w:eastAsia="zh-CN" w:bidi="ar"/>
              </w:rPr>
              <w:t>，</w:t>
            </w:r>
            <w:r>
              <w:rPr>
                <w:rStyle w:val="11"/>
                <w:rFonts w:hint="eastAsia" w:ascii="宋体" w:hAnsi="宋体" w:eastAsia="宋体" w:cs="宋体"/>
                <w:color w:val="auto"/>
                <w:sz w:val="21"/>
                <w:szCs w:val="21"/>
                <w:highlight w:val="none"/>
                <w:lang w:val="en-US" w:eastAsia="zh-CN" w:bidi="ar"/>
              </w:rPr>
              <w:t>《放射性物质安全运输规程》（GB 11806）等要求。</w:t>
            </w: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中标供应商</w:t>
            </w:r>
            <w:r>
              <w:rPr>
                <w:rFonts w:hint="eastAsia" w:eastAsia="宋体"/>
                <w:highlight w:val="none"/>
                <w:lang w:val="en-US" w:eastAsia="zh-CN"/>
              </w:rPr>
              <w:t>在签订合同后10个工作日内提供</w:t>
            </w:r>
            <w:r>
              <w:rPr>
                <w:rStyle w:val="11"/>
                <w:rFonts w:ascii="宋体" w:hAnsi="宋体" w:eastAsia="宋体" w:cs="宋体"/>
                <w:color w:val="auto"/>
                <w:sz w:val="21"/>
                <w:szCs w:val="21"/>
                <w:highlight w:val="none"/>
                <w:lang w:bidi="ar"/>
              </w:rPr>
              <w:t>车辆</w:t>
            </w:r>
            <w:r>
              <w:rPr>
                <w:rStyle w:val="11"/>
                <w:rFonts w:hint="eastAsia"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容器有效的检验/合格证明</w:t>
            </w:r>
            <w:r>
              <w:rPr>
                <w:rStyle w:val="11"/>
                <w:rFonts w:ascii="宋体" w:hAnsi="宋体" w:eastAsia="宋体" w:cs="宋体"/>
                <w:color w:val="auto"/>
                <w:sz w:val="21"/>
                <w:szCs w:val="21"/>
                <w:highlight w:val="none"/>
                <w:lang w:eastAsia="zh-CN" w:bidi="ar"/>
              </w:rPr>
              <w:t>）。</w:t>
            </w:r>
          </w:p>
          <w:p>
            <w:pPr>
              <w:widowControl/>
              <w:numPr>
                <w:ilvl w:val="0"/>
                <w:numId w:val="0"/>
              </w:numPr>
              <w:spacing w:beforeLines="0" w:line="400" w:lineRule="exact"/>
              <w:ind w:firstLine="420" w:firstLineChars="200"/>
              <w:jc w:val="left"/>
              <w:rPr>
                <w:rStyle w:val="11"/>
                <w:rFonts w:ascii="宋体" w:hAnsi="宋体" w:eastAsia="宋体" w:cs="宋体"/>
                <w:b w:val="0"/>
                <w:bCs w:val="0"/>
                <w:color w:val="auto"/>
                <w:kern w:val="2"/>
                <w:sz w:val="21"/>
                <w:szCs w:val="21"/>
                <w:highlight w:val="none"/>
                <w:lang w:eastAsia="zh-CN" w:bidi="ar"/>
              </w:rPr>
            </w:pPr>
            <w:r>
              <w:rPr>
                <w:rStyle w:val="11"/>
                <w:rFonts w:hint="eastAsia" w:ascii="宋体" w:hAnsi="宋体" w:eastAsia="宋体" w:cs="宋体"/>
                <w:b w:val="0"/>
                <w:bCs w:val="0"/>
                <w:color w:val="auto"/>
                <w:kern w:val="2"/>
                <w:sz w:val="21"/>
                <w:szCs w:val="21"/>
                <w:highlight w:val="none"/>
                <w:lang w:val="en-US" w:eastAsia="zh-CN" w:bidi="ar"/>
              </w:rPr>
              <w:t>4.</w:t>
            </w:r>
            <w:r>
              <w:rPr>
                <w:rStyle w:val="11"/>
                <w:rFonts w:ascii="宋体" w:hAnsi="宋体" w:eastAsia="宋体" w:cs="宋体"/>
                <w:b w:val="0"/>
                <w:bCs w:val="0"/>
                <w:color w:val="auto"/>
                <w:kern w:val="2"/>
                <w:sz w:val="21"/>
                <w:szCs w:val="21"/>
                <w:highlight w:val="none"/>
                <w:lang w:bidi="ar"/>
              </w:rPr>
              <w:t>放射性药品的运输，按国家运输部门制订的有关规定执行，要求符合GB 11806-2019《放射性物品安全运输规程》</w:t>
            </w:r>
            <w:r>
              <w:rPr>
                <w:rStyle w:val="11"/>
                <w:rFonts w:hint="eastAsia" w:ascii="宋体" w:hAnsi="宋体" w:eastAsia="宋体" w:cs="宋体"/>
                <w:b w:val="0"/>
                <w:bCs w:val="0"/>
                <w:color w:val="auto"/>
                <w:kern w:val="2"/>
                <w:sz w:val="21"/>
                <w:szCs w:val="21"/>
                <w:highlight w:val="none"/>
                <w:lang w:eastAsia="zh-CN" w:bidi="ar"/>
              </w:rPr>
              <w:t>等</w:t>
            </w:r>
            <w:r>
              <w:rPr>
                <w:rStyle w:val="11"/>
                <w:rFonts w:ascii="宋体" w:hAnsi="宋体" w:eastAsia="宋体" w:cs="宋体"/>
                <w:b w:val="0"/>
                <w:bCs w:val="0"/>
                <w:color w:val="auto"/>
                <w:kern w:val="2"/>
                <w:sz w:val="21"/>
                <w:szCs w:val="21"/>
                <w:highlight w:val="none"/>
                <w:lang w:bidi="ar"/>
              </w:rPr>
              <w:t>要求</w:t>
            </w:r>
            <w:r>
              <w:rPr>
                <w:rStyle w:val="11"/>
                <w:rFonts w:ascii="宋体" w:hAnsi="宋体" w:eastAsia="宋体" w:cs="宋体"/>
                <w:b w:val="0"/>
                <w:bCs w:val="0"/>
                <w:color w:val="auto"/>
                <w:kern w:val="2"/>
                <w:sz w:val="21"/>
                <w:szCs w:val="21"/>
                <w:highlight w:val="none"/>
                <w:lang w:eastAsia="zh-CN" w:bidi="ar"/>
              </w:rPr>
              <w:t>。</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5.在配送中标产品验收前，需向采购人提供有效的下列证件或证明文件（均需加盖供货单位公章的复印件）：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（1）放射性药品生产企业的营业执照；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（2）放射性药品生产企业的放射性药品生产许可证；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（3）放射性药品经营许可证；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（4）辐射安全许可证；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（5）</w:t>
            </w:r>
            <w:r>
              <w:rPr>
                <w:rFonts w:hint="eastAsia" w:ascii="宋体" w:hAnsi="宋体" w:cs="宋体"/>
                <w:szCs w:val="21"/>
                <w:highlight w:val="none"/>
                <w:lang w:val="en-US" w:eastAsia="zh-CN"/>
              </w:rPr>
              <w:t>生产企业授权经营函和经营企业的法人授权函</w:t>
            </w:r>
            <w:r>
              <w:rPr>
                <w:rFonts w:hint="eastAsia" w:ascii="宋体" w:hAnsi="宋体" w:eastAsia="宋体" w:cs="宋体"/>
                <w:i w:val="0"/>
                <w:iCs w:val="0"/>
                <w:color w:val="auto"/>
                <w:kern w:val="0"/>
                <w:sz w:val="21"/>
                <w:szCs w:val="21"/>
                <w:highlight w:val="none"/>
                <w:u w:val="none"/>
                <w:lang w:val="en-US" w:eastAsia="zh-CN" w:bidi="ar"/>
              </w:rPr>
              <w:t>。</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hint="eastAsia" w:ascii="宋体" w:hAnsi="宋体" w:eastAsia="宋体" w:cs="宋体"/>
                <w:color w:val="auto"/>
                <w:sz w:val="21"/>
                <w:szCs w:val="21"/>
                <w:highlight w:val="none"/>
                <w:lang w:eastAsia="zh-CN" w:bidi="ar"/>
              </w:rPr>
              <w:t>6</w:t>
            </w:r>
            <w:r>
              <w:rPr>
                <w:rStyle w:val="11"/>
                <w:rFonts w:hint="eastAsia" w:ascii="宋体" w:hAnsi="宋体" w:eastAsia="宋体" w:cs="宋体"/>
                <w:color w:val="auto"/>
                <w:sz w:val="21"/>
                <w:szCs w:val="21"/>
                <w:highlight w:val="none"/>
                <w:lang w:val="en-US" w:eastAsia="zh-CN" w:bidi="ar"/>
              </w:rPr>
              <w:t>.</w:t>
            </w:r>
            <w:r>
              <w:rPr>
                <w:rStyle w:val="11"/>
                <w:rFonts w:ascii="宋体" w:hAnsi="宋体" w:eastAsia="宋体" w:cs="宋体"/>
                <w:color w:val="auto"/>
                <w:sz w:val="21"/>
                <w:szCs w:val="21"/>
                <w:highlight w:val="none"/>
                <w:lang w:bidi="ar"/>
              </w:rPr>
              <w:t>购进或销售的产品应严格执行产品出入库质量验收制度，并做好记录。记录内容包括：购进或销售日期、供货单位或使用单位、产品名称、规格型号、购进或销售数量（活度计量）、生产批号、生产日期、有效期，记录日期等内容，验收人员和质量复核人员分别在记录上签字，对产品质量负责。验收记录应保存至产品有效期后3年。</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rPr>
              <w:t>7.</w:t>
            </w:r>
            <w:r>
              <w:rPr>
                <w:rStyle w:val="11"/>
                <w:rFonts w:ascii="宋体" w:hAnsi="宋体" w:eastAsia="宋体" w:cs="宋体"/>
                <w:color w:val="auto"/>
                <w:sz w:val="21"/>
                <w:szCs w:val="21"/>
                <w:highlight w:val="none"/>
                <w:lang w:bidi="ar"/>
              </w:rPr>
              <w:t>产品在储存和运送过程中发生的质量问题，应悬挂质量状态标志，并尽快做出处理，下列情形之一的不得配送：</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1</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防护铅桶损坏、可疑泄漏、检测外桶有放射污染，封口不牢、封条严重损坏的；</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2</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包装标识模糊不清或脱落的；</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3</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超过有效期的；</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4</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外观质量可疑的。</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bidi="ar"/>
              </w:rPr>
              <w:t>如验收中发现有液体遗漏、防护铅桶内瓶包装破损、瓶塞封闭不合要求导致无法开启等问题，供应商要无条件补发产品，1个工作日完成补发工作。若出现3次以上问题，采购人有权停止采购并终止合同。</w:t>
            </w:r>
          </w:p>
          <w:p>
            <w:pPr>
              <w:widowControl/>
              <w:numPr>
                <w:ilvl w:val="0"/>
                <w:numId w:val="0"/>
              </w:numPr>
              <w:spacing w:beforeLines="0" w:line="400" w:lineRule="exact"/>
              <w:ind w:firstLine="422" w:firstLineChars="200"/>
              <w:jc w:val="left"/>
              <w:rPr>
                <w:rStyle w:val="11"/>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三、</w:t>
            </w:r>
            <w:r>
              <w:rPr>
                <w:rStyle w:val="11"/>
                <w:rFonts w:hint="eastAsia" w:ascii="宋体" w:hAnsi="宋体" w:eastAsia="宋体" w:cs="宋体"/>
                <w:b/>
                <w:bCs/>
                <w:color w:val="auto"/>
                <w:sz w:val="21"/>
                <w:szCs w:val="21"/>
                <w:highlight w:val="none"/>
                <w:lang w:val="en-US" w:eastAsia="zh-CN" w:bidi="ar"/>
              </w:rPr>
              <w:t>服务内容及要求</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color w:val="auto"/>
                <w:sz w:val="21"/>
                <w:szCs w:val="21"/>
                <w:highlight w:val="none"/>
                <w:lang w:val="en-US" w:eastAsia="zh-CN" w:bidi="ar"/>
              </w:rPr>
              <w:t>1.自合同签订之日起1年。</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Style w:val="11"/>
                <w:rFonts w:hint="eastAsia" w:ascii="宋体" w:hAnsi="宋体" w:eastAsia="宋体" w:cs="宋体"/>
                <w:color w:val="auto"/>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配送地点：柳州市工人医院指定地点。</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3.服务供货要求：</w:t>
            </w:r>
            <w:r>
              <w:rPr>
                <w:rStyle w:val="11"/>
                <w:rFonts w:hint="eastAsia" w:ascii="宋体" w:hAnsi="宋体" w:eastAsia="宋体" w:cs="宋体"/>
                <w:color w:val="auto"/>
                <w:sz w:val="21"/>
                <w:szCs w:val="21"/>
                <w:highlight w:val="none"/>
                <w:lang w:val="en-US" w:eastAsia="zh-CN" w:bidi="ar"/>
              </w:rPr>
              <w:t>中标供应商按要求进行供货。放射性药品符合质量标准要求，随货应附上产品质量检验报告。投标文件中提供对应的放射性药品生产企业的营业执照、放射性药品生产许可证、放射性药品经营许可证、辐射安全许可证、放射性药品转让审批表等。同时满足采购人所需的配套服务，如铅垃圾桶等存放使用药品后的放射性废物。</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Style w:val="11"/>
                <w:rFonts w:hint="eastAsia" w:ascii="宋体" w:hAnsi="宋体" w:eastAsia="宋体" w:cs="宋体"/>
                <w:color w:val="auto"/>
                <w:sz w:val="21"/>
                <w:szCs w:val="21"/>
                <w:highlight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配送方式要求</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（1）采购人根据实际需求，制定需求计划。中标供应商按采购人需求计划，及时配送至采购人。临时性需求或紧急配送需求，</w:t>
            </w:r>
            <w:r>
              <w:rPr>
                <w:rFonts w:hint="eastAsia" w:ascii="宋体" w:hAnsi="宋体" w:eastAsia="宋体" w:cs="宋体"/>
                <w:sz w:val="21"/>
                <w:szCs w:val="21"/>
                <w:highlight w:val="none"/>
                <w:lang w:val="en-US" w:eastAsia="zh-CN"/>
              </w:rPr>
              <w:t>中标供应商应</w:t>
            </w:r>
            <w:r>
              <w:rPr>
                <w:rFonts w:hint="eastAsia" w:ascii="宋体" w:hAnsi="宋体" w:eastAsia="宋体" w:cs="宋体"/>
                <w:i w:val="0"/>
                <w:iCs w:val="0"/>
                <w:color w:val="auto"/>
                <w:kern w:val="0"/>
                <w:sz w:val="21"/>
                <w:szCs w:val="21"/>
                <w:highlight w:val="none"/>
                <w:u w:val="none"/>
                <w:lang w:val="en-US" w:eastAsia="zh-CN" w:bidi="ar"/>
              </w:rPr>
              <w:t>按需配送。</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（2）严格根据采购人需求计划（包括通用名、剂量、规格、包装、生产厂家、用量等）进行配送，未经允许不得随意变更。</w:t>
            </w:r>
          </w:p>
          <w:p>
            <w:pPr>
              <w:widowControl/>
              <w:numPr>
                <w:ilvl w:val="0"/>
                <w:numId w:val="0"/>
              </w:numPr>
              <w:spacing w:beforeLines="0" w:line="400" w:lineRule="exact"/>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lang w:bidi="ar"/>
              </w:rPr>
              <w:t>验收</w:t>
            </w:r>
            <w:r>
              <w:rPr>
                <w:rFonts w:hint="eastAsia" w:ascii="宋体" w:hAnsi="宋体" w:eastAsia="宋体" w:cs="宋体"/>
                <w:color w:val="auto"/>
                <w:kern w:val="0"/>
                <w:sz w:val="21"/>
                <w:szCs w:val="21"/>
                <w:highlight w:val="none"/>
                <w:lang w:val="en-US" w:eastAsia="zh-CN" w:bidi="ar"/>
              </w:rPr>
              <w:t>药品应</w:t>
            </w:r>
            <w:r>
              <w:rPr>
                <w:rFonts w:hint="eastAsia" w:ascii="宋体" w:hAnsi="宋体" w:eastAsia="宋体" w:cs="宋体"/>
                <w:color w:val="auto"/>
                <w:kern w:val="0"/>
                <w:sz w:val="21"/>
                <w:szCs w:val="21"/>
                <w:highlight w:val="none"/>
                <w:lang w:bidi="ar"/>
              </w:rPr>
              <w:t>附上的随行文件，包括但不限于：</w:t>
            </w:r>
            <w:r>
              <w:rPr>
                <w:rFonts w:hint="eastAsia" w:ascii="宋体" w:hAnsi="宋体" w:eastAsia="宋体" w:cs="宋体"/>
                <w:color w:val="auto"/>
                <w:kern w:val="0"/>
                <w:sz w:val="21"/>
                <w:szCs w:val="21"/>
                <w:highlight w:val="none"/>
                <w:lang w:val="en-US" w:eastAsia="zh-CN" w:bidi="ar"/>
              </w:rPr>
              <w:t>销售单</w:t>
            </w:r>
            <w:r>
              <w:rPr>
                <w:rFonts w:hint="eastAsia" w:ascii="宋体" w:hAnsi="宋体" w:eastAsia="宋体" w:cs="宋体"/>
                <w:color w:val="auto"/>
                <w:kern w:val="0"/>
                <w:sz w:val="21"/>
                <w:szCs w:val="21"/>
                <w:highlight w:val="none"/>
                <w:lang w:bidi="ar"/>
              </w:rPr>
              <w:t>/配送单、放射性药品质量检验报告、辐射水平检测报告（容器表面及1米处）、放射性物质运输文件等</w:t>
            </w:r>
            <w:r>
              <w:rPr>
                <w:rFonts w:hint="eastAsia" w:ascii="宋体" w:hAnsi="宋体" w:eastAsia="宋体" w:cs="宋体"/>
                <w:color w:val="auto"/>
                <w:kern w:val="0"/>
                <w:sz w:val="21"/>
                <w:szCs w:val="21"/>
                <w:highlight w:val="none"/>
                <w:lang w:eastAsia="zh-CN" w:bidi="ar"/>
              </w:rPr>
              <w:t>。</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（4）在合同期内，由中标供应商按医院要求分批次配送到指定地点，采购人根据医院验收制度进行验收。</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5.配送企业的基本要求</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（1）具备配送放射性药品、物品资质。</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（2）内部组织机构和质量管理体系健全，对所配送产品质量全面负责。</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（3）应具备信息化经营管理系统和统一配送能力，诚信守法，无严重不良记录，能够承担中标产品的配送任务。</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（4）具有与配送产品相应的质量管理机构和专职质量管理人员。</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（5）具有与配送产品相适应的技术培训和售后服务能力，或者约定由第三方提供技术支持。</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（6）内部组织机构职责明确，各项管理制度、档案、记录健全。</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（7）定时回收，或按照采购人需求及时回收放射性药品使用后的</w:t>
            </w:r>
            <w:r>
              <w:rPr>
                <w:rFonts w:hint="eastAsia" w:ascii="宋体" w:hAnsi="宋体" w:eastAsia="宋体" w:cs="宋体"/>
                <w:color w:val="auto"/>
                <w:kern w:val="0"/>
                <w:sz w:val="21"/>
                <w:szCs w:val="21"/>
                <w:highlight w:val="none"/>
                <w:u w:val="none"/>
                <w:lang w:bidi="ar"/>
              </w:rPr>
              <w:t>放射性核素</w:t>
            </w:r>
            <w:r>
              <w:rPr>
                <w:rFonts w:hint="eastAsia" w:ascii="宋体" w:hAnsi="宋体" w:eastAsia="宋体" w:cs="宋体"/>
                <w:i w:val="0"/>
                <w:iCs w:val="0"/>
                <w:color w:val="auto"/>
                <w:kern w:val="0"/>
                <w:sz w:val="21"/>
                <w:szCs w:val="21"/>
                <w:highlight w:val="none"/>
                <w:u w:val="none"/>
                <w:lang w:val="en-US" w:eastAsia="zh-CN" w:bidi="ar"/>
              </w:rPr>
              <w:t>空容器。</w:t>
            </w:r>
          </w:p>
          <w:p>
            <w:pPr>
              <w:widowControl/>
              <w:numPr>
                <w:ilvl w:val="0"/>
                <w:numId w:val="0"/>
              </w:numPr>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1）回收频率</w:t>
            </w:r>
          </w:p>
          <w:p>
            <w:pPr>
              <w:widowControl/>
              <w:numPr>
                <w:ilvl w:val="0"/>
                <w:numId w:val="0"/>
              </w:numPr>
              <w:spacing w:beforeLines="0" w:line="400" w:lineRule="exact"/>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bidi="ar"/>
              </w:rPr>
              <w:t>常规回收：应至少每</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个工作日对采购人处的空容器进行一次集中回收；若采购人使用量较大（单月累计空桶≥20个），回收频率应提高至每3个工作日一次。</w:t>
            </w:r>
          </w:p>
          <w:p>
            <w:pPr>
              <w:widowControl/>
              <w:numPr>
                <w:ilvl w:val="0"/>
                <w:numId w:val="0"/>
              </w:numPr>
              <w:spacing w:beforeLines="0" w:line="400" w:lineRule="exact"/>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bidi="ar"/>
              </w:rPr>
              <w:t>紧急回收：若空容器存放数量达到采购人场地安全容量上限，或存在破损、污染风险时，采购人可要求</w:t>
            </w:r>
            <w:r>
              <w:rPr>
                <w:rFonts w:hint="eastAsia" w:ascii="宋体" w:hAnsi="宋体" w:eastAsia="宋体" w:cs="宋体"/>
                <w:color w:val="auto"/>
                <w:kern w:val="0"/>
                <w:sz w:val="21"/>
                <w:szCs w:val="21"/>
                <w:highlight w:val="none"/>
                <w:lang w:val="en-US" w:eastAsia="zh-CN" w:bidi="ar"/>
              </w:rPr>
              <w:t>配送</w:t>
            </w:r>
            <w:r>
              <w:rPr>
                <w:rFonts w:hint="eastAsia" w:ascii="宋体" w:hAnsi="宋体" w:eastAsia="宋体" w:cs="宋体"/>
                <w:color w:val="auto"/>
                <w:kern w:val="0"/>
                <w:sz w:val="21"/>
                <w:szCs w:val="21"/>
                <w:highlight w:val="none"/>
                <w:lang w:bidi="ar"/>
              </w:rPr>
              <w:t>企业在24小时内完成紧急回收。</w:t>
            </w:r>
          </w:p>
          <w:p>
            <w:pPr>
              <w:widowControl/>
              <w:numPr>
                <w:ilvl w:val="0"/>
                <w:numId w:val="0"/>
              </w:numPr>
              <w:jc w:val="left"/>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sz w:val="21"/>
                <w:szCs w:val="21"/>
                <w:highlight w:val="none"/>
                <w:lang w:bidi="ar"/>
              </w:rPr>
              <w:t>回收流程</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sz w:val="21"/>
                <w:szCs w:val="21"/>
                <w:highlight w:val="none"/>
                <w:lang w:bidi="ar"/>
              </w:rPr>
              <w:t>配送企业应制定书面回收计划，明确回收时间、车辆及人员安排，并提前24小时通知采购人；</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bidi="ar"/>
              </w:rPr>
              <w:t>回收时需双方共同核对</w:t>
            </w:r>
            <w:r>
              <w:rPr>
                <w:rFonts w:hint="eastAsia" w:ascii="宋体" w:hAnsi="宋体" w:eastAsia="宋体" w:cs="宋体"/>
                <w:color w:val="auto"/>
                <w:kern w:val="0"/>
                <w:sz w:val="21"/>
                <w:szCs w:val="21"/>
                <w:highlight w:val="none"/>
                <w:lang w:bidi="ar"/>
              </w:rPr>
              <w:t>空容器</w:t>
            </w:r>
            <w:r>
              <w:rPr>
                <w:rFonts w:hint="eastAsia" w:ascii="宋体" w:hAnsi="宋体" w:eastAsia="宋体" w:cs="宋体"/>
                <w:color w:val="auto"/>
                <w:sz w:val="21"/>
                <w:szCs w:val="21"/>
                <w:highlight w:val="none"/>
                <w:lang w:bidi="ar"/>
              </w:rPr>
              <w:t>数量、标识完整性及污染检测结果，填写《放射性</w:t>
            </w:r>
            <w:r>
              <w:rPr>
                <w:rFonts w:hint="eastAsia" w:ascii="宋体" w:hAnsi="宋体" w:eastAsia="宋体" w:cs="宋体"/>
                <w:color w:val="auto"/>
                <w:kern w:val="0"/>
                <w:sz w:val="21"/>
                <w:szCs w:val="21"/>
                <w:highlight w:val="none"/>
                <w:lang w:bidi="ar"/>
              </w:rPr>
              <w:t>空容器</w:t>
            </w:r>
            <w:r>
              <w:rPr>
                <w:rFonts w:hint="eastAsia" w:ascii="宋体" w:hAnsi="宋体" w:eastAsia="宋体" w:cs="宋体"/>
                <w:color w:val="auto"/>
                <w:sz w:val="21"/>
                <w:szCs w:val="21"/>
                <w:highlight w:val="none"/>
                <w:lang w:bidi="ar"/>
              </w:rPr>
              <w:t>交接单》（含批次号、回收日期、检测数据等），由采购人与</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签字确认；运退</w:t>
            </w:r>
            <w:r>
              <w:rPr>
                <w:rFonts w:hint="eastAsia" w:ascii="宋体" w:hAnsi="宋体" w:eastAsia="宋体" w:cs="宋体"/>
                <w:color w:val="auto"/>
                <w:sz w:val="21"/>
                <w:szCs w:val="21"/>
                <w:highlight w:val="none"/>
                <w:lang w:eastAsia="zh-CN" w:bidi="ar"/>
              </w:rPr>
              <w:t>的</w:t>
            </w:r>
            <w:r>
              <w:rPr>
                <w:rFonts w:hint="eastAsia" w:ascii="宋体" w:hAnsi="宋体" w:eastAsia="宋体" w:cs="宋体"/>
                <w:color w:val="auto"/>
                <w:sz w:val="21"/>
                <w:szCs w:val="21"/>
                <w:highlight w:val="none"/>
                <w:lang w:bidi="ar"/>
              </w:rPr>
              <w:t>放射性药物包装材料，</w:t>
            </w:r>
            <w:r>
              <w:rPr>
                <w:rFonts w:hint="eastAsia" w:ascii="宋体" w:hAnsi="宋体" w:eastAsia="宋体" w:cs="宋体"/>
                <w:color w:val="auto"/>
                <w:sz w:val="21"/>
                <w:szCs w:val="21"/>
                <w:highlight w:val="none"/>
                <w:lang w:val="en-US" w:eastAsia="zh-CN" w:bidi="ar"/>
              </w:rPr>
              <w:t>双方共同确定</w:t>
            </w:r>
            <w:r>
              <w:rPr>
                <w:rFonts w:hint="eastAsia" w:ascii="宋体" w:hAnsi="宋体" w:eastAsia="宋体" w:cs="宋体"/>
                <w:color w:val="auto"/>
                <w:sz w:val="21"/>
                <w:szCs w:val="21"/>
                <w:highlight w:val="none"/>
                <w:lang w:bidi="ar"/>
              </w:rPr>
              <w:t>是否有未用放射性药物存留</w:t>
            </w:r>
            <w:r>
              <w:rPr>
                <w:rFonts w:hint="eastAsia" w:ascii="宋体" w:hAnsi="宋体" w:eastAsia="宋体" w:cs="宋体"/>
                <w:color w:val="auto"/>
                <w:sz w:val="21"/>
                <w:szCs w:val="21"/>
                <w:highlight w:val="none"/>
                <w:lang w:eastAsia="zh-CN" w:bidi="ar"/>
              </w:rPr>
              <w:t>；</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③</w:t>
            </w:r>
            <w:r>
              <w:rPr>
                <w:rFonts w:hint="eastAsia" w:ascii="宋体" w:hAnsi="宋体" w:eastAsia="宋体" w:cs="宋体"/>
                <w:color w:val="auto"/>
                <w:kern w:val="0"/>
                <w:sz w:val="21"/>
                <w:szCs w:val="21"/>
                <w:highlight w:val="none"/>
                <w:lang w:bidi="ar"/>
              </w:rPr>
              <w:t>空容器</w:t>
            </w:r>
            <w:r>
              <w:rPr>
                <w:rFonts w:hint="eastAsia" w:ascii="宋体" w:hAnsi="宋体" w:eastAsia="宋体" w:cs="宋体"/>
                <w:color w:val="auto"/>
                <w:sz w:val="21"/>
                <w:szCs w:val="21"/>
                <w:highlight w:val="none"/>
                <w:lang w:bidi="ar"/>
              </w:rPr>
              <w:t xml:space="preserve">运输需使用专用防辐射密闭容器，车辆应符合GB11806-2019《放射性物品安全运输规程》的运输要求。 </w:t>
            </w:r>
          </w:p>
          <w:p>
            <w:pPr>
              <w:widowControl/>
              <w:numPr>
                <w:ilvl w:val="0"/>
                <w:numId w:val="0"/>
              </w:numPr>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责任划分</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责任</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未按约定频率回收或未履行检测义务导致采购人场地辐射超标的，应承担因此产生的所有损失；因运输不当造成污染扩散的，需承担全部应急处置费用。</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bidi="ar"/>
              </w:rPr>
              <w:t>采购人责任</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未提前通报紧急回收需求的，</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可顺延回收时限。</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sz w:val="21"/>
                <w:szCs w:val="21"/>
                <w:highlight w:val="none"/>
                <w:lang w:val="en-US" w:eastAsia="zh-CN" w:bidi="ar"/>
              </w:rPr>
              <w:t>记录与追溯：</w:t>
            </w:r>
            <w:r>
              <w:rPr>
                <w:rFonts w:hint="eastAsia" w:ascii="宋体" w:hAnsi="宋体" w:eastAsia="宋体" w:cs="宋体"/>
                <w:color w:val="auto"/>
                <w:sz w:val="21"/>
                <w:szCs w:val="21"/>
                <w:highlight w:val="none"/>
                <w:lang w:bidi="ar"/>
              </w:rPr>
              <w:t>回收记录（含交接单、检测报告、运输日志）应保存至</w:t>
            </w:r>
            <w:r>
              <w:rPr>
                <w:rFonts w:hint="eastAsia" w:ascii="宋体" w:hAnsi="宋体" w:eastAsia="宋体" w:cs="宋体"/>
                <w:color w:val="auto"/>
                <w:kern w:val="0"/>
                <w:sz w:val="21"/>
                <w:szCs w:val="21"/>
                <w:highlight w:val="none"/>
                <w:lang w:bidi="ar"/>
              </w:rPr>
              <w:t>空容器</w:t>
            </w:r>
            <w:r>
              <w:rPr>
                <w:rFonts w:hint="eastAsia" w:ascii="宋体" w:hAnsi="宋体" w:eastAsia="宋体" w:cs="宋体"/>
                <w:color w:val="auto"/>
                <w:sz w:val="21"/>
                <w:szCs w:val="21"/>
                <w:highlight w:val="none"/>
                <w:lang w:bidi="ar"/>
              </w:rPr>
              <w:t>处置完成后</w:t>
            </w:r>
            <w:r>
              <w:rPr>
                <w:rFonts w:hint="eastAsia" w:ascii="宋体" w:hAnsi="宋体" w:eastAsia="宋体" w:cs="宋体"/>
                <w:color w:val="auto"/>
                <w:sz w:val="21"/>
                <w:szCs w:val="21"/>
                <w:highlight w:val="none"/>
                <w:lang w:eastAsia="zh-CN" w:bidi="ar"/>
              </w:rPr>
              <w:t>3</w:t>
            </w:r>
            <w:r>
              <w:rPr>
                <w:rFonts w:hint="eastAsia" w:ascii="宋体" w:hAnsi="宋体" w:eastAsia="宋体" w:cs="宋体"/>
                <w:color w:val="auto"/>
                <w:sz w:val="21"/>
                <w:szCs w:val="21"/>
                <w:highlight w:val="none"/>
                <w:lang w:bidi="ar"/>
              </w:rPr>
              <w:t>年。</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（8）可提供配送产品购销电子定单、配送信息等服务。</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（9）销售人员应熟悉所售产品的性能、规格及有关专业知识，正确介绍产品的性能、用途、用法、禁忌及注意事项。</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6.配送企业的职责要求：</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（1）负责向采购人提供产品按需配送。</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（2）协助采购人做好产品采购、使用中的监管工作。</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（3）制定保障产品质量安全的相关工作制度和编制产品目录。</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（4）做好供应及售后服务。</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（5）负责与产品供应商的费用结算工作及结算周期内的必要垫资。</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（6）协助采购人完成原有配送商的清退工作。</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（7）生产预留一定量的产品，确保应急供应。</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Style w:val="12"/>
                <w:rFonts w:hint="eastAsia" w:ascii="宋体" w:hAnsi="宋体" w:eastAsia="宋体" w:cs="宋体"/>
                <w:color w:val="auto"/>
                <w:sz w:val="21"/>
                <w:szCs w:val="21"/>
                <w:highlight w:val="none"/>
                <w:lang w:val="en-US" w:eastAsia="zh-CN" w:bidi="ar"/>
              </w:rPr>
              <w:t>（8）</w:t>
            </w:r>
            <w:r>
              <w:rPr>
                <w:rStyle w:val="11"/>
                <w:rFonts w:hint="eastAsia" w:ascii="宋体" w:hAnsi="宋体" w:eastAsia="宋体" w:cs="宋体"/>
                <w:color w:val="auto"/>
                <w:sz w:val="21"/>
                <w:szCs w:val="21"/>
                <w:highlight w:val="none"/>
                <w:lang w:val="en-US" w:eastAsia="zh-CN" w:bidi="ar"/>
              </w:rPr>
              <w:t>每次配送产品达到订购的足量有效活度，保证到达预期使用期限的剂量、如此次配送不能达到此要求，配送方必须按照采购人提出的要求及时补足不足的剂量。</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（9）负责采购人、自身相关人员的培训。</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（10）建立与采购人双方的联络负责人员机制。</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（11）积极承担采购人交办的其他相关事项。</w:t>
            </w:r>
          </w:p>
          <w:p>
            <w:pPr>
              <w:keepNext w:val="0"/>
              <w:keepLines w:val="0"/>
              <w:widowControl/>
              <w:numPr>
                <w:ilvl w:val="0"/>
                <w:numId w:val="0"/>
              </w:numPr>
              <w:suppressLineNumbers w:val="0"/>
              <w:spacing w:beforeLines="0" w:line="400" w:lineRule="exact"/>
              <w:ind w:firstLine="420" w:firstLineChars="200"/>
              <w:jc w:val="left"/>
              <w:textAlignment w:val="auto"/>
              <w:rPr>
                <w:rStyle w:val="11"/>
                <w:rFonts w:hint="eastAsia" w:ascii="宋体" w:hAnsi="宋体" w:eastAsia="宋体" w:cs="宋体"/>
                <w:color w:val="auto"/>
                <w:sz w:val="21"/>
                <w:szCs w:val="21"/>
                <w:highlight w:val="none"/>
                <w:lang w:val="en-US" w:eastAsia="zh-CN" w:bidi="ar"/>
              </w:rPr>
            </w:pPr>
            <w:r>
              <w:rPr>
                <w:rStyle w:val="12"/>
                <w:rFonts w:hint="eastAsia" w:ascii="宋体" w:hAnsi="宋体" w:eastAsia="宋体" w:cs="宋体"/>
                <w:color w:val="auto"/>
                <w:sz w:val="21"/>
                <w:szCs w:val="21"/>
                <w:highlight w:val="none"/>
                <w:lang w:val="en-US" w:eastAsia="zh-CN" w:bidi="ar"/>
              </w:rPr>
              <w:t>（12）</w:t>
            </w:r>
            <w:r>
              <w:rPr>
                <w:rStyle w:val="11"/>
                <w:rFonts w:hint="eastAsia" w:ascii="宋体" w:hAnsi="宋体" w:eastAsia="宋体" w:cs="宋体"/>
                <w:color w:val="auto"/>
                <w:sz w:val="21"/>
                <w:szCs w:val="21"/>
                <w:highlight w:val="none"/>
                <w:lang w:val="en-US" w:eastAsia="zh-CN" w:bidi="ar"/>
              </w:rPr>
              <w:t>向采购人配送产品时，除不可抗力因素外，应确保及时快捷配送，不得以任何借口拖延或拒绝。一般性采购应在采购人下达的采购计划应48小时内供货到位（中标</w:t>
            </w:r>
            <w:r>
              <w:rPr>
                <w:rFonts w:hint="eastAsia" w:ascii="宋体" w:hAnsi="宋体"/>
                <w:bCs/>
                <w:color w:val="auto"/>
                <w:szCs w:val="21"/>
                <w:highlight w:val="none"/>
              </w:rPr>
              <w:t>供应商必须确保药品送达时药品活度满足采购人所报采购计划的活度要求</w:t>
            </w:r>
            <w:r>
              <w:rPr>
                <w:rStyle w:val="11"/>
                <w:rFonts w:hint="eastAsia" w:ascii="宋体" w:hAnsi="宋体" w:eastAsia="宋体" w:cs="宋体"/>
                <w:color w:val="auto"/>
                <w:sz w:val="21"/>
                <w:szCs w:val="21"/>
                <w:highlight w:val="none"/>
                <w:lang w:val="en-US" w:eastAsia="zh-CN" w:bidi="ar"/>
              </w:rPr>
              <w:t>），临时采购计划在规定的时间内供货，除不可控的外在因素影响（原材料、运输限制等），必须保证充足货源，按需配送，不得因供货不及时影响采购人正常医疗工作。</w:t>
            </w:r>
            <w:r>
              <w:rPr>
                <w:rFonts w:hint="eastAsia" w:ascii="宋体" w:hAnsi="宋体" w:eastAsia="宋体" w:cs="宋体"/>
                <w:color w:val="auto"/>
                <w:kern w:val="0"/>
                <w:sz w:val="21"/>
                <w:szCs w:val="21"/>
                <w:highlight w:val="none"/>
                <w:lang w:bidi="ar"/>
              </w:rPr>
              <w:t>紧急加配需求</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响应时间≤2小时</w:t>
            </w:r>
            <w:r>
              <w:rPr>
                <w:rFonts w:hint="eastAsia" w:ascii="宋体" w:hAnsi="宋体" w:eastAsia="宋体" w:cs="宋体"/>
                <w:color w:val="auto"/>
                <w:kern w:val="0"/>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无论何种原因造成缺货时，采购人根据实际情况，有权向其他供应商进行紧急调货，中标供应商应主动协助采购人联系货源，保证采购人临床用药需求，如因中标供应商原因导致缺货，由此超出的全部费用均由中标供应商承担且需承担违约责任。如中标供应商对采购包内的某一品种缺货或断货（依据采购人的登记记录为准），累计3次及以上，采购人有权单方面解除合同，由此产生的一切损失由中标供应商承担。</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短半衰期药品</w:t>
            </w:r>
            <w:r>
              <w:rPr>
                <w:rFonts w:hint="eastAsia" w:ascii="宋体" w:hAnsi="宋体" w:eastAsia="宋体" w:cs="宋体"/>
                <w:color w:val="auto"/>
                <w:kern w:val="0"/>
                <w:sz w:val="21"/>
                <w:szCs w:val="21"/>
                <w:highlight w:val="none"/>
                <w:lang w:val="en-US" w:eastAsia="zh-CN" w:bidi="ar"/>
              </w:rPr>
              <w:t>配送：</w:t>
            </w:r>
            <w:r>
              <w:rPr>
                <w:rFonts w:hint="eastAsia" w:ascii="宋体" w:hAnsi="宋体" w:eastAsia="宋体" w:cs="宋体"/>
                <w:color w:val="auto"/>
                <w:kern w:val="0"/>
                <w:sz w:val="21"/>
                <w:szCs w:val="21"/>
                <w:highlight w:val="none"/>
                <w:lang w:bidi="ar"/>
              </w:rPr>
              <w:t>具体时间根据医院首例检查时间协商确定）</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准时送达率≥9</w:t>
            </w:r>
            <w:r>
              <w:rPr>
                <w:rFonts w:hint="eastAsia" w:ascii="宋体" w:hAnsi="宋体" w:eastAsia="宋体" w:cs="宋体"/>
                <w:color w:val="auto"/>
                <w:kern w:val="0"/>
                <w:sz w:val="21"/>
                <w:szCs w:val="21"/>
                <w:highlight w:val="none"/>
                <w:lang w:eastAsia="zh-CN" w:bidi="ar"/>
              </w:rPr>
              <w:t>5</w:t>
            </w:r>
            <w:r>
              <w:rPr>
                <w:rFonts w:hint="eastAsia" w:ascii="宋体" w:hAnsi="宋体" w:eastAsia="宋体" w:cs="宋体"/>
                <w:color w:val="auto"/>
                <w:kern w:val="0"/>
                <w:sz w:val="21"/>
                <w:szCs w:val="21"/>
                <w:highlight w:val="none"/>
                <w:lang w:bidi="ar"/>
              </w:rPr>
              <w:t>%（以活度达标且未超时为准）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因延误导致活度不足时，供应商需</w:t>
            </w:r>
            <w:r>
              <w:rPr>
                <w:rFonts w:hint="eastAsia" w:ascii="宋体" w:hAnsi="宋体" w:eastAsia="宋体" w:cs="宋体"/>
                <w:color w:val="auto"/>
                <w:kern w:val="0"/>
                <w:sz w:val="21"/>
                <w:szCs w:val="21"/>
                <w:highlight w:val="none"/>
                <w:lang w:eastAsia="zh-CN" w:bidi="ar"/>
              </w:rPr>
              <w:t>2</w:t>
            </w:r>
            <w:r>
              <w:rPr>
                <w:rFonts w:hint="eastAsia" w:ascii="宋体" w:hAnsi="宋体" w:eastAsia="宋体" w:cs="宋体"/>
                <w:color w:val="auto"/>
                <w:kern w:val="0"/>
                <w:sz w:val="21"/>
                <w:szCs w:val="21"/>
                <w:highlight w:val="none"/>
                <w:lang w:bidi="ar"/>
              </w:rPr>
              <w:t>小时内补送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因此产生的所有损失由供应商承担</w:t>
            </w:r>
            <w:r>
              <w:rPr>
                <w:rFonts w:hint="eastAsia" w:ascii="宋体" w:hAnsi="宋体" w:eastAsia="宋体" w:cs="宋体"/>
                <w:color w:val="auto"/>
                <w:kern w:val="0"/>
                <w:sz w:val="21"/>
                <w:szCs w:val="21"/>
                <w:highlight w:val="none"/>
                <w:lang w:eastAsia="zh-CN" w:bidi="ar"/>
              </w:rPr>
              <w:t>。</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7.其他服务要求：</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Style w:val="13"/>
                <w:rFonts w:hint="eastAsia" w:ascii="宋体" w:hAnsi="宋体" w:eastAsia="宋体" w:cs="宋体"/>
                <w:color w:val="auto"/>
                <w:sz w:val="21"/>
                <w:szCs w:val="21"/>
                <w:highlight w:val="none"/>
                <w:lang w:val="en-US" w:eastAsia="zh-CN" w:bidi="ar"/>
              </w:rPr>
              <w:t>（1）放射性药品的包装必须安全实用，符合放射性药品质量要求，具有与放射性剂量相适应的防护装置。包装必须分内包装和外包装两部分，外包装必须贴有标签和放射性药品标志，内包装必须贴有标签；</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Style w:val="13"/>
                <w:rFonts w:hint="eastAsia" w:ascii="宋体" w:hAnsi="宋体" w:eastAsia="宋体" w:cs="宋体"/>
                <w:color w:val="auto"/>
                <w:sz w:val="21"/>
                <w:szCs w:val="21"/>
                <w:highlight w:val="none"/>
                <w:lang w:val="en-US" w:eastAsia="zh-CN" w:bidi="ar"/>
              </w:rPr>
              <w:t>（2）药品有异常的情况，必须要完全回收，且必须要在半小时内再次送到(异常情况，例如：剂量不符、目测药品异常、溢岀/外漏、辐射感染、包装破损、过期等)，损耗费用包含在投标总价中；</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（3）每种放射性药品含内外标签，并清楚标明：内外标签一致的编号、药品名称、剂量、校准的时间、有效期限、批号、生产单位；</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（4）放射性药品进入院区运输过程中，中标供应商提供铅防护；</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（5）中标供应商有义务在采购人指定地点为所供放射性药品的临床应用进行现场讲解或培训，费用包含在投标报价中；</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Style w:val="12"/>
                <w:rFonts w:hint="eastAsia" w:ascii="宋体" w:hAnsi="宋体" w:eastAsia="宋体" w:cs="宋体"/>
                <w:color w:val="auto"/>
                <w:sz w:val="21"/>
                <w:szCs w:val="21"/>
                <w:highlight w:val="none"/>
                <w:lang w:val="en-US" w:eastAsia="zh-CN" w:bidi="ar"/>
              </w:rPr>
              <w:t>（6）</w:t>
            </w:r>
            <w:r>
              <w:rPr>
                <w:rStyle w:val="11"/>
                <w:rFonts w:hint="eastAsia" w:ascii="宋体" w:hAnsi="宋体" w:eastAsia="宋体" w:cs="宋体"/>
                <w:color w:val="auto"/>
                <w:sz w:val="21"/>
                <w:szCs w:val="21"/>
                <w:highlight w:val="none"/>
                <w:lang w:val="en-US" w:eastAsia="zh-CN" w:bidi="ar"/>
              </w:rPr>
              <w:t>必须严格履行合同，不得从中标产品企业以外的供货渠道采购产品，未经采购人许可不得将中标产品再次委托其他企业配送；</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应建立服务质量信息反馈制度，定期听取采购人的意见或建议，及时纠正配送过程中存在的问题，不断提高服务质量；</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（8）有特殊运送要求的，配备专用运输工具，针对产品的包装及道路状况，采取相应的措施，避免混装倒置，防止包装破损、产品裸露或混淆；</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（9）对采购人质量查询、投诉和使用过程中发现的疑似质量问题，要查明原因，分清责任，及时处理，做好记录；</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（10）对已经发生质量事故或者存在安全隐患的放射性药品，配送企业应立即停止销售，主动召回，并向采购人和卫生监督管理部门报告；</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（11）认真执行国家有关不良事件监测和再评价制度，注意收集不良事件信息，发现不良事件应及时向有关部门报告；</w:t>
            </w:r>
          </w:p>
          <w:p>
            <w:pPr>
              <w:widowControl/>
              <w:numPr>
                <w:ilvl w:val="0"/>
                <w:numId w:val="0"/>
              </w:numPr>
              <w:spacing w:beforeLines="0" w:line="400" w:lineRule="exact"/>
              <w:ind w:firstLine="420" w:firstLineChars="200"/>
              <w:jc w:val="left"/>
              <w:rPr>
                <w:rFonts w:hint="eastAsia" w:ascii="宋体" w:hAnsi="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（12）建立配送人员健康档案，对从事产品采购、验收、保管、运送等工作的人员，每年进行一次健康体检，患有精神病、传染病或其他污染性疾病的人员，及时调离配送岗位。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20" w:type="dxa"/>
            <w:gridSpan w:val="5"/>
            <w:noWrap w:val="0"/>
            <w:vAlign w:val="center"/>
          </w:tcPr>
          <w:p>
            <w:pPr>
              <w:keepNext w:val="0"/>
              <w:keepLines w:val="0"/>
              <w:widowControl/>
              <w:suppressLineNumbers w:val="0"/>
              <w:jc w:val="left"/>
              <w:textAlignment w:val="center"/>
              <w:rPr>
                <w:rFonts w:hint="eastAsia" w:ascii="宋体" w:hAnsi="宋体" w:cs="宋体"/>
                <w:color w:val="auto"/>
                <w:highlight w:val="none"/>
                <w:vertAlign w:val="baseline"/>
                <w:lang w:val="en-US" w:eastAsia="zh-CN"/>
              </w:rPr>
            </w:pPr>
            <w:r>
              <w:rPr>
                <w:rStyle w:val="12"/>
                <w:rFonts w:hint="eastAsia" w:ascii="宋体" w:hAnsi="宋体" w:eastAsia="宋体" w:cs="宋体"/>
                <w:color w:val="auto"/>
                <w:highlight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82" w:type="dxa"/>
            <w:gridSpan w:val="2"/>
            <w:noWrap w:val="0"/>
            <w:vAlign w:val="center"/>
          </w:tcPr>
          <w:p>
            <w:pPr>
              <w:keepNext w:val="0"/>
              <w:keepLines w:val="0"/>
              <w:widowControl/>
              <w:suppressLineNumbers w:val="0"/>
              <w:jc w:val="center"/>
              <w:textAlignment w:val="center"/>
              <w:rPr>
                <w:rFonts w:hint="eastAsia" w:ascii="宋体" w:hAnsi="宋体" w:cs="宋体"/>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服务期限</w:t>
            </w:r>
          </w:p>
        </w:tc>
        <w:tc>
          <w:tcPr>
            <w:tcW w:w="6938" w:type="dxa"/>
            <w:gridSpan w:val="3"/>
            <w:noWrap w:val="0"/>
            <w:vAlign w:val="center"/>
          </w:tcPr>
          <w:p>
            <w:pPr>
              <w:keepNext w:val="0"/>
              <w:keepLines w:val="0"/>
              <w:widowControl/>
              <w:suppressLineNumbers w:val="0"/>
              <w:jc w:val="left"/>
              <w:textAlignment w:val="center"/>
              <w:rPr>
                <w:rFonts w:hint="eastAsia" w:ascii="宋体" w:hAnsi="宋体" w:cs="宋体"/>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自合同签订之日起</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782" w:type="dxa"/>
            <w:gridSpan w:val="2"/>
            <w:noWrap w:val="0"/>
            <w:vAlign w:val="center"/>
          </w:tcPr>
          <w:p>
            <w:pPr>
              <w:snapToGrid w:val="0"/>
              <w:spacing w:before="120" w:beforeLines="50" w:line="360" w:lineRule="auto"/>
              <w:ind w:firstLine="6" w:firstLineChars="3"/>
              <w:jc w:val="center"/>
              <w:rPr>
                <w:rFonts w:hint="eastAsia" w:asciiTheme="minorHAnsi" w:hAnsiTheme="minorHAnsi" w:eastAsiaTheme="minorEastAsia" w:cstheme="minorBidi"/>
                <w:b/>
                <w:color w:val="000000" w:themeColor="text1"/>
                <w:kern w:val="2"/>
                <w:sz w:val="21"/>
                <w:szCs w:val="24"/>
                <w:highlight w:val="none"/>
                <w:lang w:val="en-US" w:eastAsia="zh-CN" w:bidi="ar-SA"/>
                <w14:textFill>
                  <w14:solidFill>
                    <w14:schemeClr w14:val="tx1"/>
                  </w14:solidFill>
                </w14:textFill>
              </w:rPr>
            </w:pPr>
            <w:r>
              <w:rPr>
                <w:rFonts w:hint="eastAsia" w:hAnsi="宋体" w:cs="仿宋"/>
                <w:b w:val="0"/>
                <w:bCs/>
                <w:color w:val="000000" w:themeColor="text1"/>
                <w:highlight w:val="none"/>
                <w14:textFill>
                  <w14:solidFill>
                    <w14:schemeClr w14:val="tx1"/>
                  </w14:solidFill>
                </w14:textFill>
              </w:rPr>
              <w:t>报价要求</w:t>
            </w:r>
          </w:p>
        </w:tc>
        <w:tc>
          <w:tcPr>
            <w:tcW w:w="6938" w:type="dxa"/>
            <w:gridSpan w:val="3"/>
            <w:noWrap w:val="0"/>
            <w:vAlign w:val="center"/>
          </w:tcPr>
          <w:p>
            <w:pPr>
              <w:autoSpaceDE w:val="0"/>
              <w:autoSpaceDN w:val="0"/>
              <w:adjustRightInd w:val="0"/>
              <w:spacing w:line="360" w:lineRule="auto"/>
              <w:ind w:right="-23" w:firstLine="420"/>
              <w:rPr>
                <w:rFonts w:ascii="Calibri" w:hAnsi="宋体" w:cs="宋体"/>
                <w:color w:val="000000" w:themeColor="text1"/>
                <w:szCs w:val="21"/>
                <w:highlight w:val="none"/>
                <w14:textFill>
                  <w14:solidFill>
                    <w14:schemeClr w14:val="tx1"/>
                  </w14:solidFill>
                </w14:textFill>
              </w:rPr>
            </w:pPr>
            <w:r>
              <w:rPr>
                <w:rFonts w:hint="eastAsia" w:ascii="Calibri" w:hAnsi="宋体" w:cs="宋体"/>
                <w:color w:val="000000" w:themeColor="text1"/>
                <w:szCs w:val="21"/>
                <w:highlight w:val="none"/>
                <w14:textFill>
                  <w14:solidFill>
                    <w14:schemeClr w14:val="tx1"/>
                  </w14:solidFill>
                </w14:textFill>
              </w:rPr>
              <w:t>1</w:t>
            </w:r>
            <w:r>
              <w:rPr>
                <w:rFonts w:ascii="宋体" w:hAnsi="宋体"/>
                <w:bCs/>
                <w:color w:val="000000" w:themeColor="text1"/>
                <w:szCs w:val="21"/>
                <w:highlight w:val="none"/>
                <w14:textFill>
                  <w14:solidFill>
                    <w14:schemeClr w14:val="tx1"/>
                  </w14:solidFill>
                </w14:textFill>
              </w:rPr>
              <w:t>.</w:t>
            </w:r>
            <w:r>
              <w:rPr>
                <w:rFonts w:hint="eastAsia" w:ascii="Calibri" w:hAnsi="宋体" w:cs="宋体"/>
                <w:color w:val="000000" w:themeColor="text1"/>
                <w:szCs w:val="21"/>
                <w:highlight w:val="none"/>
                <w14:textFill>
                  <w14:solidFill>
                    <w14:schemeClr w14:val="tx1"/>
                  </w14:solidFill>
                </w14:textFill>
              </w:rPr>
              <w:t>供应商应当充分考虑市场价格变动和自身实际情况进行报价，并承诺所报固定单价在合同期内有效。</w:t>
            </w:r>
          </w:p>
          <w:p>
            <w:pPr>
              <w:autoSpaceDE w:val="0"/>
              <w:autoSpaceDN w:val="0"/>
              <w:adjustRightInd w:val="0"/>
              <w:spacing w:line="360" w:lineRule="auto"/>
              <w:ind w:right="-23" w:firstLine="420"/>
              <w:rPr>
                <w:rFonts w:ascii="Calibri" w:hAnsi="宋体" w:cs="宋体"/>
                <w:color w:val="000000" w:themeColor="text1"/>
                <w:szCs w:val="21"/>
                <w:highlight w:val="none"/>
                <w14:textFill>
                  <w14:solidFill>
                    <w14:schemeClr w14:val="tx1"/>
                  </w14:solidFill>
                </w14:textFill>
              </w:rPr>
            </w:pPr>
            <w:r>
              <w:rPr>
                <w:rFonts w:hint="eastAsia" w:ascii="Calibri" w:hAnsi="宋体" w:cs="宋体"/>
                <w:color w:val="000000" w:themeColor="text1"/>
                <w:szCs w:val="21"/>
                <w:highlight w:val="none"/>
                <w14:textFill>
                  <w14:solidFill>
                    <w14:schemeClr w14:val="tx1"/>
                  </w14:solidFill>
                </w14:textFill>
              </w:rPr>
              <w:t>2</w:t>
            </w:r>
            <w:r>
              <w:rPr>
                <w:rFonts w:ascii="宋体" w:hAnsi="宋体"/>
                <w:bCs/>
                <w:color w:val="000000" w:themeColor="text1"/>
                <w:szCs w:val="21"/>
                <w:highlight w:val="none"/>
                <w14:textFill>
                  <w14:solidFill>
                    <w14:schemeClr w14:val="tx1"/>
                  </w14:solidFill>
                </w14:textFill>
              </w:rPr>
              <w:t>.</w:t>
            </w:r>
            <w:r>
              <w:rPr>
                <w:rFonts w:hint="eastAsia" w:ascii="Calibri" w:hAnsi="宋体" w:cs="宋体"/>
                <w:color w:val="000000" w:themeColor="text1"/>
                <w:szCs w:val="21"/>
                <w:highlight w:val="none"/>
                <w14:textFill>
                  <w14:solidFill>
                    <w14:schemeClr w14:val="tx1"/>
                  </w14:solidFill>
                </w14:textFill>
              </w:rPr>
              <w:t>供应商的报价须包括：货物送达指定地点，验收合格至正常使用前所有可能发生的费用。即包含：货物本身费用、运输费、装卸搬运费、人工劳务费、税金等。供应商认为必须的费用也需综合考虑在报价中，在合同期间，采购人不予提高供货单价，如遇国家或自治区等政策性降价，则应按最低价格执行。</w:t>
            </w:r>
          </w:p>
          <w:p>
            <w:pPr>
              <w:autoSpaceDE w:val="0"/>
              <w:autoSpaceDN w:val="0"/>
              <w:adjustRightInd w:val="0"/>
              <w:spacing w:line="360" w:lineRule="auto"/>
              <w:ind w:right="-23" w:rightChars="0" w:firstLine="420" w:firstLineChars="0"/>
              <w:rPr>
                <w:rFonts w:hint="eastAsia" w:ascii="Calibri"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Calibri" w:hAnsi="宋体" w:cs="宋体"/>
                <w:color w:val="000000" w:themeColor="text1"/>
                <w:szCs w:val="21"/>
                <w:highlight w:val="none"/>
                <w:lang w:val="en-US" w:eastAsia="zh-CN"/>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w:t>
            </w:r>
            <w:r>
              <w:rPr>
                <w:rFonts w:hint="eastAsia" w:ascii="Calibri" w:hAnsi="宋体" w:cs="宋体"/>
                <w:color w:val="000000" w:themeColor="text1"/>
                <w:szCs w:val="21"/>
                <w:highlight w:val="none"/>
                <w14:textFill>
                  <w14:solidFill>
                    <w14:schemeClr w14:val="tx1"/>
                  </w14:solidFill>
                </w14:textFill>
              </w:rPr>
              <w:t>本项目的年预估量仅为供应商报价提供参考依据，并非实际采购数量。采购数量由采购人按实际工作需要作出采购计划进行采购，货款按照供应商实际配送并验收合格的数量及本项目所报的固定单价进行定期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82" w:type="dxa"/>
            <w:gridSpan w:val="2"/>
            <w:noWrap w:val="0"/>
            <w:vAlign w:val="center"/>
          </w:tcPr>
          <w:p>
            <w:pPr>
              <w:keepNext w:val="0"/>
              <w:keepLines w:val="0"/>
              <w:widowControl/>
              <w:suppressLineNumbers w:val="0"/>
              <w:jc w:val="center"/>
              <w:textAlignment w:val="center"/>
              <w:rPr>
                <w:rFonts w:hint="eastAsia" w:ascii="宋体" w:hAnsi="宋体" w:cs="宋体"/>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付款方式</w:t>
            </w:r>
          </w:p>
        </w:tc>
        <w:tc>
          <w:tcPr>
            <w:tcW w:w="6938" w:type="dxa"/>
            <w:gridSpan w:val="3"/>
            <w:noWrap w:val="0"/>
            <w:vAlign w:val="center"/>
          </w:tcPr>
          <w:p>
            <w:pPr>
              <w:keepNext w:val="0"/>
              <w:keepLines w:val="0"/>
              <w:widowControl/>
              <w:numPr>
                <w:ilvl w:val="0"/>
                <w:numId w:val="0"/>
              </w:numPr>
              <w:suppressLineNumbers w:val="0"/>
              <w:spacing w:line="400" w:lineRule="exact"/>
              <w:ind w:firstLine="399" w:firstLineChars="19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本项目无预付款；</w:t>
            </w:r>
          </w:p>
          <w:p>
            <w:pPr>
              <w:keepNext w:val="0"/>
              <w:keepLines w:val="0"/>
              <w:widowControl/>
              <w:numPr>
                <w:ilvl w:val="0"/>
                <w:numId w:val="0"/>
              </w:numPr>
              <w:suppressLineNumbers w:val="0"/>
              <w:spacing w:line="400" w:lineRule="exact"/>
              <w:ind w:firstLine="399" w:firstLineChars="19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2.按实际采购量结算，按月开具发票，账期为对账完成之日起12个月内。</w:t>
            </w:r>
          </w:p>
          <w:p>
            <w:pPr>
              <w:keepNext w:val="0"/>
              <w:keepLines w:val="0"/>
              <w:widowControl/>
              <w:numPr>
                <w:ilvl w:val="0"/>
                <w:numId w:val="0"/>
              </w:numPr>
              <w:suppressLineNumbers w:val="0"/>
              <w:spacing w:line="400" w:lineRule="exact"/>
              <w:ind w:firstLine="399" w:firstLineChars="19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3.实际结算金额 = </w:t>
            </w:r>
            <w:r>
              <w:rPr>
                <w:rFonts w:hint="eastAsia" w:ascii="宋体" w:hAnsi="宋体" w:eastAsia="宋体" w:cs="宋体"/>
                <w:i w:val="0"/>
                <w:iCs w:val="0"/>
                <w:color w:val="auto"/>
                <w:kern w:val="0"/>
                <w:sz w:val="21"/>
                <w:szCs w:val="21"/>
                <w:highlight w:val="none"/>
                <w:u w:val="none"/>
                <w:lang w:val="en-US" w:eastAsia="zh-CN" w:bidi="ar"/>
              </w:rPr>
              <w:t>实际</w:t>
            </w:r>
            <w:r>
              <w:rPr>
                <w:rFonts w:hint="eastAsia" w:ascii="宋体" w:hAnsi="宋体" w:cs="宋体"/>
                <w:i w:val="0"/>
                <w:iCs w:val="0"/>
                <w:color w:val="auto"/>
                <w:kern w:val="0"/>
                <w:sz w:val="21"/>
                <w:szCs w:val="21"/>
                <w:highlight w:val="none"/>
                <w:u w:val="none"/>
                <w:lang w:val="en-US" w:eastAsia="zh-CN" w:bidi="ar"/>
              </w:rPr>
              <w:t>供货数量 × 合同单价；</w:t>
            </w:r>
          </w:p>
          <w:p>
            <w:pPr>
              <w:keepNext w:val="0"/>
              <w:keepLines w:val="0"/>
              <w:widowControl/>
              <w:numPr>
                <w:ilvl w:val="0"/>
                <w:numId w:val="0"/>
              </w:numPr>
              <w:suppressLineNumbers w:val="0"/>
              <w:spacing w:line="400" w:lineRule="exact"/>
              <w:ind w:firstLine="399" w:firstLineChars="190"/>
              <w:jc w:val="left"/>
              <w:textAlignment w:val="center"/>
              <w:rPr>
                <w:rFonts w:hint="eastAsia" w:ascii="宋体" w:hAnsi="宋体" w:cs="宋体"/>
                <w:color w:val="auto"/>
                <w:szCs w:val="21"/>
                <w:highlight w:val="none"/>
                <w:vertAlign w:val="baseline"/>
                <w:lang w:val="en-US" w:eastAsia="zh-CN"/>
              </w:rPr>
            </w:pPr>
            <w:r>
              <w:rPr>
                <w:rFonts w:hint="eastAsia" w:ascii="宋体" w:hAnsi="宋体" w:cs="宋体"/>
                <w:i w:val="0"/>
                <w:iCs w:val="0"/>
                <w:color w:val="auto"/>
                <w:kern w:val="0"/>
                <w:sz w:val="21"/>
                <w:szCs w:val="21"/>
                <w:highlight w:val="none"/>
                <w:u w:val="none"/>
                <w:lang w:val="en-US" w:eastAsia="zh-CN" w:bidi="ar"/>
              </w:rPr>
              <w:t>4.付款前中标供应商必须提供真实、有效、合法的正式发票，如中标供应商提供虚假发票，除须向采购人补开合法发票外，须赔偿采购人发票票面金额一倍的违约金，且采购人有权终止合同，中标供应商不得提出异议，因终止合同而产生的一切损失均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gridSpan w:val="2"/>
            <w:noWrap w:val="0"/>
            <w:vAlign w:val="center"/>
          </w:tcPr>
          <w:p>
            <w:pPr>
              <w:keepNext w:val="0"/>
              <w:keepLines w:val="0"/>
              <w:widowControl/>
              <w:suppressLineNumbers w:val="0"/>
              <w:jc w:val="center"/>
              <w:textAlignment w:val="center"/>
              <w:rPr>
                <w:rFonts w:hint="eastAsia" w:ascii="宋体" w:hAnsi="宋体" w:cs="宋体"/>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售后</w:t>
            </w:r>
            <w:r>
              <w:rPr>
                <w:rFonts w:hint="eastAsia" w:ascii="宋体" w:hAnsi="宋体" w:cs="宋体"/>
                <w:i w:val="0"/>
                <w:iCs w:val="0"/>
                <w:color w:val="auto"/>
                <w:kern w:val="0"/>
                <w:sz w:val="22"/>
                <w:szCs w:val="22"/>
                <w:highlight w:val="none"/>
                <w:u w:val="none"/>
                <w:lang w:val="en-US" w:eastAsia="zh-CN" w:bidi="ar"/>
              </w:rPr>
              <w:t>（伴随）</w:t>
            </w:r>
            <w:r>
              <w:rPr>
                <w:rFonts w:hint="eastAsia" w:ascii="宋体" w:hAnsi="宋体" w:eastAsia="宋体" w:cs="宋体"/>
                <w:i w:val="0"/>
                <w:iCs w:val="0"/>
                <w:color w:val="auto"/>
                <w:kern w:val="0"/>
                <w:sz w:val="22"/>
                <w:szCs w:val="22"/>
                <w:highlight w:val="none"/>
                <w:u w:val="none"/>
                <w:lang w:val="en-US" w:eastAsia="zh-CN" w:bidi="ar"/>
              </w:rPr>
              <w:t>服务要求</w:t>
            </w:r>
          </w:p>
        </w:tc>
        <w:tc>
          <w:tcPr>
            <w:tcW w:w="693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b w:val="0"/>
                <w:bCs/>
                <w:szCs w:val="21"/>
                <w:highlight w:val="none"/>
                <w:lang w:val="en-US" w:eastAsia="zh-CN"/>
              </w:rPr>
            </w:pPr>
            <w:r>
              <w:rPr>
                <w:rFonts w:hint="eastAsia" w:ascii="宋体" w:hAnsi="宋体" w:cs="宋体"/>
                <w:b w:val="0"/>
                <w:bCs/>
                <w:szCs w:val="21"/>
                <w:highlight w:val="none"/>
                <w:lang w:val="en-US" w:eastAsia="zh-CN"/>
              </w:rPr>
              <w:t>1、</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有义务在</w:t>
            </w:r>
            <w:r>
              <w:rPr>
                <w:rFonts w:hint="eastAsia" w:ascii="宋体" w:hAnsi="宋体" w:cs="宋体"/>
                <w:szCs w:val="21"/>
                <w:highlight w:val="none"/>
                <w:lang w:eastAsia="zh-CN"/>
              </w:rPr>
              <w:t>采购人</w:t>
            </w:r>
            <w:r>
              <w:rPr>
                <w:rFonts w:hint="eastAsia" w:ascii="宋体" w:hAnsi="宋体" w:cs="宋体"/>
                <w:b w:val="0"/>
                <w:bCs/>
                <w:szCs w:val="21"/>
                <w:highlight w:val="none"/>
                <w:lang w:val="en-US" w:eastAsia="zh-CN"/>
              </w:rPr>
              <w:t xml:space="preserve">指定地点为所供放射性药品的临床应用进行现场讲解或培训，已包含在投标报价中。 </w:t>
            </w:r>
            <w:r>
              <w:rPr>
                <w:rFonts w:hint="eastAsia" w:ascii="宋体" w:hAnsi="宋体" w:cs="宋体"/>
                <w:b w:val="0"/>
                <w:bCs/>
                <w:szCs w:val="21"/>
                <w:highlight w:val="none"/>
                <w:lang w:val="en-US" w:eastAsia="zh-CN"/>
              </w:rPr>
              <w:br w:type="textWrapping"/>
            </w:r>
            <w:r>
              <w:rPr>
                <w:rFonts w:hint="eastAsia" w:ascii="宋体" w:hAnsi="宋体" w:cs="宋体"/>
                <w:b w:val="0"/>
                <w:bCs/>
                <w:szCs w:val="21"/>
                <w:highlight w:val="none"/>
                <w:lang w:val="en-US" w:eastAsia="zh-CN"/>
              </w:rPr>
              <w:t xml:space="preserve">    2、</w:t>
            </w:r>
            <w:r>
              <w:rPr>
                <w:rFonts w:hint="eastAsia" w:ascii="宋体" w:hAnsi="宋体" w:cs="宋体"/>
                <w:szCs w:val="21"/>
                <w:highlight w:val="none"/>
                <w:lang w:eastAsia="zh-CN"/>
              </w:rPr>
              <w:t>采购人</w:t>
            </w:r>
            <w:r>
              <w:rPr>
                <w:rFonts w:hint="eastAsia" w:ascii="宋体" w:hAnsi="宋体" w:cs="宋体"/>
                <w:b w:val="0"/>
                <w:bCs/>
                <w:szCs w:val="21"/>
                <w:highlight w:val="none"/>
                <w:lang w:val="en-US" w:eastAsia="zh-CN"/>
              </w:rPr>
              <w:t>发现非人为因素的产品损坏或缺陷，</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应接受无条件退、换货，由此产生的费用均由</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承担。</w:t>
            </w:r>
            <w:r>
              <w:rPr>
                <w:rFonts w:hint="eastAsia" w:ascii="宋体" w:hAnsi="宋体" w:cs="宋体"/>
                <w:b w:val="0"/>
                <w:bCs/>
                <w:szCs w:val="21"/>
                <w:highlight w:val="none"/>
                <w:lang w:val="en-US" w:eastAsia="zh-CN"/>
              </w:rPr>
              <w:br w:type="textWrapping"/>
            </w:r>
            <w:r>
              <w:rPr>
                <w:rFonts w:hint="eastAsia" w:ascii="宋体" w:hAnsi="宋体" w:cs="宋体"/>
                <w:b w:val="0"/>
                <w:bCs/>
                <w:szCs w:val="21"/>
                <w:highlight w:val="none"/>
                <w:lang w:val="en-US" w:eastAsia="zh-CN"/>
              </w:rPr>
              <w:t xml:space="preserve">    3、</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负责送货上门。</w:t>
            </w:r>
            <w:r>
              <w:rPr>
                <w:rFonts w:hint="eastAsia" w:ascii="宋体" w:hAnsi="宋体" w:cs="宋体"/>
                <w:b w:val="0"/>
                <w:bCs/>
                <w:szCs w:val="21"/>
                <w:highlight w:val="none"/>
                <w:lang w:val="en-US" w:eastAsia="zh-CN"/>
              </w:rPr>
              <w:br w:type="textWrapping"/>
            </w:r>
            <w:r>
              <w:rPr>
                <w:rFonts w:hint="eastAsia" w:ascii="宋体" w:hAnsi="宋体" w:cs="宋体"/>
                <w:b w:val="0"/>
                <w:bCs/>
                <w:szCs w:val="21"/>
                <w:highlight w:val="none"/>
                <w:lang w:val="en-US" w:eastAsia="zh-CN"/>
              </w:rPr>
              <w:t xml:space="preserve">    4、</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所配送药品有质量问题的，应积极配合厂家召回、退换。</w:t>
            </w:r>
            <w:r>
              <w:rPr>
                <w:rFonts w:hint="eastAsia" w:ascii="宋体" w:hAnsi="宋体" w:cs="宋体"/>
                <w:szCs w:val="21"/>
                <w:highlight w:val="none"/>
                <w:lang w:val="en-US" w:eastAsia="zh-CN"/>
              </w:rPr>
              <w:t>涉及</w:t>
            </w:r>
            <w:r>
              <w:rPr>
                <w:rFonts w:hint="eastAsia" w:ascii="宋体" w:hAnsi="宋体" w:cs="宋体"/>
                <w:b w:val="0"/>
                <w:bCs/>
                <w:szCs w:val="21"/>
                <w:highlight w:val="none"/>
                <w:lang w:val="en-US" w:eastAsia="zh-CN"/>
              </w:rPr>
              <w:t>药品质量问题的事件，由</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负责处理并承担全部责任。</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 w:val="0"/>
                <w:bCs/>
                <w:szCs w:val="21"/>
                <w:highlight w:val="none"/>
                <w:lang w:val="en-US" w:eastAsia="zh-CN"/>
              </w:rPr>
            </w:pPr>
            <w:r>
              <w:rPr>
                <w:rFonts w:hint="eastAsia" w:ascii="宋体" w:hAnsi="宋体" w:cs="宋体"/>
                <w:b w:val="0"/>
                <w:bCs/>
                <w:szCs w:val="21"/>
                <w:highlight w:val="none"/>
                <w:lang w:val="en-US" w:eastAsia="zh-CN"/>
              </w:rPr>
              <w:t>5、本项目配送的药品发生质量问题时，</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接到采购人通知后应当在2小时内响应，4小时内到达现场处理。</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应对药品质量问题及时上报并积极处理。</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191919"/>
                <w:sz w:val="21"/>
                <w:szCs w:val="21"/>
                <w:highlight w:val="none"/>
              </w:rPr>
            </w:pPr>
            <w:r>
              <w:rPr>
                <w:rFonts w:hint="eastAsia" w:ascii="宋体" w:hAnsi="宋体" w:cs="宋体"/>
                <w:b w:val="0"/>
                <w:bCs w:val="0"/>
                <w:color w:val="191919"/>
                <w:sz w:val="21"/>
                <w:szCs w:val="21"/>
                <w:highlight w:val="none"/>
                <w:lang w:val="en-US" w:eastAsia="zh-CN"/>
              </w:rPr>
              <w:t>6、采购人有权根据实际需要，要求</w:t>
            </w:r>
            <w:r>
              <w:rPr>
                <w:rFonts w:hint="eastAsia" w:ascii="宋体" w:hAnsi="宋体" w:cs="宋体"/>
                <w:b w:val="0"/>
                <w:bCs w:val="0"/>
                <w:color w:val="191919"/>
                <w:sz w:val="21"/>
                <w:szCs w:val="21"/>
                <w:highlight w:val="none"/>
                <w:lang w:eastAsia="zh-CN"/>
              </w:rPr>
              <w:t>中标供应商</w:t>
            </w:r>
            <w:r>
              <w:rPr>
                <w:rFonts w:hint="eastAsia" w:ascii="宋体" w:hAnsi="宋体" w:eastAsia="宋体" w:cs="宋体"/>
                <w:color w:val="191919"/>
                <w:sz w:val="21"/>
                <w:szCs w:val="21"/>
                <w:highlight w:val="none"/>
              </w:rPr>
              <w:t>提供下列服务中的一项或全部服务</w:t>
            </w:r>
            <w:r>
              <w:rPr>
                <w:rFonts w:hint="eastAsia" w:ascii="宋体" w:hAnsi="宋体" w:cs="宋体"/>
                <w:color w:val="191919"/>
                <w:sz w:val="21"/>
                <w:szCs w:val="21"/>
                <w:highlight w:val="none"/>
                <w:lang w:eastAsia="zh-CN"/>
              </w:rPr>
              <w:t>（</w:t>
            </w:r>
            <w:r>
              <w:rPr>
                <w:rFonts w:hint="eastAsia" w:ascii="宋体" w:hAnsi="宋体" w:cs="宋体"/>
                <w:color w:val="191919"/>
                <w:sz w:val="21"/>
                <w:szCs w:val="21"/>
                <w:highlight w:val="none"/>
                <w:lang w:val="en-US" w:eastAsia="zh-CN"/>
              </w:rPr>
              <w:t>以下服务所涉费用均已包含在合同价中，不另行计费）</w:t>
            </w:r>
            <w:r>
              <w:rPr>
                <w:rFonts w:hint="eastAsia" w:ascii="宋体" w:hAnsi="宋体" w:eastAsia="宋体" w:cs="宋体"/>
                <w:color w:val="191919"/>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191919"/>
                <w:sz w:val="21"/>
                <w:szCs w:val="21"/>
                <w:highlight w:val="none"/>
              </w:rPr>
            </w:pPr>
            <w:r>
              <w:rPr>
                <w:rFonts w:hint="eastAsia" w:ascii="宋体" w:hAnsi="宋体" w:cs="宋体"/>
                <w:color w:val="191919"/>
                <w:sz w:val="21"/>
                <w:szCs w:val="21"/>
                <w:highlight w:val="none"/>
                <w:lang w:val="en-US" w:eastAsia="zh-CN"/>
              </w:rPr>
              <w:t>（</w:t>
            </w:r>
            <w:r>
              <w:rPr>
                <w:rFonts w:hint="eastAsia" w:ascii="宋体" w:hAnsi="宋体" w:eastAsia="宋体" w:cs="宋体"/>
                <w:color w:val="191919"/>
                <w:sz w:val="21"/>
                <w:szCs w:val="21"/>
                <w:highlight w:val="none"/>
                <w:lang w:val="en-US" w:eastAsia="zh-CN"/>
              </w:rPr>
              <w:t>1</w:t>
            </w:r>
            <w:r>
              <w:rPr>
                <w:rFonts w:hint="eastAsia" w:ascii="宋体" w:hAnsi="宋体" w:cs="宋体"/>
                <w:color w:val="191919"/>
                <w:sz w:val="21"/>
                <w:szCs w:val="21"/>
                <w:highlight w:val="none"/>
                <w:lang w:val="en-US" w:eastAsia="zh-CN"/>
              </w:rPr>
              <w:t>）</w:t>
            </w:r>
            <w:r>
              <w:rPr>
                <w:rFonts w:hint="eastAsia" w:ascii="宋体" w:hAnsi="宋体" w:eastAsia="宋体" w:cs="宋体"/>
                <w:color w:val="1A1A1A"/>
                <w:sz w:val="21"/>
                <w:szCs w:val="21"/>
                <w:highlight w:val="none"/>
                <w:lang w:val="en-US" w:eastAsia="zh-CN"/>
              </w:rPr>
              <w:t>放射性</w:t>
            </w:r>
            <w:r>
              <w:rPr>
                <w:rFonts w:hint="eastAsia" w:ascii="宋体" w:hAnsi="宋体" w:eastAsia="宋体" w:cs="宋体"/>
                <w:color w:val="191919"/>
                <w:sz w:val="21"/>
                <w:szCs w:val="21"/>
                <w:highlight w:val="none"/>
              </w:rPr>
              <w:t>药品的现场搬运或入库。</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191919"/>
                <w:sz w:val="21"/>
                <w:szCs w:val="21"/>
                <w:highlight w:val="none"/>
              </w:rPr>
            </w:pPr>
            <w:r>
              <w:rPr>
                <w:rFonts w:hint="eastAsia" w:ascii="宋体" w:hAnsi="宋体" w:cs="宋体"/>
                <w:color w:val="191919"/>
                <w:sz w:val="21"/>
                <w:szCs w:val="21"/>
                <w:highlight w:val="none"/>
                <w:lang w:val="en-US" w:eastAsia="zh-CN"/>
              </w:rPr>
              <w:t>（</w:t>
            </w:r>
            <w:r>
              <w:rPr>
                <w:rFonts w:hint="eastAsia" w:ascii="宋体" w:hAnsi="宋体" w:eastAsia="宋体" w:cs="宋体"/>
                <w:color w:val="191919"/>
                <w:sz w:val="21"/>
                <w:szCs w:val="21"/>
                <w:highlight w:val="none"/>
                <w:lang w:val="en-US" w:eastAsia="zh-CN"/>
              </w:rPr>
              <w:t>2</w:t>
            </w:r>
            <w:r>
              <w:rPr>
                <w:rFonts w:hint="eastAsia" w:ascii="宋体" w:hAnsi="宋体" w:cs="宋体"/>
                <w:color w:val="191919"/>
                <w:sz w:val="21"/>
                <w:szCs w:val="21"/>
                <w:highlight w:val="none"/>
                <w:lang w:val="en-US" w:eastAsia="zh-CN"/>
              </w:rPr>
              <w:t>）</w:t>
            </w:r>
            <w:r>
              <w:rPr>
                <w:rFonts w:hint="eastAsia" w:ascii="宋体" w:hAnsi="宋体" w:eastAsia="宋体" w:cs="宋体"/>
                <w:color w:val="191919"/>
                <w:sz w:val="21"/>
                <w:szCs w:val="21"/>
                <w:highlight w:val="none"/>
              </w:rPr>
              <w:t>提供</w:t>
            </w:r>
            <w:r>
              <w:rPr>
                <w:rFonts w:hint="eastAsia" w:ascii="宋体" w:hAnsi="宋体" w:eastAsia="宋体" w:cs="宋体"/>
                <w:color w:val="1A1A1A"/>
                <w:sz w:val="21"/>
                <w:szCs w:val="21"/>
                <w:highlight w:val="none"/>
                <w:lang w:val="en-US" w:eastAsia="zh-CN"/>
              </w:rPr>
              <w:t>放射性</w:t>
            </w:r>
            <w:r>
              <w:rPr>
                <w:rFonts w:hint="eastAsia" w:ascii="宋体" w:hAnsi="宋体" w:eastAsia="宋体" w:cs="宋体"/>
                <w:color w:val="191919"/>
                <w:sz w:val="21"/>
                <w:szCs w:val="21"/>
                <w:highlight w:val="none"/>
              </w:rPr>
              <w:t>药品开箱或分装的用具。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191919"/>
                <w:sz w:val="21"/>
                <w:szCs w:val="21"/>
                <w:highlight w:val="none"/>
              </w:rPr>
            </w:pPr>
            <w:r>
              <w:rPr>
                <w:rFonts w:hint="eastAsia" w:ascii="宋体" w:hAnsi="宋体" w:cs="宋体"/>
                <w:color w:val="191919"/>
                <w:sz w:val="21"/>
                <w:szCs w:val="21"/>
                <w:highlight w:val="none"/>
                <w:lang w:val="en-US" w:eastAsia="zh-CN"/>
              </w:rPr>
              <w:t>（3）</w:t>
            </w:r>
            <w:r>
              <w:rPr>
                <w:rFonts w:hint="eastAsia" w:ascii="宋体" w:hAnsi="宋体" w:eastAsia="宋体" w:cs="宋体"/>
                <w:color w:val="1A1A1A"/>
                <w:sz w:val="21"/>
                <w:szCs w:val="21"/>
                <w:highlight w:val="none"/>
              </w:rPr>
              <w:t>对开箱时发现的剂量不符、目测药品异常、溢</w:t>
            </w:r>
            <w:r>
              <w:rPr>
                <w:rFonts w:hint="eastAsia" w:ascii="宋体" w:hAnsi="宋体" w:eastAsia="宋体" w:cs="宋体"/>
                <w:color w:val="1A1A1A"/>
                <w:sz w:val="21"/>
                <w:szCs w:val="21"/>
                <w:highlight w:val="none"/>
                <w:lang w:val="en-US" w:eastAsia="zh-CN"/>
              </w:rPr>
              <w:t>出</w:t>
            </w:r>
            <w:r>
              <w:rPr>
                <w:rFonts w:hint="eastAsia" w:ascii="宋体" w:hAnsi="宋体" w:eastAsia="宋体" w:cs="宋体"/>
                <w:color w:val="1A1A1A"/>
                <w:sz w:val="21"/>
                <w:szCs w:val="21"/>
                <w:highlight w:val="none"/>
              </w:rPr>
              <w:t>/外漏、辐射感染、包装破损、过期等</w:t>
            </w:r>
            <w:r>
              <w:rPr>
                <w:rFonts w:hint="eastAsia" w:ascii="宋体" w:hAnsi="宋体" w:eastAsia="宋体" w:cs="宋体"/>
                <w:color w:val="1A1A1A"/>
                <w:sz w:val="21"/>
                <w:szCs w:val="21"/>
                <w:highlight w:val="none"/>
                <w:lang w:val="en-US" w:eastAsia="zh-CN"/>
              </w:rPr>
              <w:t>放射性</w:t>
            </w:r>
            <w:r>
              <w:rPr>
                <w:rFonts w:hint="eastAsia" w:ascii="宋体" w:hAnsi="宋体" w:eastAsia="宋体" w:cs="宋体"/>
                <w:color w:val="1A1A1A"/>
                <w:sz w:val="21"/>
                <w:szCs w:val="21"/>
                <w:highlight w:val="none"/>
              </w:rPr>
              <w:t>药品或其他不合格包装</w:t>
            </w:r>
            <w:r>
              <w:rPr>
                <w:rFonts w:hint="eastAsia" w:ascii="宋体" w:hAnsi="宋体" w:eastAsia="宋体" w:cs="宋体"/>
                <w:color w:val="1A1A1A"/>
                <w:sz w:val="21"/>
                <w:szCs w:val="21"/>
                <w:highlight w:val="none"/>
                <w:lang w:val="en-US" w:eastAsia="zh-CN"/>
              </w:rPr>
              <w:t>放射性</w:t>
            </w:r>
            <w:r>
              <w:rPr>
                <w:rFonts w:hint="eastAsia" w:ascii="宋体" w:hAnsi="宋体" w:eastAsia="宋体" w:cs="宋体"/>
                <w:color w:val="1A1A1A"/>
                <w:sz w:val="21"/>
                <w:szCs w:val="21"/>
                <w:highlight w:val="none"/>
              </w:rPr>
              <w:t>药品及时更换。</w:t>
            </w:r>
          </w:p>
          <w:p>
            <w:pPr>
              <w:adjustRightInd/>
              <w:ind w:firstLineChars="200"/>
              <w:textAlignment w:val="auto"/>
              <w:rPr>
                <w:rFonts w:hint="default" w:hAnsi="宋体" w:cs="宋体"/>
                <w:i w:val="0"/>
                <w:iCs w:val="0"/>
                <w:color w:val="auto"/>
                <w:kern w:val="0"/>
                <w:sz w:val="21"/>
                <w:szCs w:val="21"/>
                <w:highlight w:val="none"/>
                <w:u w:val="none"/>
                <w:lang w:val="en-US" w:eastAsia="zh-CN" w:bidi="ar"/>
              </w:rPr>
            </w:pPr>
            <w:r>
              <w:rPr>
                <w:rFonts w:hint="eastAsia" w:ascii="宋体" w:hAnsi="宋体" w:cs="宋体"/>
                <w:color w:val="191919"/>
                <w:sz w:val="21"/>
                <w:szCs w:val="21"/>
                <w:highlight w:val="none"/>
                <w:lang w:val="en-US" w:eastAsia="zh-CN"/>
              </w:rPr>
              <w:t>（4）</w:t>
            </w:r>
            <w:r>
              <w:rPr>
                <w:rFonts w:hint="eastAsia" w:ascii="宋体" w:hAnsi="宋体" w:eastAsia="宋体" w:cs="宋体"/>
                <w:color w:val="191919"/>
                <w:sz w:val="21"/>
                <w:szCs w:val="21"/>
                <w:highlight w:val="none"/>
              </w:rPr>
              <w:t>其他</w:t>
            </w:r>
            <w:r>
              <w:rPr>
                <w:rFonts w:hint="eastAsia" w:ascii="宋体" w:hAnsi="宋体" w:cs="宋体"/>
                <w:color w:val="191919"/>
                <w:sz w:val="21"/>
                <w:szCs w:val="21"/>
                <w:highlight w:val="none"/>
                <w:lang w:eastAsia="zh-CN"/>
              </w:rPr>
              <w:t>中标供应商</w:t>
            </w:r>
            <w:r>
              <w:rPr>
                <w:rFonts w:hint="eastAsia" w:ascii="宋体" w:hAnsi="宋体" w:eastAsia="宋体" w:cs="宋体"/>
                <w:color w:val="191919"/>
                <w:sz w:val="21"/>
                <w:szCs w:val="21"/>
                <w:highlight w:val="none"/>
              </w:rPr>
              <w:t>应提供的相关服务项目。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质量要求</w:t>
            </w:r>
          </w:p>
        </w:tc>
        <w:tc>
          <w:tcPr>
            <w:tcW w:w="6938" w:type="dxa"/>
            <w:gridSpan w:val="3"/>
            <w:noWrap w:val="0"/>
            <w:vAlign w:val="center"/>
          </w:tcPr>
          <w:p>
            <w:pPr>
              <w:spacing w:line="400" w:lineRule="exact"/>
              <w:ind w:firstLine="420" w:firstLineChars="200"/>
              <w:rPr>
                <w:rFonts w:hint="default"/>
                <w:highlight w:val="none"/>
                <w:lang w:val="en-US"/>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中标供应商</w:t>
            </w:r>
            <w:r>
              <w:rPr>
                <w:rFonts w:hint="eastAsia" w:ascii="宋体" w:hAnsi="宋体" w:eastAsia="宋体" w:cs="宋体"/>
                <w:i w:val="0"/>
                <w:iCs w:val="0"/>
                <w:color w:val="auto"/>
                <w:kern w:val="0"/>
                <w:sz w:val="21"/>
                <w:szCs w:val="21"/>
                <w:highlight w:val="none"/>
                <w:u w:val="none"/>
                <w:lang w:val="en-US" w:eastAsia="zh-CN" w:bidi="ar"/>
              </w:rPr>
              <w:t>配送的药品如在临床使用过程中发现新的或严重的3人次以上不良反应（无论由中标供应商或采购人发现），</w:t>
            </w:r>
            <w:r>
              <w:rPr>
                <w:rFonts w:hint="eastAsia" w:ascii="宋体" w:hAnsi="宋体" w:eastAsia="宋体" w:cs="宋体"/>
                <w:color w:val="auto"/>
                <w:kern w:val="0"/>
                <w:sz w:val="21"/>
                <w:szCs w:val="21"/>
                <w:highlight w:val="none"/>
                <w:lang w:bidi="ar"/>
              </w:rPr>
              <w:t>中标供应商</w:t>
            </w:r>
            <w:r>
              <w:rPr>
                <w:rFonts w:hint="eastAsia" w:ascii="宋体" w:hAnsi="宋体" w:eastAsia="宋体" w:cs="宋体"/>
                <w:i w:val="0"/>
                <w:iCs w:val="0"/>
                <w:color w:val="auto"/>
                <w:kern w:val="0"/>
                <w:sz w:val="21"/>
                <w:szCs w:val="21"/>
                <w:highlight w:val="none"/>
                <w:u w:val="none"/>
                <w:lang w:val="en-US" w:eastAsia="zh-CN" w:bidi="ar"/>
              </w:rPr>
              <w:t>应发现问题24小时内及时书面通知采购人，并报相关部门备案；同时</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有权单方终止该品规药品采购合同的继续履行，30个工作日内退回剩余药品，如该项药品供应的终止导致采购人合同目的无法实现或已无继续履行的必要，采购人有权单方解除合同。如给采购人造成损失的</w:t>
            </w:r>
            <w:r>
              <w:rPr>
                <w:rFonts w:hint="eastAsia" w:ascii="宋体" w:hAnsi="宋体" w:eastAsia="宋体" w:cs="宋体"/>
                <w:sz w:val="21"/>
                <w:szCs w:val="21"/>
                <w:highlight w:val="none"/>
                <w:lang w:val="en-US" w:eastAsia="zh-CN"/>
              </w:rPr>
              <w:t>（包括但不限于因</w:t>
            </w:r>
            <w:r>
              <w:rPr>
                <w:rFonts w:hint="eastAsia" w:ascii="宋体" w:hAnsi="宋体" w:cs="宋体"/>
                <w:sz w:val="21"/>
                <w:szCs w:val="21"/>
                <w:highlight w:val="none"/>
                <w:lang w:val="en-US" w:eastAsia="zh-CN"/>
              </w:rPr>
              <w:t>中标供应商</w:t>
            </w:r>
            <w:r>
              <w:rPr>
                <w:rFonts w:hint="eastAsia" w:ascii="宋体" w:hAnsi="宋体" w:eastAsia="宋体" w:cs="宋体"/>
                <w:sz w:val="21"/>
                <w:szCs w:val="21"/>
                <w:highlight w:val="none"/>
                <w:lang w:val="en-US" w:eastAsia="zh-CN"/>
              </w:rPr>
              <w:t>未及时发出通知与报备、因药品本身问题等原因造成的损失）</w:t>
            </w:r>
            <w:r>
              <w:rPr>
                <w:rFonts w:hint="eastAsia" w:ascii="宋体" w:hAnsi="宋体" w:eastAsia="宋体" w:cs="宋体"/>
                <w:i w:val="0"/>
                <w:iCs w:val="0"/>
                <w:color w:val="auto"/>
                <w:kern w:val="0"/>
                <w:sz w:val="21"/>
                <w:szCs w:val="21"/>
                <w:highlight w:val="none"/>
                <w:u w:val="none"/>
                <w:lang w:val="en-US" w:eastAsia="zh-CN" w:bidi="ar"/>
              </w:rPr>
              <w:t>，中标供应商应向采购人赔偿全部损失(包括但不限于民事赔偿责任、行政处罚、被处罚金等，以及</w:t>
            </w:r>
            <w:r>
              <w:rPr>
                <w:rFonts w:hint="eastAsia" w:ascii="宋体" w:hAnsi="宋体" w:cs="宋体"/>
                <w:color w:val="auto"/>
                <w:kern w:val="0"/>
                <w:sz w:val="21"/>
                <w:szCs w:val="21"/>
                <w:highlight w:val="none"/>
                <w:lang w:val="en-US" w:eastAsia="zh-CN" w:bidi="ar"/>
              </w:rPr>
              <w:t>采购人</w:t>
            </w:r>
            <w:r>
              <w:rPr>
                <w:rFonts w:hint="eastAsia" w:hAnsi="宋体" w:cs="宋体"/>
                <w:color w:val="auto"/>
                <w:kern w:val="0"/>
                <w:sz w:val="21"/>
                <w:szCs w:val="21"/>
                <w:highlight w:val="none"/>
                <w:lang w:val="en-US" w:eastAsia="zh-CN" w:bidi="ar"/>
              </w:rPr>
              <w:t>处理该事件支出</w:t>
            </w:r>
            <w:r>
              <w:rPr>
                <w:rFonts w:hint="eastAsia" w:ascii="宋体" w:hAnsi="宋体" w:eastAsia="宋体" w:cs="宋体"/>
                <w:i w:val="0"/>
                <w:iCs w:val="0"/>
                <w:color w:val="auto"/>
                <w:kern w:val="0"/>
                <w:sz w:val="21"/>
                <w:szCs w:val="21"/>
                <w:highlight w:val="none"/>
                <w:u w:val="none"/>
                <w:lang w:val="en-US" w:eastAsia="zh-CN" w:bidi="ar"/>
              </w:rPr>
              <w:t>的评估鉴定、律师、公证、案件受理费、财产保全及保险等费用），并支付合同总额30%的违约金。</w:t>
            </w:r>
          </w:p>
          <w:p>
            <w:pPr>
              <w:pStyle w:val="14"/>
              <w:numPr>
                <w:ilvl w:val="0"/>
                <w:numId w:val="0"/>
              </w:numPr>
              <w:spacing w:line="400" w:lineRule="exact"/>
              <w:ind w:left="0" w:firstLine="420" w:firstLineChars="200"/>
              <w:rPr>
                <w:rFonts w:hint="default" w:hAnsi="宋体" w:cs="宋体"/>
                <w:i w:val="0"/>
                <w:iCs w:val="0"/>
                <w:color w:val="auto"/>
                <w:kern w:val="0"/>
                <w:sz w:val="21"/>
                <w:szCs w:val="21"/>
                <w:highlight w:val="none"/>
                <w:u w:val="none"/>
                <w:lang w:val="en-US" w:eastAsia="zh-CN" w:bidi="ar"/>
              </w:rPr>
            </w:pPr>
            <w:r>
              <w:rPr>
                <w:rFonts w:hint="eastAsia"/>
                <w:highlight w:val="none"/>
                <w:lang w:val="en-US" w:eastAsia="zh-CN"/>
              </w:rPr>
              <w:t>2.</w:t>
            </w:r>
            <w:r>
              <w:rPr>
                <w:rFonts w:hint="eastAsia" w:ascii="宋体" w:hAnsi="宋体" w:eastAsia="宋体" w:cs="宋体"/>
                <w:i w:val="0"/>
                <w:iCs w:val="0"/>
                <w:color w:val="auto"/>
                <w:kern w:val="0"/>
                <w:sz w:val="21"/>
                <w:szCs w:val="21"/>
                <w:highlight w:val="none"/>
                <w:u w:val="none"/>
                <w:lang w:val="en-US" w:eastAsia="zh-CN" w:bidi="ar"/>
              </w:rPr>
              <w:t>中标供应商</w:t>
            </w:r>
            <w:r>
              <w:rPr>
                <w:rFonts w:hint="eastAsia" w:hAnsi="宋体" w:cs="宋体"/>
                <w:i w:val="0"/>
                <w:iCs w:val="0"/>
                <w:color w:val="auto"/>
                <w:kern w:val="0"/>
                <w:sz w:val="21"/>
                <w:szCs w:val="21"/>
                <w:highlight w:val="none"/>
                <w:u w:val="none"/>
                <w:lang w:val="en-US" w:eastAsia="zh-CN" w:bidi="ar"/>
              </w:rPr>
              <w:t>对提供的药品质量负责，临床出现与药品质量、药品严重不良反应等有关的医疗纠纷，</w:t>
            </w:r>
            <w:r>
              <w:rPr>
                <w:rFonts w:hint="eastAsia" w:ascii="宋体" w:hAnsi="宋体" w:eastAsia="宋体" w:cs="宋体"/>
                <w:i w:val="0"/>
                <w:iCs w:val="0"/>
                <w:color w:val="auto"/>
                <w:kern w:val="0"/>
                <w:sz w:val="21"/>
                <w:szCs w:val="21"/>
                <w:highlight w:val="none"/>
                <w:u w:val="none"/>
                <w:lang w:val="en-US" w:eastAsia="zh-CN" w:bidi="ar"/>
              </w:rPr>
              <w:t>中标供应商</w:t>
            </w:r>
            <w:r>
              <w:rPr>
                <w:rFonts w:hint="eastAsia" w:hAnsi="宋体" w:cs="宋体"/>
                <w:i w:val="0"/>
                <w:iCs w:val="0"/>
                <w:color w:val="auto"/>
                <w:kern w:val="0"/>
                <w:sz w:val="21"/>
                <w:szCs w:val="21"/>
                <w:highlight w:val="none"/>
                <w:u w:val="none"/>
                <w:lang w:val="en-US" w:eastAsia="zh-CN" w:bidi="ar"/>
              </w:rPr>
              <w:t>应承担相应责任并积极解决。</w:t>
            </w:r>
          </w:p>
        </w:tc>
      </w:tr>
    </w:tbl>
    <w:p>
      <w:pPr>
        <w:pStyle w:val="2"/>
        <w:rPr>
          <w:rFonts w:hint="eastAsia"/>
        </w:rPr>
      </w:pPr>
    </w:p>
    <w:p>
      <w:pPr>
        <w:pStyle w:val="2"/>
        <w:rPr>
          <w:rFonts w:hint="eastAsia"/>
        </w:rPr>
      </w:pPr>
    </w:p>
    <w:p>
      <w:pPr>
        <w:spacing w:line="360" w:lineRule="auto"/>
        <w:ind w:left="6146" w:leftChars="2660" w:right="560" w:hanging="560" w:hanging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spacing w:line="360" w:lineRule="auto"/>
        <w:ind w:left="6184" w:leftChars="2802" w:right="560" w:hanging="300" w:hangingChars="1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核医学科：</w:t>
      </w:r>
    </w:p>
    <w:p>
      <w:pPr>
        <w:pStyle w:val="2"/>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药剂科：</w:t>
      </w:r>
    </w:p>
    <w:p>
      <w:pPr>
        <w:pStyle w:val="2"/>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年    月   日</w:t>
      </w:r>
    </w:p>
    <w:p>
      <w:pPr>
        <w:spacing w:line="560" w:lineRule="exact"/>
        <w:ind w:right="560"/>
        <w:jc w:val="both"/>
        <w:rPr>
          <w:rFonts w:hint="default" w:ascii="仿宋" w:hAnsi="仿宋" w:eastAsia="仿宋" w:cs="仿宋"/>
          <w:sz w:val="28"/>
          <w:szCs w:val="28"/>
          <w:lang w:val="en-US" w:eastAsia="zh-CN"/>
        </w:rPr>
      </w:pPr>
    </w:p>
    <w:sectPr>
      <w:headerReference r:id="rId3" w:type="default"/>
      <w:footerReference r:id="rId4" w:type="default"/>
      <w:pgSz w:w="11906" w:h="16838"/>
      <w:pgMar w:top="1134" w:right="1701" w:bottom="1134"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B379"/>
    <w:multiLevelType w:val="singleLevel"/>
    <w:tmpl w:val="A474B3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jg3MzFlZTM0MjM5YjliNGVhMzkzMjYxMGQwYWQifQ=="/>
    <w:docVar w:name="KSO_WPS_MARK_KEY" w:val="690143fa-cfe7-49fd-aba3-1dd539bf7c49"/>
  </w:docVars>
  <w:rsids>
    <w:rsidRoot w:val="00000000"/>
    <w:rsid w:val="07434D21"/>
    <w:rsid w:val="076B38C3"/>
    <w:rsid w:val="09E446FB"/>
    <w:rsid w:val="0DBC505E"/>
    <w:rsid w:val="10685BD1"/>
    <w:rsid w:val="138630FC"/>
    <w:rsid w:val="161E1BC5"/>
    <w:rsid w:val="18107206"/>
    <w:rsid w:val="19CF5B3C"/>
    <w:rsid w:val="1C7537B0"/>
    <w:rsid w:val="1F3B2821"/>
    <w:rsid w:val="238D63C3"/>
    <w:rsid w:val="239125FA"/>
    <w:rsid w:val="240F5A90"/>
    <w:rsid w:val="24944861"/>
    <w:rsid w:val="24F424FE"/>
    <w:rsid w:val="26BB5216"/>
    <w:rsid w:val="26F322D5"/>
    <w:rsid w:val="27AB3AA9"/>
    <w:rsid w:val="286952BC"/>
    <w:rsid w:val="2B0D3C75"/>
    <w:rsid w:val="2B941D3B"/>
    <w:rsid w:val="2F213451"/>
    <w:rsid w:val="32931114"/>
    <w:rsid w:val="33BA0B15"/>
    <w:rsid w:val="342971E1"/>
    <w:rsid w:val="389E5A88"/>
    <w:rsid w:val="39956A74"/>
    <w:rsid w:val="3C8C3D2F"/>
    <w:rsid w:val="3EB36B35"/>
    <w:rsid w:val="455E1514"/>
    <w:rsid w:val="48493247"/>
    <w:rsid w:val="48D34A2F"/>
    <w:rsid w:val="4A606796"/>
    <w:rsid w:val="4AA27963"/>
    <w:rsid w:val="4B0743A4"/>
    <w:rsid w:val="4C4623E1"/>
    <w:rsid w:val="4CDC27FF"/>
    <w:rsid w:val="4CEC60BF"/>
    <w:rsid w:val="4FAA5590"/>
    <w:rsid w:val="50A33D12"/>
    <w:rsid w:val="50ED4FBD"/>
    <w:rsid w:val="52BE292E"/>
    <w:rsid w:val="5334344A"/>
    <w:rsid w:val="53EF537E"/>
    <w:rsid w:val="55121182"/>
    <w:rsid w:val="560476F4"/>
    <w:rsid w:val="56C35F53"/>
    <w:rsid w:val="57777786"/>
    <w:rsid w:val="5B2B4896"/>
    <w:rsid w:val="5BC04648"/>
    <w:rsid w:val="5C7C4CC3"/>
    <w:rsid w:val="5D9556F6"/>
    <w:rsid w:val="5EA00698"/>
    <w:rsid w:val="5F822C5E"/>
    <w:rsid w:val="5F9F5213"/>
    <w:rsid w:val="61957AAE"/>
    <w:rsid w:val="6295188B"/>
    <w:rsid w:val="659B2B9C"/>
    <w:rsid w:val="65C877A2"/>
    <w:rsid w:val="67DF3993"/>
    <w:rsid w:val="6863035F"/>
    <w:rsid w:val="6BDC3D79"/>
    <w:rsid w:val="707201AD"/>
    <w:rsid w:val="70BD4B13"/>
    <w:rsid w:val="719B1406"/>
    <w:rsid w:val="729A1A94"/>
    <w:rsid w:val="73216D14"/>
    <w:rsid w:val="7544019D"/>
    <w:rsid w:val="776E476B"/>
    <w:rsid w:val="778A2F67"/>
    <w:rsid w:val="784158A6"/>
    <w:rsid w:val="788A53F8"/>
    <w:rsid w:val="7D6543ED"/>
    <w:rsid w:val="7DE42885"/>
    <w:rsid w:val="7E2259ED"/>
    <w:rsid w:val="7E990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nhideWhenUsed/>
    <w:qFormat/>
    <w:uiPriority w:val="0"/>
    <w:pPr>
      <w:ind w:firstLine="420" w:firstLineChars="200"/>
    </w:pPr>
  </w:style>
  <w:style w:type="character" w:customStyle="1" w:styleId="10">
    <w:name w:val="font21"/>
    <w:basedOn w:val="8"/>
    <w:qFormat/>
    <w:uiPriority w:val="0"/>
    <w:rPr>
      <w:rFonts w:hint="eastAsia" w:ascii="仿宋" w:hAnsi="仿宋" w:eastAsia="仿宋" w:cs="仿宋"/>
      <w:color w:val="000000"/>
      <w:sz w:val="24"/>
      <w:szCs w:val="24"/>
      <w:u w:val="none"/>
    </w:rPr>
  </w:style>
  <w:style w:type="character" w:customStyle="1" w:styleId="11">
    <w:name w:val="font31"/>
    <w:basedOn w:val="8"/>
    <w:qFormat/>
    <w:uiPriority w:val="0"/>
    <w:rPr>
      <w:rFonts w:hint="eastAsia" w:ascii="宋体" w:hAnsi="宋体" w:eastAsia="宋体" w:cs="宋体"/>
      <w:color w:val="000000"/>
      <w:sz w:val="22"/>
      <w:szCs w:val="22"/>
      <w:u w:val="non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qFormat/>
    <w:uiPriority w:val="0"/>
    <w:rPr>
      <w:rFonts w:hint="eastAsia" w:ascii="宋体" w:hAnsi="宋体" w:eastAsia="宋体" w:cs="宋体"/>
      <w:color w:val="FF0000"/>
      <w:sz w:val="22"/>
      <w:szCs w:val="22"/>
      <w:u w:val="none"/>
    </w:rPr>
  </w:style>
  <w:style w:type="paragraph" w:customStyle="1" w:styleId="14">
    <w:name w:val="正文1"/>
    <w:basedOn w:val="1"/>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5224</Words>
  <Characters>5308</Characters>
  <Lines>0</Lines>
  <Paragraphs>0</Paragraphs>
  <TotalTime>3</TotalTime>
  <ScaleCrop>false</ScaleCrop>
  <LinksUpToDate>false</LinksUpToDate>
  <CharactersWithSpaces>5469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2022-11-17T01:15:00Z</dcterms:created>
  <dc:creator>Administrator</dc:creator>
  <cp:lastModifiedBy>LGYY-USER</cp:lastModifiedBy>
  <cp:lastPrinted>2025-11-17T02:57:42Z</cp:lastPrinted>
  <dcterms:modified xsi:type="dcterms:W3CDTF">2025-11-17T03:04:57Z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5695797D6B554F3981C27213FD113822_12</vt:lpwstr>
  </property>
</Properties>
</file>