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jc w:val="center"/>
        <w:rPr>
          <w:rFonts w:hint="eastAsia" w:ascii="宋体" w:hAnsi="宋体" w:cs="宋体"/>
          <w:color w:val="auto"/>
          <w:sz w:val="32"/>
          <w:szCs w:val="32"/>
          <w:highlight w:val="none"/>
        </w:rPr>
      </w:pPr>
      <w:bookmarkStart w:id="0" w:name="_Toc31799"/>
      <w:r>
        <w:rPr>
          <w:rFonts w:hint="eastAsia" w:ascii="宋体" w:hAnsi="宋体" w:cs="宋体"/>
          <w:b/>
          <w:color w:val="auto"/>
          <w:sz w:val="32"/>
          <w:szCs w:val="32"/>
          <w:highlight w:val="none"/>
        </w:rPr>
        <w:t>药品配送服务</w:t>
      </w:r>
      <w:r>
        <w:rPr>
          <w:rFonts w:hint="eastAsia" w:ascii="宋体" w:hAnsi="宋体" w:cs="宋体"/>
          <w:b/>
          <w:color w:val="auto"/>
          <w:sz w:val="32"/>
          <w:szCs w:val="32"/>
          <w:highlight w:val="none"/>
          <w:lang w:eastAsia="zh-CN"/>
        </w:rPr>
        <w:t>商遴选</w:t>
      </w:r>
      <w:r>
        <w:rPr>
          <w:rFonts w:hint="eastAsia" w:ascii="宋体" w:hAnsi="宋体" w:cs="宋体"/>
          <w:color w:val="auto"/>
          <w:sz w:val="32"/>
          <w:szCs w:val="32"/>
          <w:highlight w:val="none"/>
        </w:rPr>
        <w:t>项目</w:t>
      </w:r>
      <w:r>
        <w:rPr>
          <w:rFonts w:hint="eastAsia" w:ascii="宋体" w:hAnsi="宋体" w:cs="宋体"/>
          <w:color w:val="auto"/>
          <w:sz w:val="32"/>
          <w:szCs w:val="32"/>
          <w:highlight w:val="none"/>
          <w:lang w:eastAsia="zh-CN"/>
        </w:rPr>
        <w:t>采购</w:t>
      </w:r>
      <w:r>
        <w:rPr>
          <w:rFonts w:hint="eastAsia" w:ascii="宋体" w:hAnsi="宋体" w:cs="宋体"/>
          <w:color w:val="auto"/>
          <w:sz w:val="32"/>
          <w:szCs w:val="32"/>
          <w:highlight w:val="none"/>
        </w:rPr>
        <w:t>需求</w:t>
      </w:r>
      <w:bookmarkEnd w:id="0"/>
    </w:p>
    <w:p>
      <w:pPr>
        <w:numPr>
          <w:ilvl w:val="0"/>
          <w:numId w:val="1"/>
        </w:numPr>
        <w:rPr>
          <w:rFonts w:hint="eastAsia" w:ascii="宋体" w:hAnsi="宋体" w:eastAsia="宋体" w:cs="宋体"/>
          <w:b/>
          <w:bCs/>
          <w:color w:val="000000"/>
          <w:kern w:val="0"/>
          <w:sz w:val="28"/>
          <w:szCs w:val="28"/>
          <w:highlight w:val="none"/>
        </w:rPr>
      </w:pPr>
      <w:r>
        <w:rPr>
          <w:rFonts w:hint="eastAsia" w:ascii="宋体" w:hAnsi="宋体" w:eastAsia="宋体" w:cs="宋体"/>
          <w:b/>
          <w:bCs/>
          <w:color w:val="auto"/>
          <w:kern w:val="0"/>
          <w:sz w:val="28"/>
          <w:szCs w:val="28"/>
        </w:rPr>
        <w:t>项</w:t>
      </w:r>
      <w:r>
        <w:rPr>
          <w:rFonts w:hint="eastAsia" w:ascii="宋体" w:hAnsi="宋体" w:eastAsia="宋体" w:cs="宋体"/>
          <w:b/>
          <w:bCs/>
          <w:color w:val="000000"/>
          <w:kern w:val="0"/>
          <w:sz w:val="28"/>
          <w:szCs w:val="28"/>
          <w:highlight w:val="none"/>
        </w:rPr>
        <w:t>目名称：</w:t>
      </w:r>
      <w:r>
        <w:rPr>
          <w:rFonts w:hint="eastAsia" w:ascii="宋体" w:hAnsi="宋体" w:eastAsia="宋体" w:cs="宋体"/>
          <w:b w:val="0"/>
          <w:bCs w:val="0"/>
          <w:color w:val="000000"/>
          <w:kern w:val="0"/>
          <w:sz w:val="28"/>
          <w:szCs w:val="28"/>
          <w:highlight w:val="none"/>
        </w:rPr>
        <w:t>药品配送服务商遴选</w:t>
      </w:r>
    </w:p>
    <w:p>
      <w:pPr>
        <w:numPr>
          <w:ilvl w:val="0"/>
          <w:numId w:val="1"/>
        </w:numP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采购需求一览表</w:t>
      </w:r>
    </w:p>
    <w:p>
      <w:pPr>
        <w:spacing w:line="360" w:lineRule="exact"/>
        <w:rPr>
          <w:rFonts w:hint="eastAsia" w:ascii="宋体" w:hAnsi="宋体" w:cs="宋体"/>
          <w:b/>
          <w:bCs/>
          <w:color w:val="auto"/>
          <w:szCs w:val="21"/>
          <w:highlight w:val="none"/>
        </w:rPr>
      </w:pPr>
    </w:p>
    <w:tbl>
      <w:tblPr>
        <w:tblStyle w:val="5"/>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09"/>
        <w:gridCol w:w="7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left"/>
              <w:rPr>
                <w:rFonts w:hint="eastAsia" w:ascii="宋体" w:hAnsi="宋体" w:cs="宋体"/>
                <w:b/>
                <w:color w:val="auto"/>
                <w:szCs w:val="21"/>
                <w:highlight w:val="none"/>
              </w:rPr>
            </w:pPr>
            <w:bookmarkStart w:id="1" w:name="_Toc7097"/>
            <w:r>
              <w:rPr>
                <w:rFonts w:hint="eastAsia" w:ascii="宋体" w:hAnsi="宋体" w:cs="宋体"/>
                <w:b/>
                <w:color w:val="auto"/>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center"/>
              <w:rPr>
                <w:rFonts w:hint="eastAsia" w:ascii="宋体" w:hAnsi="宋体" w:cs="宋体"/>
                <w:b/>
                <w:color w:val="auto"/>
                <w:szCs w:val="21"/>
                <w:highlight w:val="none"/>
              </w:rPr>
            </w:pPr>
            <w:r>
              <w:rPr>
                <w:rFonts w:hint="eastAsia" w:ascii="宋体" w:hAnsi="宋体" w:cs="宋体"/>
                <w:b/>
                <w:color w:val="auto"/>
                <w:szCs w:val="21"/>
                <w:highlight w:val="none"/>
              </w:rPr>
              <w:t>服务名称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75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center"/>
              <w:rPr>
                <w:rFonts w:hint="eastAsia" w:ascii="宋体" w:hAnsi="宋体" w:cs="宋体"/>
                <w:b/>
                <w:color w:val="auto"/>
                <w:szCs w:val="21"/>
                <w:highlight w:val="none"/>
              </w:rPr>
            </w:pPr>
            <w:r>
              <w:rPr>
                <w:rFonts w:hint="eastAsia" w:ascii="宋体" w:hAnsi="宋体" w:cs="宋体"/>
                <w:b/>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center"/>
              <w:rPr>
                <w:rFonts w:hint="eastAsia" w:ascii="宋体" w:hAnsi="宋体" w:cs="宋体"/>
                <w:b/>
                <w:color w:val="auto"/>
                <w:szCs w:val="21"/>
                <w:highlight w:val="none"/>
              </w:rPr>
            </w:pPr>
            <w:r>
              <w:rPr>
                <w:rFonts w:hint="eastAsia" w:ascii="宋体" w:hAnsi="宋体" w:cs="宋体"/>
                <w:color w:val="auto"/>
                <w:szCs w:val="21"/>
                <w:highlight w:val="none"/>
              </w:rPr>
              <w:t>药品（西药、中成药）配送服务</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center"/>
              <w:rPr>
                <w:rFonts w:hint="eastAsia" w:ascii="宋体" w:hAnsi="宋体" w:cs="宋体"/>
                <w:b/>
                <w:color w:val="auto"/>
                <w:szCs w:val="21"/>
                <w:highlight w:val="none"/>
              </w:rPr>
            </w:pPr>
            <w:r>
              <w:rPr>
                <w:rFonts w:hint="eastAsia" w:ascii="宋体" w:hAnsi="宋体" w:cs="宋体"/>
                <w:b/>
                <w:color w:val="auto"/>
                <w:szCs w:val="21"/>
                <w:highlight w:val="none"/>
              </w:rPr>
              <w:t>1项</w:t>
            </w:r>
          </w:p>
        </w:tc>
        <w:tc>
          <w:tcPr>
            <w:tcW w:w="75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left"/>
              <w:rPr>
                <w:rFonts w:hint="eastAsia" w:ascii="宋体" w:hAnsi="宋体" w:cs="宋体"/>
                <w:b/>
                <w:color w:val="auto"/>
                <w:szCs w:val="21"/>
                <w:highlight w:val="none"/>
              </w:rPr>
            </w:pPr>
            <w:r>
              <w:rPr>
                <w:rFonts w:hint="eastAsia" w:ascii="宋体" w:hAnsi="宋体" w:cs="宋体"/>
                <w:b/>
                <w:color w:val="auto"/>
                <w:szCs w:val="21"/>
                <w:highlight w:val="none"/>
              </w:rPr>
              <w:t>一、招标内容及相关事项</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1.招标内容：医院根据工作需要，现公开遴选药品配送服务商，集中配送医院的西药、中成药。</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2.服务期限：自合同签订之日起三年，实际进场时间以招标人通知为准，服务终止时间相应顺延。由柳州市</w:t>
            </w:r>
            <w:r>
              <w:rPr>
                <w:rFonts w:hint="eastAsia" w:ascii="宋体" w:hAnsi="宋体" w:cs="宋体"/>
                <w:color w:val="auto"/>
                <w:szCs w:val="21"/>
                <w:highlight w:val="none"/>
                <w:lang w:eastAsia="zh-CN"/>
              </w:rPr>
              <w:t>工人医院</w:t>
            </w:r>
            <w:r>
              <w:rPr>
                <w:rFonts w:hint="eastAsia" w:ascii="宋体" w:hAnsi="宋体" w:cs="宋体"/>
                <w:color w:val="auto"/>
                <w:szCs w:val="21"/>
                <w:highlight w:val="none"/>
              </w:rPr>
              <w:t>、</w:t>
            </w:r>
            <w:r>
              <w:rPr>
                <w:rFonts w:hint="eastAsia" w:ascii="宋体" w:hAnsi="宋体" w:cs="宋体"/>
                <w:color w:val="auto"/>
                <w:szCs w:val="21"/>
                <w:highlight w:val="none"/>
                <w:lang w:eastAsia="zh-CN"/>
              </w:rPr>
              <w:t>柳州市鱼峰区天马街道社区卫生服务中心、柳州市鱼峰区五里亭街道社区卫生服务中心、</w:t>
            </w:r>
            <w:r>
              <w:rPr>
                <w:rFonts w:hint="eastAsia" w:ascii="宋体" w:hAnsi="宋体" w:cs="宋体"/>
                <w:color w:val="auto"/>
                <w:szCs w:val="21"/>
                <w:highlight w:val="none"/>
              </w:rPr>
              <w:t>柳州市柳南区鹅山社区卫生服务中心</w:t>
            </w:r>
            <w:r>
              <w:rPr>
                <w:rFonts w:hint="eastAsia" w:ascii="宋体" w:hAnsi="宋体" w:cs="宋体"/>
                <w:color w:val="auto"/>
                <w:szCs w:val="21"/>
                <w:highlight w:val="none"/>
                <w:lang w:eastAsia="zh-CN"/>
              </w:rPr>
              <w:t>、柳州市鱼峰区箭盘山街道社区卫生服务中心</w:t>
            </w:r>
            <w:r>
              <w:rPr>
                <w:rFonts w:hint="eastAsia" w:ascii="宋体" w:hAnsi="宋体" w:cs="宋体"/>
                <w:color w:val="auto"/>
                <w:szCs w:val="21"/>
                <w:highlight w:val="none"/>
              </w:rPr>
              <w:t>自行与中标人签订合同。在服务期限内，若政府新颁布或上级监管部门新颁布的对有关药品采购（配送）政策法规或相关要求与合同内容有相矛盾的，采购人有权依据新法律法规、政策文件</w:t>
            </w:r>
            <w:r>
              <w:rPr>
                <w:rFonts w:hint="eastAsia" w:ascii="宋体" w:hAnsi="宋体" w:cs="宋体"/>
                <w:color w:val="auto"/>
                <w:szCs w:val="21"/>
                <w:highlight w:val="none"/>
                <w:lang w:eastAsia="zh-CN"/>
              </w:rPr>
              <w:t>要求中标人执行</w:t>
            </w:r>
            <w:r>
              <w:rPr>
                <w:rFonts w:hint="eastAsia" w:ascii="宋体" w:hAnsi="宋体" w:cs="宋体"/>
                <w:color w:val="auto"/>
                <w:szCs w:val="21"/>
                <w:highlight w:val="none"/>
              </w:rPr>
              <w:t>。</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3.配送范围：柳州市</w:t>
            </w:r>
            <w:r>
              <w:rPr>
                <w:rFonts w:hint="eastAsia" w:ascii="宋体" w:hAnsi="宋体" w:cs="宋体"/>
                <w:color w:val="auto"/>
                <w:szCs w:val="21"/>
                <w:highlight w:val="none"/>
                <w:lang w:eastAsia="zh-CN"/>
              </w:rPr>
              <w:t>工人医院</w:t>
            </w:r>
            <w:r>
              <w:rPr>
                <w:rFonts w:hint="eastAsia" w:ascii="宋体" w:hAnsi="宋体" w:cs="宋体"/>
                <w:color w:val="auto"/>
                <w:szCs w:val="21"/>
                <w:highlight w:val="none"/>
              </w:rPr>
              <w:t>、</w:t>
            </w:r>
            <w:r>
              <w:rPr>
                <w:rFonts w:hint="eastAsia" w:ascii="宋体" w:hAnsi="宋体" w:cs="宋体"/>
                <w:color w:val="auto"/>
                <w:szCs w:val="21"/>
                <w:highlight w:val="none"/>
                <w:lang w:eastAsia="zh-CN"/>
              </w:rPr>
              <w:t>柳州市鱼峰区天马街道社区卫生服务中心、柳州市鱼峰区五里亭街道社区卫生服务中心、</w:t>
            </w:r>
            <w:r>
              <w:rPr>
                <w:rFonts w:hint="eastAsia" w:ascii="宋体" w:hAnsi="宋体" w:cs="宋体"/>
                <w:color w:val="auto"/>
                <w:szCs w:val="21"/>
                <w:highlight w:val="none"/>
              </w:rPr>
              <w:t>柳州市柳南区鹅山社区卫生服务中心</w:t>
            </w:r>
            <w:r>
              <w:rPr>
                <w:rFonts w:hint="eastAsia" w:ascii="宋体" w:hAnsi="宋体" w:cs="宋体"/>
                <w:color w:val="auto"/>
                <w:szCs w:val="21"/>
                <w:highlight w:val="none"/>
                <w:lang w:eastAsia="zh-CN"/>
              </w:rPr>
              <w:t>、柳州市鱼峰区箭盘山街道社区卫生服务中心</w:t>
            </w:r>
            <w:r>
              <w:rPr>
                <w:rFonts w:hint="eastAsia" w:ascii="宋体" w:hAnsi="宋体" w:cs="宋体"/>
                <w:color w:val="auto"/>
                <w:szCs w:val="21"/>
                <w:highlight w:val="none"/>
              </w:rPr>
              <w:t>。</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4.配送服务商数量：遴选</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名中标人。</w:t>
            </w:r>
          </w:p>
          <w:p>
            <w:pPr>
              <w:pStyle w:val="7"/>
              <w:spacing w:line="360" w:lineRule="auto"/>
              <w:rPr>
                <w:rFonts w:hint="eastAsia" w:ascii="宋体" w:hAnsi="宋体" w:cs="宋体"/>
                <w:b/>
                <w:color w:val="auto"/>
                <w:spacing w:val="0"/>
                <w:kern w:val="2"/>
                <w:sz w:val="21"/>
                <w:szCs w:val="21"/>
                <w:highlight w:val="none"/>
              </w:rPr>
            </w:pPr>
            <w:r>
              <w:rPr>
                <w:rFonts w:hint="eastAsia" w:ascii="宋体" w:hAnsi="宋体" w:cs="宋体"/>
                <w:b/>
                <w:color w:val="auto"/>
                <w:spacing w:val="0"/>
                <w:kern w:val="2"/>
                <w:sz w:val="21"/>
                <w:szCs w:val="21"/>
                <w:highlight w:val="none"/>
              </w:rPr>
              <w:t>二、服务要求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配送服务商应具有与药品经营规模和经营范围相适应的经营、仓储场所，具备冷链药品储备和配送条件，具有应急管理能力和良好的售后服务体系。</w:t>
            </w:r>
          </w:p>
          <w:p>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（一）对配送服务商履约的基本要求</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1.具有健全的质量管理组织机构，人员组成和完善的质量管理制度，具有能够管理及监控质量和购销存的信息管理系统，企业经营运行状况良好。</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2.应具备有一定的仓储能力及设备设施，药品储存能力能满足医院需求，拥有与经营范围和规模相适应的办公场所和仓库。</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3.应具有柳州市区域配送能力，完善的物流配送体系，配备有一定量的药品普通配送车、冷链配送车、冷藏箱等设备，低温冷藏药品需具有完整的冷链系统。</w:t>
            </w:r>
          </w:p>
          <w:p>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（二）药品质量要求</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产品及服务应符合本招标文件的技术要求，如没有提及适用标准，则应符合中华人民共和国国家标准或行业标准。如果中华人民共和国没有相关标准的，则采用货物来源国适用的官方标准，这些标准必须是有关机构发布的最新版本的标准。</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2.配送服务商应当按照药品经营许可证载明的经营方式和经营范围，在药品监督管理部门核准的地址销售、储存药品，严格遵守药品经营质量管理规范（GSP），保证药品经营全过程符合法定要求。</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所提供的产品必须确保质量，且确保所配送药品不存在专利权、商标权等知识产权方面的争议。如其产品质量或规格不符合招标人使用要求的，必须允许更换或退货，所发生的费用由配送服务商负责。如因药品质量问题引起医疗事故，由配送服务商负责处理并承担相应的后果。如配送服务商发现所配送的药品存在质量问题或其他安全隐患的，应当立即停止销售，告知采购人停止销售和使用，并对其产品进行召回。</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4.进口药品应提供与送货单同批号的口岸药检所出具的《进口药品检验报告书》和加盖配送单位红色印章的《进口药品注册证》复印件。</w:t>
            </w:r>
          </w:p>
          <w:p>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（三）药品配送价格要求</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1.国家谈判药品按国家谈判的药品价格结果，自治区招标采购入围药品按入围目录药品价格，进行配送和结算。</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2.定点生产药品按全国统一采购价格或自治区统一采购价格，直接挂网采购目录药品按</w:t>
            </w:r>
            <w:r>
              <w:rPr>
                <w:rFonts w:hint="eastAsia" w:ascii="宋体" w:hAnsi="宋体" w:cs="宋体"/>
                <w:color w:val="auto"/>
                <w:szCs w:val="21"/>
                <w:highlight w:val="none"/>
                <w:lang w:eastAsia="zh-CN"/>
              </w:rPr>
              <w:t>挂网价</w:t>
            </w:r>
            <w:r>
              <w:rPr>
                <w:rFonts w:hint="eastAsia" w:ascii="宋体" w:hAnsi="宋体" w:cs="宋体"/>
                <w:color w:val="auto"/>
                <w:szCs w:val="21"/>
                <w:highlight w:val="none"/>
              </w:rPr>
              <w:t>进行配送和结算</w:t>
            </w:r>
            <w:r>
              <w:rPr>
                <w:rFonts w:hint="eastAsia" w:ascii="宋体" w:hAnsi="宋体" w:cs="宋体"/>
                <w:color w:val="auto"/>
                <w:szCs w:val="21"/>
                <w:highlight w:val="none"/>
                <w:lang w:eastAsia="zh-CN"/>
              </w:rPr>
              <w:t>，或采购人发起线上议价，则按</w:t>
            </w:r>
            <w:r>
              <w:rPr>
                <w:rFonts w:hint="eastAsia" w:ascii="宋体" w:hAnsi="宋体" w:cs="宋体"/>
                <w:color w:val="auto"/>
                <w:szCs w:val="21"/>
                <w:highlight w:val="none"/>
              </w:rPr>
              <w:t>议价主体与药品生产企业议定价格进行配送和结算。</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3.该价格包含产品成品价格、运输、包装、伴随服务、税费及其他一切可能产生的附加费用，不得随意更改供货价格；合同履行期间，如遇政策性调价，按政府调节价格执行，包括招标人尚未使用的药品。</w:t>
            </w:r>
          </w:p>
          <w:p>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（四）配送服务要求</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1.配送服务商接到招标人发出的采购计划通知后，须在规定时间内将药品送达招标人指定地点。</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（1）正常计划：一般药品配送不超过24小时，最长不超过48小时，节假日照常配送，如在约定时间内无法完成配送的，需在收到计划24小时内反馈。</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（2）急需计划：保证全天候24小时可联系，急（抢）救药品2小时送达，急用药品4小时内送达，需并确保货票同行。</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2.配送服务商负责将药品送达指定地点，并提供药品的现场搬运、药品开箱或分装、入库服务。</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3.原则上不能配送效期≤6个月的药品，特殊或紧急情况下，配送效期≤6个月的药品，需先征得招标人同意。</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4.配送服务商的送货专员，在院内活动必须严格遵守招标人各项规章制度（包括车辆出入和停放管理、区域出入管理、疫情管理等）。</w:t>
            </w:r>
          </w:p>
          <w:p>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（五）售后服务要求</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1.配送服务商需对所配送药品的各个环节进行跟踪，对药品产生的质量、疗效、不良反应、装置使用等问题积极处理和反馈，在药品有效期内出现质量问题的，3日内无条件更换。</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2.配送周期内遇到药监部门抽查采购人的药品，</w:t>
            </w:r>
            <w:r>
              <w:rPr>
                <w:rFonts w:hint="eastAsia" w:ascii="宋体" w:hAnsi="宋体" w:cs="宋体"/>
                <w:color w:val="auto"/>
                <w:szCs w:val="21"/>
                <w:highlight w:val="none"/>
                <w:lang w:eastAsia="zh-CN"/>
              </w:rPr>
              <w:t>对</w:t>
            </w:r>
            <w:r>
              <w:rPr>
                <w:rFonts w:hint="eastAsia" w:ascii="宋体" w:hAnsi="宋体" w:cs="宋体"/>
                <w:color w:val="auto"/>
                <w:szCs w:val="21"/>
                <w:highlight w:val="none"/>
              </w:rPr>
              <w:t>存在问题的药品所产生的查封、没收、罚款等，由配送服务商承担责任。</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3.对于近效期、破损等问题药品的清退，配送服务商应于接到通知后7天内完成实物清退，14天内完成账目冲销；政策性品种替换的药品，应在接到通知后30天内完成实物清退和账目冲销。</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4.有专人负责以方便工作联系和服务。服务响应时间：在合同期内，配送服务商在接到药品相关咨询后2小时内响应，如需到现场并于48小时内到达。</w:t>
            </w:r>
          </w:p>
          <w:p>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（六）应急机制</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有完善的自然灾害、突发公共卫生事件等药事管理与药品供应管理的应急预案；有冷链药品管理应急预案。急(抢)救、剧毒麻、短缺或罕见等药品具有一定的储备量，配送时限不超过24小时(特别紧急情况下4小时内送达)，并确保货票同行。</w:t>
            </w:r>
          </w:p>
          <w:p>
            <w:pPr>
              <w:spacing w:line="360" w:lineRule="auto"/>
              <w:ind w:left="27"/>
              <w:jc w:val="left"/>
              <w:rPr>
                <w:rFonts w:hint="eastAsia" w:ascii="宋体" w:hAnsi="宋体" w:cs="宋体"/>
                <w:b/>
                <w:color w:val="auto"/>
                <w:szCs w:val="21"/>
                <w:highlight w:val="none"/>
              </w:rPr>
            </w:pPr>
            <w:r>
              <w:rPr>
                <w:rFonts w:hint="eastAsia" w:ascii="宋体" w:hAnsi="宋体" w:cs="宋体"/>
                <w:b/>
                <w:color w:val="auto"/>
                <w:szCs w:val="21"/>
                <w:highlight w:val="none"/>
              </w:rPr>
              <w:t>三、其他要求</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.本项目具体采购数量及明细以实际为准，配送服务商不得以任何理由要求招标人多采购、少采购或者不采购。</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2.如遇国家重大政策调整，影响采购合同执行的情况，合同自动解约。</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3.如遇中选集采品种在国家医疗保障信息平台药品和耗材招标管理子系统有指定的配送服务商，则按照厂家意愿选择其指定配送服务商，中标人不得有异议。</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4.承诺执行国家卫生健康委、国家医保局、国家中医药局制定的《医疗机构工作人员廉洁从业九项准则》，助推清廉医院建设。</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5.配送服务商需配合医院发展需求，配合实施药品“零库存”管理，接受医院的药品SPD库房模式，否则终止合作。</w:t>
            </w:r>
          </w:p>
          <w:p>
            <w:pPr>
              <w:pStyle w:val="7"/>
              <w:spacing w:line="360" w:lineRule="auto"/>
              <w:rPr>
                <w:rFonts w:hint="eastAsia" w:ascii="宋体" w:hAnsi="宋体" w:cs="宋体"/>
                <w:b/>
                <w:color w:val="auto"/>
                <w:spacing w:val="0"/>
                <w:sz w:val="21"/>
                <w:szCs w:val="21"/>
                <w:highlight w:val="none"/>
              </w:rPr>
            </w:pPr>
            <w:r>
              <w:rPr>
                <w:rFonts w:hint="eastAsia" w:ascii="宋体" w:hAnsi="宋体" w:cs="宋体"/>
                <w:b/>
                <w:color w:val="auto"/>
                <w:spacing w:val="0"/>
                <w:sz w:val="21"/>
                <w:szCs w:val="21"/>
                <w:highlight w:val="none"/>
              </w:rPr>
              <w:t>四、违约情况及处置</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1.《企业法人营业执照》、《药品经营许可证》等资质证照被主管（执法）部门暂扣或吊销的，不得继续配送药品，取消其配送资格，解除合同。</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2.在药品集中采购中违规违纪违法，被省（自治区、直辖市）或同属部门禁止其参加广西区药品集中采购的，立即停止该企业的药品配送资格。</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3.配送服务商所配送的药品因质量不符合有关规定而造成相关后果的，按相关法律规定处理。如由此引发的纠纷,招标人有权要求配送服务商承担由此造成的采购人损失。</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4.未能按合同规定将药品足量按时送达招标人指定地点,影响招标人患者的临床药物治疗的, 招标人有权临时从其他中标配送服务商采购缺货药品。若配送服务商配送的某种药品缺货超过1个月,或者某种药品一年内出现3次缺货时间超过7天的情况, 招标人有权取消该配送服务商对这种药品合同期内的配送权，特殊情况除外。</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5.利用职务之便，诱导医务人员违反廉洁从业“九项准则”，经查实，除按相关规定处理外，终止合作。</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6.提供任何虚假资料，利用医院药品配送信息谋取利益，或未经医院许可，擅自公布和泄露医院或患者信息，经查实，除按相关规定处理外，终止合作。</w:t>
            </w:r>
          </w:p>
          <w:p>
            <w:pPr>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7.对特殊配送要求药品未按要求配送且隐瞒不报，经查实，除按相关规定处理，连续2次，则终止合作。</w:t>
            </w:r>
          </w:p>
          <w:p>
            <w:pPr>
              <w:spacing w:line="360" w:lineRule="auto"/>
              <w:ind w:firstLine="210" w:firstLineChars="10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68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left"/>
              <w:rPr>
                <w:rFonts w:hint="eastAsia" w:ascii="宋体" w:hAnsi="宋体" w:cs="宋体"/>
                <w:b/>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质保期</w:t>
            </w:r>
          </w:p>
        </w:tc>
        <w:tc>
          <w:tcPr>
            <w:tcW w:w="75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left"/>
              <w:rPr>
                <w:rFonts w:hint="eastAsia" w:ascii="宋体" w:hAnsi="宋体" w:cs="宋体"/>
                <w:color w:val="auto"/>
                <w:szCs w:val="21"/>
                <w:highlight w:val="none"/>
              </w:rPr>
            </w:pPr>
            <w:r>
              <w:rPr>
                <w:rFonts w:hint="eastAsia" w:ascii="宋体" w:hAnsi="宋体" w:cs="宋体"/>
                <w:color w:val="auto"/>
                <w:szCs w:val="21"/>
                <w:highlight w:val="none"/>
              </w:rPr>
              <w:t>药品送至招标人时，药品</w:t>
            </w:r>
            <w:r>
              <w:rPr>
                <w:rFonts w:hint="eastAsia" w:ascii="宋体" w:hAnsi="宋体" w:cs="宋体"/>
                <w:bCs/>
                <w:color w:val="auto"/>
                <w:szCs w:val="21"/>
                <w:highlight w:val="none"/>
              </w:rPr>
              <w:t>剩余有效期不得少于整个药品有效期的70%</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交货时间及地点</w:t>
            </w:r>
          </w:p>
        </w:tc>
        <w:tc>
          <w:tcPr>
            <w:tcW w:w="75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left"/>
              <w:rPr>
                <w:rFonts w:hint="eastAsia" w:ascii="宋体" w:hAnsi="宋体" w:cs="宋体"/>
                <w:color w:val="auto"/>
                <w:szCs w:val="21"/>
                <w:highlight w:val="none"/>
              </w:rPr>
            </w:pPr>
            <w:r>
              <w:rPr>
                <w:rFonts w:hint="eastAsia" w:ascii="宋体" w:hAnsi="宋体" w:cs="宋体"/>
                <w:color w:val="auto"/>
                <w:szCs w:val="21"/>
                <w:highlight w:val="none"/>
              </w:rPr>
              <w:t>按招标人指定的时间、地点交货。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付款条件</w:t>
            </w:r>
          </w:p>
        </w:tc>
        <w:tc>
          <w:tcPr>
            <w:tcW w:w="7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w:t>
            </w:r>
            <w:bookmarkStart w:id="2" w:name="_GoBack"/>
            <w:bookmarkEnd w:id="2"/>
            <w:r>
              <w:rPr>
                <w:rFonts w:hint="eastAsia" w:ascii="宋体" w:hAnsi="宋体" w:cs="宋体"/>
                <w:bCs/>
                <w:color w:val="auto"/>
                <w:szCs w:val="21"/>
                <w:highlight w:val="none"/>
              </w:rPr>
              <w:t>本项目无预付款，采取定期结算方式进行结算。</w:t>
            </w:r>
          </w:p>
          <w:p>
            <w:pPr>
              <w:autoSpaceDE w:val="0"/>
              <w:autoSpaceDN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2.中标人每月与采购人的药库进行上个月的对账，采购人结清每批次货款前，中标人必须提供对应金额的合法、有效发票给采购人。集中带量采购药品货款，按</w:t>
            </w:r>
            <w:r>
              <w:rPr>
                <w:rFonts w:hint="eastAsia" w:ascii="宋体" w:hAnsi="宋体" w:cs="宋体"/>
                <w:bCs/>
                <w:color w:val="auto"/>
                <w:szCs w:val="21"/>
                <w:highlight w:val="none"/>
                <w:lang w:eastAsia="zh-CN"/>
              </w:rPr>
              <w:t>政府规定的</w:t>
            </w:r>
            <w:r>
              <w:rPr>
                <w:rFonts w:hint="eastAsia" w:ascii="宋体" w:hAnsi="宋体" w:cs="宋体"/>
                <w:bCs/>
                <w:color w:val="auto"/>
                <w:szCs w:val="21"/>
                <w:highlight w:val="none"/>
              </w:rPr>
              <w:t>结算流程</w:t>
            </w:r>
            <w:r>
              <w:rPr>
                <w:rFonts w:hint="eastAsia" w:ascii="宋体" w:hAnsi="宋体" w:cs="宋体"/>
                <w:bCs/>
                <w:color w:val="auto"/>
                <w:szCs w:val="21"/>
                <w:highlight w:val="none"/>
                <w:lang w:eastAsia="zh-CN"/>
              </w:rPr>
              <w:t>进行</w:t>
            </w:r>
            <w:r>
              <w:rPr>
                <w:rFonts w:hint="eastAsia" w:ascii="宋体" w:hAnsi="宋体" w:cs="宋体"/>
                <w:bCs/>
                <w:color w:val="auto"/>
                <w:szCs w:val="21"/>
                <w:highlight w:val="none"/>
              </w:rPr>
              <w:t>。非集中带量采购药品货款，于确认收货后</w:t>
            </w:r>
            <w:r>
              <w:rPr>
                <w:rFonts w:hint="eastAsia" w:ascii="宋体" w:hAnsi="宋体" w:cs="宋体"/>
                <w:bCs/>
                <w:color w:val="auto"/>
                <w:szCs w:val="21"/>
                <w:highlight w:val="none"/>
                <w:lang w:val="en-US" w:eastAsia="zh-CN"/>
              </w:rPr>
              <w:t>12个月</w:t>
            </w:r>
            <w:r>
              <w:rPr>
                <w:rFonts w:hint="eastAsia" w:ascii="宋体" w:hAnsi="宋体" w:cs="宋体"/>
                <w:bCs/>
                <w:color w:val="auto"/>
                <w:szCs w:val="21"/>
                <w:highlight w:val="none"/>
              </w:rPr>
              <w:t>内结清。如遇特殊情况，经双方协商一致后延期付款。</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3.若政府新颁布或上级监管部门新颁布的，对有关药品采购结算政策法规或相关要求与合同内容有相矛盾的，则按新法律法规、政策文件对支付条款执行。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center"/>
              <w:rPr>
                <w:color w:val="auto"/>
                <w:szCs w:val="21"/>
                <w:highlight w:val="none"/>
              </w:rPr>
            </w:pPr>
            <w:r>
              <w:rPr>
                <w:rFonts w:hint="eastAsia"/>
                <w:color w:val="auto"/>
                <w:szCs w:val="21"/>
                <w:highlight w:val="none"/>
              </w:rPr>
              <w:t>保险</w:t>
            </w:r>
          </w:p>
        </w:tc>
        <w:tc>
          <w:tcPr>
            <w:tcW w:w="75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left"/>
              <w:rPr>
                <w:color w:val="auto"/>
                <w:szCs w:val="21"/>
                <w:highlight w:val="none"/>
              </w:rPr>
            </w:pPr>
            <w:r>
              <w:rPr>
                <w:rFonts w:hint="eastAsia"/>
                <w:color w:val="auto"/>
                <w:szCs w:val="21"/>
                <w:highlight w:val="none"/>
              </w:rPr>
              <w:t>投标人负责办理运输和保险，将药品送达招标人指定地点。与运输、保险相关的费用由投标人承担。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8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bCs/>
                <w:color w:val="auto"/>
                <w:szCs w:val="21"/>
                <w:highlight w:val="none"/>
              </w:rPr>
            </w:pPr>
            <w:r>
              <w:rPr>
                <w:rFonts w:hint="eastAsia" w:ascii="宋体" w:hAnsi="宋体" w:cs="宋体"/>
                <w:b/>
                <w:color w:val="auto"/>
                <w:szCs w:val="21"/>
                <w:highlight w:val="none"/>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5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本项目不收取</w:t>
            </w:r>
            <w:r>
              <w:rPr>
                <w:rFonts w:hint="eastAsia" w:ascii="宋体" w:hAnsi="宋体" w:cs="宋体"/>
                <w:color w:val="auto"/>
                <w:szCs w:val="21"/>
                <w:highlight w:val="none"/>
              </w:rPr>
              <w:t>履约保证金</w:t>
            </w:r>
          </w:p>
        </w:tc>
      </w:tr>
      <w:bookmarkEnd w:id="1"/>
    </w:tbl>
    <w:p>
      <w:pPr>
        <w:spacing w:line="360" w:lineRule="exact"/>
        <w:rPr>
          <w:rFonts w:hint="eastAsia" w:ascii="宋体" w:hAnsi="宋体" w:cs="宋体"/>
          <w:b/>
          <w:bCs/>
          <w:color w:val="auto"/>
          <w:szCs w:val="21"/>
          <w:highlight w:val="none"/>
        </w:rPr>
      </w:pPr>
    </w:p>
    <w:p>
      <w:pPr>
        <w:spacing w:line="360" w:lineRule="exact"/>
        <w:jc w:val="center"/>
        <w:rPr>
          <w:rFonts w:hint="eastAsia" w:ascii="宋体" w:hAnsi="宋体"/>
          <w:b/>
          <w:bCs/>
          <w:color w:val="auto"/>
          <w:sz w:val="22"/>
          <w:szCs w:val="22"/>
          <w:highlight w:val="none"/>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7222C"/>
    <w:multiLevelType w:val="singleLevel"/>
    <w:tmpl w:val="1E0722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Njg3MzFlZTM0MjM5YjliNGVhMzkzMjYxMGQwYWQifQ=="/>
  </w:docVars>
  <w:rsids>
    <w:rsidRoot w:val="00000000"/>
    <w:rsid w:val="27030494"/>
    <w:rsid w:val="2F923A19"/>
    <w:rsid w:val="40881FDD"/>
    <w:rsid w:val="42104A57"/>
    <w:rsid w:val="42481BDA"/>
    <w:rsid w:val="499B6895"/>
    <w:rsid w:val="69C72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表格文字"/>
    <w:basedOn w:val="1"/>
    <w:qFormat/>
    <w:uiPriority w:val="0"/>
    <w:pPr>
      <w:spacing w:before="25" w:after="25"/>
      <w:jc w:val="left"/>
    </w:pPr>
    <w:rPr>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3340</Words>
  <Characters>3394</Characters>
  <Lines>0</Lines>
  <Paragraphs>0</Paragraphs>
  <TotalTime>42</TotalTime>
  <ScaleCrop>false</ScaleCrop>
  <LinksUpToDate>false</LinksUpToDate>
  <CharactersWithSpaces>3396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LGYY-USER</dc:creator>
  <cp:lastModifiedBy>LGYY-USER</cp:lastModifiedBy>
  <cp:lastPrinted>2025-10-28T09:28:22Z</cp:lastPrinted>
  <dcterms:modified xsi:type="dcterms:W3CDTF">2025-10-28T11:51:03Z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A8F1753F526241B8A852B38A0C921855</vt:lpwstr>
  </property>
</Properties>
</file>