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D7EE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sz w:val="32"/>
          <w:szCs w:val="32"/>
        </w:rPr>
      </w:pPr>
      <w:r>
        <w:rPr>
          <w:rFonts w:hint="eastAsia" w:ascii="黑体" w:hAnsi="黑体" w:eastAsia="黑体" w:cs="黑体"/>
          <w:b/>
          <w:sz w:val="32"/>
          <w:szCs w:val="32"/>
        </w:rPr>
        <w:t>柳州市工人医院</w:t>
      </w:r>
      <w:r>
        <w:rPr>
          <w:rFonts w:hint="eastAsia" w:ascii="黑体" w:hAnsi="黑体" w:eastAsia="黑体" w:cs="黑体"/>
          <w:b/>
          <w:sz w:val="32"/>
          <w:szCs w:val="32"/>
          <w:lang w:val="en-US" w:eastAsia="zh-CN"/>
        </w:rPr>
        <w:t>微院史馆</w:t>
      </w:r>
      <w:r>
        <w:rPr>
          <w:rFonts w:hint="eastAsia" w:ascii="黑体" w:hAnsi="黑体" w:eastAsia="黑体" w:cs="黑体"/>
          <w:b/>
          <w:sz w:val="32"/>
          <w:szCs w:val="32"/>
        </w:rPr>
        <w:t>采购制作安装项目需求</w:t>
      </w:r>
    </w:p>
    <w:p w14:paraId="0BECECA0"/>
    <w:p w14:paraId="185C92F5">
      <w:pPr>
        <w:spacing w:line="500" w:lineRule="exact"/>
        <w:rPr>
          <w:rFonts w:ascii="仿宋" w:hAnsi="仿宋" w:eastAsia="仿宋" w:cs="仿宋"/>
          <w:b/>
          <w:bCs/>
          <w:sz w:val="28"/>
          <w:szCs w:val="28"/>
        </w:rPr>
      </w:pPr>
      <w:r>
        <w:rPr>
          <w:rFonts w:hint="eastAsia" w:ascii="仿宋" w:hAnsi="仿宋" w:eastAsia="仿宋" w:cs="仿宋"/>
          <w:b/>
          <w:bCs/>
          <w:sz w:val="28"/>
          <w:szCs w:val="28"/>
        </w:rPr>
        <w:t>一、项目名称</w:t>
      </w:r>
    </w:p>
    <w:p w14:paraId="77DEE77B">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宋体"/>
          <w:b w:val="0"/>
          <w:bCs w:val="0"/>
          <w:sz w:val="28"/>
          <w:szCs w:val="28"/>
          <w:highlight w:val="none"/>
          <w:lang w:val="en-US" w:eastAsia="zh-CN"/>
        </w:rPr>
        <w:t>柳州市工人医院微院史馆采购制作安装项目</w:t>
      </w:r>
      <w:r>
        <w:rPr>
          <w:rFonts w:hint="eastAsia" w:ascii="仿宋" w:hAnsi="仿宋" w:eastAsia="仿宋" w:cs="仿宋"/>
          <w:sz w:val="28"/>
          <w:szCs w:val="28"/>
        </w:rPr>
        <w:t>。</w:t>
      </w:r>
    </w:p>
    <w:p w14:paraId="54041D0C">
      <w:pPr>
        <w:spacing w:line="500" w:lineRule="exact"/>
        <w:rPr>
          <w:rFonts w:ascii="仿宋" w:hAnsi="仿宋" w:eastAsia="仿宋" w:cs="仿宋"/>
          <w:b/>
          <w:bCs/>
          <w:sz w:val="28"/>
          <w:szCs w:val="28"/>
        </w:rPr>
      </w:pPr>
      <w:r>
        <w:rPr>
          <w:rFonts w:hint="eastAsia" w:ascii="仿宋" w:hAnsi="仿宋" w:eastAsia="仿宋" w:cs="仿宋"/>
          <w:b/>
          <w:bCs/>
          <w:sz w:val="28"/>
          <w:szCs w:val="28"/>
        </w:rPr>
        <w:t>二、项目概况</w:t>
      </w:r>
    </w:p>
    <w:p w14:paraId="57CB82FA">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为传承优良院风，做好医院文化提升工作，打造系统化、可视化的文化载体，现申请</w:t>
      </w:r>
      <w:r>
        <w:rPr>
          <w:rFonts w:hint="eastAsia" w:ascii="仿宋" w:hAnsi="仿宋" w:eastAsia="仿宋" w:cs="仿宋"/>
          <w:sz w:val="28"/>
          <w:szCs w:val="28"/>
          <w:lang w:val="en-US" w:eastAsia="zh-CN"/>
        </w:rPr>
        <w:t>将</w:t>
      </w:r>
      <w:r>
        <w:rPr>
          <w:rFonts w:hint="eastAsia" w:ascii="仿宋" w:hAnsi="仿宋" w:eastAsia="仿宋" w:cs="仿宋"/>
          <w:sz w:val="28"/>
          <w:szCs w:val="28"/>
          <w:lang w:eastAsia="zh-CN"/>
        </w:rPr>
        <w:t>总院门诊大厅二楼左侧走廊处（总院医疗美容科门诊前方走廊处）</w:t>
      </w:r>
      <w:r>
        <w:rPr>
          <w:rFonts w:hint="eastAsia" w:ascii="仿宋" w:hAnsi="仿宋" w:eastAsia="仿宋" w:cs="仿宋"/>
          <w:sz w:val="28"/>
          <w:szCs w:val="28"/>
          <w:lang w:val="en-US" w:eastAsia="zh-CN"/>
        </w:rPr>
        <w:t>设计为</w:t>
      </w:r>
      <w:r>
        <w:rPr>
          <w:rFonts w:hint="eastAsia" w:ascii="仿宋" w:hAnsi="仿宋" w:eastAsia="仿宋" w:cs="仿宋"/>
          <w:sz w:val="28"/>
          <w:szCs w:val="28"/>
          <w:lang w:eastAsia="zh-CN"/>
        </w:rPr>
        <w:t>柳州市工人医院微院史馆，</w:t>
      </w:r>
      <w:r>
        <w:rPr>
          <w:rFonts w:hint="eastAsia" w:ascii="仿宋" w:hAnsi="仿宋" w:eastAsia="仿宋" w:cs="仿宋"/>
          <w:sz w:val="28"/>
          <w:szCs w:val="28"/>
          <w:lang w:val="en-US" w:eastAsia="zh-CN"/>
        </w:rPr>
        <w:t>于微院史馆</w:t>
      </w:r>
      <w:r>
        <w:rPr>
          <w:rFonts w:hint="eastAsia" w:ascii="仿宋" w:hAnsi="仿宋" w:eastAsia="仿宋" w:cs="仿宋"/>
          <w:sz w:val="28"/>
          <w:szCs w:val="28"/>
          <w:lang w:eastAsia="zh-CN"/>
        </w:rPr>
        <w:t>内制作</w:t>
      </w:r>
      <w:r>
        <w:rPr>
          <w:rFonts w:hint="eastAsia" w:ascii="仿宋" w:hAnsi="仿宋" w:eastAsia="仿宋" w:cs="仿宋"/>
          <w:sz w:val="28"/>
          <w:szCs w:val="28"/>
          <w:lang w:val="en-US" w:eastAsia="zh-CN"/>
        </w:rPr>
        <w:t>安装</w:t>
      </w:r>
      <w:r>
        <w:rPr>
          <w:rFonts w:hint="eastAsia" w:ascii="仿宋" w:hAnsi="仿宋" w:eastAsia="仿宋" w:cs="仿宋"/>
          <w:sz w:val="28"/>
          <w:szCs w:val="28"/>
          <w:lang w:eastAsia="zh-CN"/>
        </w:rPr>
        <w:t>医院四个院区沙盘微雕</w:t>
      </w:r>
      <w:r>
        <w:rPr>
          <w:rFonts w:hint="eastAsia" w:ascii="仿宋" w:hAnsi="仿宋" w:eastAsia="仿宋" w:cs="仿宋"/>
          <w:sz w:val="28"/>
          <w:szCs w:val="28"/>
          <w:lang w:val="en-US" w:eastAsia="zh-CN"/>
        </w:rPr>
        <w:t>及底座</w:t>
      </w:r>
      <w:r>
        <w:rPr>
          <w:rFonts w:hint="eastAsia" w:ascii="仿宋" w:hAnsi="仿宋" w:eastAsia="仿宋" w:cs="仿宋"/>
          <w:sz w:val="28"/>
          <w:szCs w:val="28"/>
          <w:lang w:eastAsia="zh-CN"/>
        </w:rPr>
        <w:t>、电子屏、</w:t>
      </w:r>
      <w:r>
        <w:rPr>
          <w:rFonts w:hint="eastAsia" w:ascii="仿宋" w:hAnsi="仿宋" w:eastAsia="仿宋" w:cs="仿宋"/>
          <w:sz w:val="28"/>
          <w:szCs w:val="28"/>
          <w:lang w:val="en-US" w:eastAsia="zh-CN"/>
        </w:rPr>
        <w:t>发光牌</w:t>
      </w:r>
      <w:r>
        <w:rPr>
          <w:rFonts w:hint="eastAsia" w:ascii="仿宋" w:hAnsi="仿宋" w:eastAsia="仿宋" w:cs="仿宋"/>
          <w:sz w:val="28"/>
          <w:szCs w:val="28"/>
          <w:lang w:eastAsia="zh-CN"/>
        </w:rPr>
        <w:t>等，</w:t>
      </w:r>
      <w:r>
        <w:rPr>
          <w:rFonts w:hint="eastAsia" w:ascii="仿宋" w:hAnsi="仿宋" w:eastAsia="仿宋" w:cs="仿宋"/>
          <w:sz w:val="28"/>
          <w:szCs w:val="28"/>
          <w:lang w:val="en-US" w:eastAsia="zh-CN"/>
        </w:rPr>
        <w:t>将院史风采</w:t>
      </w:r>
      <w:r>
        <w:rPr>
          <w:rFonts w:hint="eastAsia" w:ascii="仿宋" w:hAnsi="仿宋" w:eastAsia="仿宋" w:cs="仿宋"/>
          <w:sz w:val="28"/>
          <w:szCs w:val="28"/>
          <w:lang w:eastAsia="zh-CN"/>
        </w:rPr>
        <w:t>进行具体呈现。</w:t>
      </w:r>
    </w:p>
    <w:p w14:paraId="6C915C9C">
      <w:pPr>
        <w:spacing w:line="500" w:lineRule="exact"/>
        <w:rPr>
          <w:rFonts w:ascii="仿宋" w:hAnsi="仿宋" w:eastAsia="仿宋" w:cs="仿宋"/>
          <w:b/>
          <w:bCs/>
          <w:sz w:val="28"/>
          <w:szCs w:val="28"/>
        </w:rPr>
      </w:pPr>
      <w:r>
        <w:rPr>
          <w:rFonts w:hint="eastAsia" w:ascii="仿宋" w:hAnsi="仿宋" w:eastAsia="仿宋" w:cs="仿宋"/>
          <w:b/>
          <w:bCs/>
          <w:sz w:val="28"/>
          <w:szCs w:val="28"/>
        </w:rPr>
        <w:t>三、投标人/供应商资格条件</w:t>
      </w:r>
    </w:p>
    <w:p w14:paraId="40A11F8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1、投标人需为国内注册（指按国家有关规定要求注册的），具备法人资格；</w:t>
      </w:r>
    </w:p>
    <w:p w14:paraId="334A56B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2、参与单位三年内在经营活动中没有重大违法记录和不良信用记录；</w:t>
      </w:r>
    </w:p>
    <w:p w14:paraId="09A3958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3、参与单位有效的“营业执照”副本复印件；</w:t>
      </w:r>
    </w:p>
    <w:p w14:paraId="72E22A8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4、由国家质量技术监督局颁发的中华人民共和国组织机构代码证复印件（三证合一除外）和法定代表人身份证明复印件； </w:t>
      </w:r>
    </w:p>
    <w:p w14:paraId="461357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5、参与单位有效的“税务登记证”副本复印件（国税或地税，三证合一除外）；</w:t>
      </w:r>
    </w:p>
    <w:p w14:paraId="0BE94D9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四、项目内容</w:t>
      </w:r>
    </w:p>
    <w:p w14:paraId="760A67D5">
      <w:pPr>
        <w:spacing w:line="50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主要项目清单</w:t>
      </w:r>
    </w:p>
    <w:tbl>
      <w:tblPr>
        <w:tblStyle w:val="9"/>
        <w:tblW w:w="5698" w:type="pct"/>
        <w:jc w:val="center"/>
        <w:tblLayout w:type="fixed"/>
        <w:tblCellMar>
          <w:top w:w="0" w:type="dxa"/>
          <w:left w:w="0" w:type="dxa"/>
          <w:bottom w:w="0" w:type="dxa"/>
          <w:right w:w="0" w:type="dxa"/>
        </w:tblCellMar>
      </w:tblPr>
      <w:tblGrid>
        <w:gridCol w:w="312"/>
        <w:gridCol w:w="1096"/>
        <w:gridCol w:w="5040"/>
        <w:gridCol w:w="610"/>
        <w:gridCol w:w="1120"/>
        <w:gridCol w:w="410"/>
        <w:gridCol w:w="420"/>
        <w:gridCol w:w="660"/>
        <w:gridCol w:w="706"/>
      </w:tblGrid>
      <w:tr w14:paraId="52597B3F">
        <w:tblPrEx>
          <w:tblCellMar>
            <w:top w:w="0" w:type="dxa"/>
            <w:left w:w="0" w:type="dxa"/>
            <w:bottom w:w="0" w:type="dxa"/>
            <w:right w:w="0" w:type="dxa"/>
          </w:tblCellMar>
        </w:tblPrEx>
        <w:trPr>
          <w:trHeight w:val="135"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98C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0C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产品名称</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FA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工艺、材质、参数要求</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2AD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比例</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5C1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规格型号</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D5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13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C7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单价</w:t>
            </w: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A0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金额</w:t>
            </w:r>
          </w:p>
        </w:tc>
      </w:tr>
      <w:tr w14:paraId="76987C45">
        <w:tblPrEx>
          <w:tblCellMar>
            <w:top w:w="0" w:type="dxa"/>
            <w:left w:w="0" w:type="dxa"/>
            <w:bottom w:w="0" w:type="dxa"/>
            <w:right w:w="0" w:type="dxa"/>
          </w:tblCellMar>
        </w:tblPrEx>
        <w:trPr>
          <w:trHeight w:val="511"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3B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A8BF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院史馆发光牌</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F211E">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底板钣金烤漆+正面迷你字背发光+logo发光字</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B15C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bCs w:val="0"/>
                <w:i w:val="0"/>
                <w:color w:val="000000"/>
                <w:sz w:val="21"/>
                <w:szCs w:val="21"/>
                <w:u w:val="none"/>
                <w:lang w:val="en-US" w:eastAsia="zh-CN"/>
              </w:rPr>
            </w:pPr>
            <w:r>
              <w:rPr>
                <w:rFonts w:hint="eastAsia" w:ascii="仿宋" w:hAnsi="仿宋" w:eastAsia="仿宋" w:cs="仿宋"/>
                <w:b w:val="0"/>
                <w:bCs w:val="0"/>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0690E">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450*1200mm</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F17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bCs w:val="0"/>
                <w:i w:val="0"/>
                <w:color w:val="000000"/>
                <w:sz w:val="21"/>
                <w:szCs w:val="21"/>
                <w:u w:val="none"/>
                <w:lang w:val="en-US" w:eastAsia="zh-CN"/>
              </w:rPr>
            </w:pPr>
            <w:r>
              <w:rPr>
                <w:rFonts w:hint="eastAsia" w:ascii="仿宋" w:hAnsi="仿宋" w:eastAsia="仿宋" w:cs="仿宋"/>
                <w:b w:val="0"/>
                <w:bCs w:val="0"/>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8200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块</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E87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B4E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4F23EB44">
        <w:tblPrEx>
          <w:tblCellMar>
            <w:top w:w="0" w:type="dxa"/>
            <w:left w:w="0" w:type="dxa"/>
            <w:bottom w:w="0" w:type="dxa"/>
            <w:right w:w="0" w:type="dxa"/>
          </w:tblCellMar>
        </w:tblPrEx>
        <w:trPr>
          <w:trHeight w:val="815"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86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0ED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总院模型+异形底座</w:t>
            </w:r>
          </w:p>
        </w:tc>
        <w:tc>
          <w:tcPr>
            <w:tcW w:w="242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BC49989">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技术概述</w:t>
            </w:r>
          </w:p>
          <w:p w14:paraId="65627FF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1）.沙盘实景展示柳州工人医院的4个院区，需从质量上充分考虑沙盘使用的耐久性，需保持长时间不变形、不开胶，易于清理维护。</w:t>
            </w:r>
          </w:p>
          <w:p w14:paraId="72AAE48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2).在颜色及精确度上基本需满足展示需求，还原各院区的整体面貌，需色彩逼真。</w:t>
            </w:r>
          </w:p>
          <w:p w14:paraId="4B2584D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3）.建筑制作：材料采用ABS工程塑料、亚克力及光敏树脂。严格按设计图纸制作，电脑雕刻和3D打印工艺相结合，从形体与尺寸、用材与质感、色彩与光影、空间与视角等方面完整地表现出建筑的外观，能真实反映建筑的细部及形态。</w:t>
            </w:r>
          </w:p>
          <w:p w14:paraId="10BC01F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4）.景观制作：使用行业当前最先进的模型材料。严格按实景制作。</w:t>
            </w:r>
          </w:p>
          <w:p w14:paraId="2CB1201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5）.底座及防尘罩制作：底座采用高密度板和多层板制作，白色烤漆，哑光效果，包括底座上的LOGO和字的制作，底部安装灯光；防尘罩采用8厘钢化玻璃。</w:t>
            </w:r>
          </w:p>
          <w:p w14:paraId="6B2D219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6）.上色需采用环保水性漆及达到环保要求，保证进场安装时安全环保。</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A3F6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1:700</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6D33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1252.5*650*950mm</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DD3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0193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组</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6C6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612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7917309A">
        <w:tblPrEx>
          <w:tblCellMar>
            <w:top w:w="0" w:type="dxa"/>
            <w:left w:w="0" w:type="dxa"/>
            <w:bottom w:w="0" w:type="dxa"/>
            <w:right w:w="0" w:type="dxa"/>
          </w:tblCellMar>
        </w:tblPrEx>
        <w:trPr>
          <w:trHeight w:val="700"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95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AC2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西院模型+异形底座</w:t>
            </w:r>
          </w:p>
        </w:tc>
        <w:tc>
          <w:tcPr>
            <w:tcW w:w="2429" w:type="pct"/>
            <w:vMerge w:val="continue"/>
            <w:tcBorders>
              <w:left w:val="single" w:color="000000" w:sz="4" w:space="0"/>
              <w:right w:val="single" w:color="000000" w:sz="4" w:space="0"/>
            </w:tcBorders>
            <w:noWrap/>
            <w:tcMar>
              <w:top w:w="15" w:type="dxa"/>
              <w:left w:w="15" w:type="dxa"/>
              <w:right w:w="15" w:type="dxa"/>
            </w:tcMar>
            <w:vAlign w:val="center"/>
          </w:tcPr>
          <w:p w14:paraId="453BCB1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C54F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1:450</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F3D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1252.5*650*950mm</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7D6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65F5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组</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9D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FB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67125809">
        <w:tblPrEx>
          <w:tblCellMar>
            <w:top w:w="0" w:type="dxa"/>
            <w:left w:w="0" w:type="dxa"/>
            <w:bottom w:w="0" w:type="dxa"/>
            <w:right w:w="0" w:type="dxa"/>
          </w:tblCellMar>
        </w:tblPrEx>
        <w:trPr>
          <w:trHeight w:val="1134"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1D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9416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南院模型+异形底座</w:t>
            </w:r>
          </w:p>
        </w:tc>
        <w:tc>
          <w:tcPr>
            <w:tcW w:w="2429" w:type="pct"/>
            <w:vMerge w:val="continue"/>
            <w:tcBorders>
              <w:left w:val="single" w:color="000000" w:sz="4" w:space="0"/>
              <w:right w:val="single" w:color="000000" w:sz="4" w:space="0"/>
            </w:tcBorders>
            <w:noWrap/>
            <w:tcMar>
              <w:top w:w="15" w:type="dxa"/>
              <w:left w:w="15" w:type="dxa"/>
              <w:right w:w="15" w:type="dxa"/>
            </w:tcMar>
            <w:vAlign w:val="center"/>
          </w:tcPr>
          <w:p w14:paraId="594848C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B51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1:310</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5952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1252.5*650*950</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F19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8FCE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组</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E78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D5B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781D447A">
        <w:tblPrEx>
          <w:tblCellMar>
            <w:top w:w="0" w:type="dxa"/>
            <w:left w:w="0" w:type="dxa"/>
            <w:bottom w:w="0" w:type="dxa"/>
            <w:right w:w="0" w:type="dxa"/>
          </w:tblCellMar>
        </w:tblPrEx>
        <w:trPr>
          <w:trHeight w:val="243"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A1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F8E0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鱼峰山院区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模型+底座</w:t>
            </w:r>
          </w:p>
        </w:tc>
        <w:tc>
          <w:tcPr>
            <w:tcW w:w="242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0EC6F4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CD72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1:450</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C234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1252.5*650*950</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00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8DD1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组</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9C5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AF7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209CBD49">
        <w:tblPrEx>
          <w:tblCellMar>
            <w:top w:w="0" w:type="dxa"/>
            <w:left w:w="0" w:type="dxa"/>
            <w:bottom w:w="0" w:type="dxa"/>
            <w:right w:w="0" w:type="dxa"/>
          </w:tblCellMar>
        </w:tblPrEx>
        <w:trPr>
          <w:trHeight w:val="275"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48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A18F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油画布</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C29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油画布UV</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C12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7994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3600*600</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EB1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13C2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2A8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B1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0EA4857E">
        <w:tblPrEx>
          <w:tblCellMar>
            <w:top w:w="0" w:type="dxa"/>
            <w:left w:w="0" w:type="dxa"/>
            <w:bottom w:w="0" w:type="dxa"/>
            <w:right w:w="0" w:type="dxa"/>
          </w:tblCellMar>
        </w:tblPrEx>
        <w:trPr>
          <w:trHeight w:val="379"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C2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31BD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一体机底座</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0639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木质，白色烤漆，2个，包含LOGO、字、灯光</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9D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254B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1990*1000*800</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AAA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13F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8F4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FF4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7CC60D8A">
        <w:tblPrEx>
          <w:tblCellMar>
            <w:top w:w="0" w:type="dxa"/>
            <w:left w:w="0" w:type="dxa"/>
            <w:bottom w:w="0" w:type="dxa"/>
            <w:right w:w="0" w:type="dxa"/>
          </w:tblCellMar>
        </w:tblPrEx>
        <w:trPr>
          <w:trHeight w:val="605"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F9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C641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海康威视触摸一体机</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152B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65寸二代壁挂红外触控信息发布屏</w:t>
            </w:r>
          </w:p>
          <w:p w14:paraId="76DD5DFC">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金属质感外观：纤薄机身，一体化设计，前置高透光钢化玻璃防护。</w:t>
            </w:r>
          </w:p>
          <w:p w14:paraId="303228C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画面细腻生动：采用工业级A+面板，自动彩色及图像增加引擎，显示效果出众。</w:t>
            </w:r>
          </w:p>
          <w:p w14:paraId="187E88A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素材类型多样：包括图片、音频、视频、滚动字幕、PDF文档、网页、实时监控画面、叫号、弹图等。</w:t>
            </w:r>
          </w:p>
          <w:p w14:paraId="6116E346">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节目编排灵活：支持多种素材自由排版、分区显示； 支持多种播放方式，按日、按周、轮播、自定义等。</w:t>
            </w:r>
          </w:p>
          <w:p w14:paraId="074E4FB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终端集中管理：支持终端统一远程管理和控制，定时开关机设置、一键开关机、显示亮度/音量定时调节、播放画面截图预览等；支持网络远程下发节目和无网络本地（U盘）节目更新。</w:t>
            </w:r>
          </w:p>
          <w:p w14:paraId="684EDBE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分级管理权限：支持5级组织管理素材、节目、终端、用户等资源；支持创建自定义用户，精确分配多种用户的权限，多种权限模板可选。</w:t>
            </w:r>
          </w:p>
          <w:p w14:paraId="292D5FE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多重安全保障：素材、节目、日程三级审核，防误播误报，终端屏保密码功能，保障系统播出内容安全；数据存储、数据传输加密，防数据篡改； 客户自行激活设置初始密码，保障密码安全。</w:t>
            </w:r>
          </w:p>
          <w:p w14:paraId="5FDDD36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p>
          <w:p w14:paraId="2D05769E">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显示尺寸：75 inch，物理分辨率：3840 × 2160</w:t>
            </w:r>
          </w:p>
          <w:p w14:paraId="39009894">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背光源类型：D-LED，显示比例：16: 9</w:t>
            </w:r>
          </w:p>
          <w:p w14:paraId="7DB6C04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屏前亮度：280-300 cd/㎡，对比度：5000:1</w:t>
            </w:r>
          </w:p>
          <w:p w14:paraId="28A9A43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刷新率：60 Hz，响应时间：≤8 ms</w:t>
            </w:r>
          </w:p>
          <w:p w14:paraId="1C50AFA1">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色域：68% NTSC，色深度：8 Bit (16.7million)</w:t>
            </w:r>
          </w:p>
          <w:p w14:paraId="2DF3BE0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 xml:space="preserve">可视角：178°(H)/178°(V)连续使用时间：7 × 16 h </w:t>
            </w:r>
          </w:p>
          <w:p w14:paraId="38C165C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CPU：Cortex-A17 4核 主频最高达 1.8GHz</w:t>
            </w:r>
          </w:p>
          <w:p w14:paraId="12BA2C7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内存：2 GB，内置存储：16 GB EMMC</w:t>
            </w:r>
          </w:p>
          <w:p w14:paraId="28A5DB7A">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 xml:space="preserve">操作系统：Android 7.1 ，触控点：红外触摸10点 </w:t>
            </w:r>
          </w:p>
          <w:p w14:paraId="4786B333">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音视频输入接口：HDMI IN × 1最大支持1080P数据传输，音视频输出接口：LINE OUT支持</w:t>
            </w:r>
          </w:p>
          <w:p w14:paraId="034FF55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网络接口：支持 10/100M 自适应以太网 ,内置 WiFi，支持热点分享,支持蓝牙 4.0,内置 PCI-E 接口 选配 3G/4G模块上网</w:t>
            </w:r>
          </w:p>
          <w:p w14:paraId="7DF2974D">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 xml:space="preserve">数据传输接口：USB 2.0 × 2, TF Card × 1 ,SIM × 1，喇叭：8Ω10W× 2 </w:t>
            </w:r>
          </w:p>
          <w:p w14:paraId="44CF6028">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 xml:space="preserve">输入电压：AC100V ~240V,50/60Hz功耗：≤250 W </w:t>
            </w:r>
          </w:p>
          <w:p w14:paraId="6300142B">
            <w:pPr>
              <w:keepNext w:val="0"/>
              <w:keepLines w:val="0"/>
              <w:widowControl/>
              <w:suppressLineNumbers w:val="0"/>
              <w:jc w:val="both"/>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工作温度：0-45℃，工作湿度：10-80%RH</w:t>
            </w:r>
          </w:p>
          <w:p w14:paraId="7A1BB78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存储温度：-20~60 ℃ ，安装类型：壁挂（横竖挂）</w:t>
            </w:r>
          </w:p>
          <w:p w14:paraId="00D8DFD7">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产品尺寸：1723mmx117mmx1001.7mm含壁挂架</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05D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F68E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65寸</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9D6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A848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8FA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FF7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3E0CA4E4">
        <w:tblPrEx>
          <w:tblCellMar>
            <w:top w:w="0" w:type="dxa"/>
            <w:left w:w="0" w:type="dxa"/>
            <w:bottom w:w="0" w:type="dxa"/>
            <w:right w:w="0" w:type="dxa"/>
          </w:tblCellMar>
        </w:tblPrEx>
        <w:trPr>
          <w:trHeight w:val="90"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279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E6D9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油画布</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25BC3">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油画布UV</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411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641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6000*600</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C2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1F4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AA4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0F8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2B0B96BA">
        <w:tblPrEx>
          <w:tblCellMar>
            <w:top w:w="0" w:type="dxa"/>
            <w:left w:w="0" w:type="dxa"/>
            <w:bottom w:w="0" w:type="dxa"/>
            <w:right w:w="0" w:type="dxa"/>
          </w:tblCellMar>
        </w:tblPrEx>
        <w:trPr>
          <w:trHeight w:val="90"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E88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356A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迷你服务器</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272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极摩客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G3PLUS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CPU型号：intel Twin Lake N150   内存：8G     (RRD4)                                  </w:t>
            </w:r>
          </w:p>
          <w:p w14:paraId="0E69B4A2">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硬盘：256G        (M.2)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USB接口数：4</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6C6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A47E6">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666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D58E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0C3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865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1BF98E64">
        <w:tblPrEx>
          <w:tblCellMar>
            <w:top w:w="0" w:type="dxa"/>
            <w:left w:w="0" w:type="dxa"/>
            <w:bottom w:w="0" w:type="dxa"/>
            <w:right w:w="0" w:type="dxa"/>
          </w:tblCellMar>
        </w:tblPrEx>
        <w:trPr>
          <w:trHeight w:val="169"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A5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1F84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视频制作</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CA91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图片、文字、配音视频制作3分钟左右</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76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80396">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AF9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F69F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项</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9CE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1AA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5E67FDDA">
        <w:tblPrEx>
          <w:tblCellMar>
            <w:top w:w="0" w:type="dxa"/>
            <w:left w:w="0" w:type="dxa"/>
            <w:bottom w:w="0" w:type="dxa"/>
            <w:right w:w="0" w:type="dxa"/>
          </w:tblCellMar>
        </w:tblPrEx>
        <w:trPr>
          <w:trHeight w:val="90" w:hRule="atLeast"/>
          <w:jc w:val="center"/>
        </w:trPr>
        <w:tc>
          <w:tcPr>
            <w:tcW w:w="1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C3C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8CBC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编程制作</w:t>
            </w:r>
          </w:p>
        </w:tc>
        <w:tc>
          <w:tcPr>
            <w:tcW w:w="2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06B6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根据内容进行界面设计，层级链接编程，包含PPT内容制作</w:t>
            </w:r>
          </w:p>
        </w:tc>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444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c>
          <w:tcPr>
            <w:tcW w:w="5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91FBB">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w:t>
            </w:r>
          </w:p>
        </w:tc>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76C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2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AF35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项</w:t>
            </w:r>
          </w:p>
        </w:tc>
        <w:tc>
          <w:tcPr>
            <w:tcW w:w="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B4F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779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r w14:paraId="1B525C62">
        <w:tblPrEx>
          <w:tblCellMar>
            <w:top w:w="0" w:type="dxa"/>
            <w:left w:w="0" w:type="dxa"/>
            <w:bottom w:w="0" w:type="dxa"/>
            <w:right w:w="0" w:type="dxa"/>
          </w:tblCellMar>
        </w:tblPrEx>
        <w:trPr>
          <w:trHeight w:val="707" w:hRule="atLeast"/>
          <w:jc w:val="center"/>
        </w:trPr>
        <w:tc>
          <w:tcPr>
            <w:tcW w:w="4341"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6F24E">
            <w:pPr>
              <w:keepNext w:val="0"/>
              <w:keepLines w:val="0"/>
              <w:widowControl/>
              <w:suppressLineNumbers w:val="0"/>
              <w:jc w:val="righ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合计金额：</w:t>
            </w:r>
          </w:p>
        </w:tc>
        <w:tc>
          <w:tcPr>
            <w:tcW w:w="65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69B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1"/>
                <w:szCs w:val="21"/>
                <w:u w:val="none"/>
              </w:rPr>
            </w:pPr>
          </w:p>
        </w:tc>
      </w:tr>
    </w:tbl>
    <w:p w14:paraId="353F9CD0">
      <w:pPr>
        <w:spacing w:line="500" w:lineRule="exact"/>
        <w:rPr>
          <w:rFonts w:hint="eastAsia" w:ascii="仿宋" w:hAnsi="仿宋" w:eastAsia="仿宋" w:cs="仿宋"/>
          <w:sz w:val="28"/>
          <w:szCs w:val="28"/>
        </w:rPr>
      </w:pPr>
      <w:r>
        <w:rPr>
          <w:rFonts w:hint="eastAsia" w:ascii="仿宋" w:hAnsi="仿宋" w:eastAsia="仿宋" w:cs="仿宋"/>
          <w:sz w:val="28"/>
          <w:szCs w:val="28"/>
        </w:rPr>
        <w:t>注：以上内容包含运输、拆除、搬运、安装人工和所有税费等所有费用。</w:t>
      </w:r>
    </w:p>
    <w:p w14:paraId="687C1544">
      <w:pPr>
        <w:spacing w:line="500" w:lineRule="exact"/>
        <w:rPr>
          <w:rFonts w:hint="eastAsia" w:ascii="仿宋" w:hAnsi="仿宋" w:eastAsia="仿宋" w:cs="仿宋"/>
          <w:sz w:val="28"/>
          <w:szCs w:val="28"/>
        </w:rPr>
      </w:pPr>
    </w:p>
    <w:p w14:paraId="22D5D172">
      <w:pPr>
        <w:spacing w:line="500" w:lineRule="exact"/>
        <w:rPr>
          <w:rFonts w:ascii="仿宋" w:hAnsi="仿宋" w:eastAsia="仿宋" w:cs="仿宋"/>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、招标要求</w:t>
      </w:r>
    </w:p>
    <w:p w14:paraId="4EE00E70">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应标方负责项目采购及安装。</w:t>
      </w:r>
    </w:p>
    <w:p w14:paraId="24309A3A">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lang w:val="en-US" w:eastAsia="zh-CN"/>
        </w:rPr>
        <w:t>质保期：</w:t>
      </w:r>
      <w:r>
        <w:rPr>
          <w:rFonts w:hint="eastAsia" w:ascii="仿宋" w:hAnsi="仿宋" w:eastAsia="仿宋" w:cs="仿宋"/>
          <w:sz w:val="28"/>
          <w:szCs w:val="28"/>
        </w:rPr>
        <w:t>2年。</w:t>
      </w:r>
    </w:p>
    <w:p w14:paraId="611C486C">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主要</w:t>
      </w:r>
      <w:r>
        <w:rPr>
          <w:rFonts w:hint="eastAsia" w:ascii="仿宋" w:hAnsi="仿宋" w:eastAsia="仿宋" w:cs="仿宋"/>
          <w:sz w:val="28"/>
          <w:szCs w:val="28"/>
          <w:lang w:val="en-US" w:eastAsia="zh-CN"/>
        </w:rPr>
        <w:t>材料</w:t>
      </w:r>
      <w:r>
        <w:rPr>
          <w:rFonts w:hint="eastAsia" w:ascii="仿宋" w:hAnsi="仿宋" w:eastAsia="仿宋" w:cs="仿宋"/>
          <w:sz w:val="28"/>
          <w:szCs w:val="28"/>
        </w:rPr>
        <w:t>到场后经院方验收合格后才能进行安装。</w:t>
      </w:r>
    </w:p>
    <w:p w14:paraId="765676D9">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应标单位负责项目清单内所有设备的运输以及搬运至院方指定安装位置。</w:t>
      </w:r>
    </w:p>
    <w:p w14:paraId="6E4673CF">
      <w:pPr>
        <w:pStyle w:val="5"/>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安装过程中确保安全施工，不能影响医院业务正常运行。</w:t>
      </w:r>
      <w:r>
        <w:rPr>
          <w:rFonts w:hint="eastAsia" w:ascii="仿宋" w:hAnsi="仿宋" w:eastAsia="仿宋" w:cs="宋体"/>
          <w:b w:val="0"/>
          <w:bCs w:val="0"/>
          <w:sz w:val="28"/>
          <w:szCs w:val="28"/>
          <w:highlight w:val="none"/>
          <w:lang w:val="en-US" w:eastAsia="zh-CN"/>
        </w:rPr>
        <w:t>安装过程中做好现场防护，因安装不慎造成院方设施、设备损坏的，损失由中标人承担。</w:t>
      </w:r>
    </w:p>
    <w:p w14:paraId="4A796533">
      <w:pPr>
        <w:numPr>
          <w:ilvl w:val="0"/>
          <w:numId w:val="1"/>
        </w:numPr>
        <w:spacing w:line="500" w:lineRule="exact"/>
        <w:rPr>
          <w:rFonts w:ascii="仿宋" w:hAnsi="仿宋" w:eastAsia="仿宋" w:cs="仿宋"/>
          <w:color w:val="000000"/>
          <w:kern w:val="0"/>
          <w:sz w:val="28"/>
          <w:szCs w:val="28"/>
          <w:lang w:bidi="ar"/>
        </w:rPr>
      </w:pPr>
      <w:r>
        <w:rPr>
          <w:rFonts w:hint="eastAsia" w:ascii="仿宋" w:hAnsi="仿宋" w:eastAsia="仿宋" w:cs="仿宋"/>
          <w:sz w:val="28"/>
          <w:szCs w:val="28"/>
        </w:rPr>
        <w:t>主要设备材料提供检验报告跟合格证</w:t>
      </w:r>
      <w:r>
        <w:rPr>
          <w:rFonts w:hint="eastAsia" w:ascii="仿宋" w:hAnsi="仿宋" w:eastAsia="仿宋" w:cs="仿宋"/>
          <w:color w:val="000000"/>
          <w:kern w:val="0"/>
          <w:sz w:val="28"/>
          <w:szCs w:val="28"/>
          <w:lang w:bidi="ar"/>
        </w:rPr>
        <w:t>。</w:t>
      </w:r>
    </w:p>
    <w:p w14:paraId="16A2F702">
      <w:pPr>
        <w:numPr>
          <w:ilvl w:val="0"/>
          <w:numId w:val="1"/>
        </w:num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预计安装效果图如下图。</w:t>
      </w:r>
    </w:p>
    <w:p w14:paraId="0FFD847F">
      <w:pPr>
        <w:numPr>
          <w:ilvl w:val="0"/>
          <w:numId w:val="0"/>
        </w:numPr>
        <w:spacing w:line="500" w:lineRule="exact"/>
        <w:ind w:left="40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103505</wp:posOffset>
            </wp:positionV>
            <wp:extent cx="5754370" cy="2879090"/>
            <wp:effectExtent l="0" t="0" r="6350" b="1270"/>
            <wp:wrapSquare wrapText="bothSides"/>
            <wp:docPr id="2" name="图片 2" descr="2871237f3d4b9742f767420e57f6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71237f3d4b9742f767420e57f6bbd"/>
                    <pic:cNvPicPr>
                      <a:picLocks noChangeAspect="1"/>
                    </pic:cNvPicPr>
                  </pic:nvPicPr>
                  <pic:blipFill>
                    <a:blip r:embed="rId4"/>
                    <a:stretch>
                      <a:fillRect/>
                    </a:stretch>
                  </pic:blipFill>
                  <pic:spPr>
                    <a:xfrm>
                      <a:off x="0" y="0"/>
                      <a:ext cx="5754370" cy="2879090"/>
                    </a:xfrm>
                    <a:prstGeom prst="rect">
                      <a:avLst/>
                    </a:prstGeom>
                  </pic:spPr>
                </pic:pic>
              </a:graphicData>
            </a:graphic>
          </wp:anchor>
        </w:drawing>
      </w:r>
    </w:p>
    <w:p w14:paraId="17FCAB3C">
      <w:pPr>
        <w:jc w:val="both"/>
        <w:rPr>
          <w:rFonts w:hint="default"/>
          <w:lang w:val="en-US" w:eastAsia="zh-CN"/>
        </w:rPr>
      </w:pPr>
    </w:p>
    <w:p w14:paraId="7242367F">
      <w:pPr>
        <w:spacing w:line="500" w:lineRule="exact"/>
        <w:rPr>
          <w:rFonts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、合同工期及报价方式</w:t>
      </w:r>
    </w:p>
    <w:p w14:paraId="1509833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1.签订合同后，</w:t>
      </w:r>
      <w:r>
        <w:rPr>
          <w:rFonts w:hint="eastAsia" w:ascii="仿宋" w:hAnsi="仿宋" w:eastAsia="仿宋" w:cs="仿宋"/>
          <w:sz w:val="28"/>
          <w:szCs w:val="28"/>
          <w:lang w:val="en-US" w:eastAsia="zh-CN"/>
        </w:rPr>
        <w:t>40</w:t>
      </w:r>
      <w:r>
        <w:rPr>
          <w:rFonts w:hint="eastAsia" w:ascii="仿宋" w:hAnsi="仿宋" w:eastAsia="仿宋" w:cs="仿宋"/>
          <w:sz w:val="28"/>
          <w:szCs w:val="28"/>
        </w:rPr>
        <w:t>天内完成货物采购及安装；</w:t>
      </w:r>
    </w:p>
    <w:p w14:paraId="47325A8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2.报价为总价包干报价形式。 </w:t>
      </w:r>
    </w:p>
    <w:p w14:paraId="408A6BC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3.项目双方签订合同，设备安装调试完毕并验收合格（以出具验收报告为准）交付甲方使用，乙方开具全额发票，甲方收到发票后按甲方财务流程向乙方支付合同总价百分之</w:t>
      </w:r>
      <w:r>
        <w:rPr>
          <w:rFonts w:hint="eastAsia" w:ascii="仿宋" w:hAnsi="仿宋" w:eastAsia="仿宋" w:cs="仿宋"/>
          <w:sz w:val="28"/>
          <w:szCs w:val="28"/>
          <w:lang w:val="en-US" w:eastAsia="zh-CN"/>
        </w:rPr>
        <w:t>百</w:t>
      </w:r>
      <w:r>
        <w:rPr>
          <w:rFonts w:hint="eastAsia" w:ascii="仿宋" w:hAnsi="仿宋" w:eastAsia="仿宋" w:cs="仿宋"/>
          <w:sz w:val="28"/>
          <w:szCs w:val="28"/>
        </w:rPr>
        <w:t>（</w:t>
      </w:r>
      <w:r>
        <w:rPr>
          <w:rFonts w:hint="eastAsia" w:ascii="仿宋" w:hAnsi="仿宋" w:eastAsia="仿宋" w:cs="仿宋"/>
          <w:sz w:val="28"/>
          <w:szCs w:val="28"/>
          <w:lang w:val="en-US" w:eastAsia="zh-CN"/>
        </w:rPr>
        <w:t>100</w:t>
      </w:r>
      <w:r>
        <w:rPr>
          <w:rFonts w:hint="eastAsia" w:ascii="仿宋" w:hAnsi="仿宋" w:eastAsia="仿宋" w:cs="仿宋"/>
          <w:sz w:val="28"/>
          <w:szCs w:val="28"/>
        </w:rPr>
        <w:t>%）的款项。</w:t>
      </w:r>
    </w:p>
    <w:p w14:paraId="753BCC85">
      <w:pPr>
        <w:spacing w:line="500" w:lineRule="exact"/>
        <w:rPr>
          <w:rFonts w:ascii="仿宋" w:hAnsi="仿宋" w:eastAsia="仿宋" w:cs="仿宋"/>
          <w:sz w:val="28"/>
          <w:szCs w:val="28"/>
        </w:rPr>
      </w:pPr>
    </w:p>
    <w:p w14:paraId="553C8E86">
      <w:pPr>
        <w:spacing w:line="500" w:lineRule="exact"/>
        <w:rPr>
          <w:rFonts w:ascii="仿宋" w:hAnsi="仿宋" w:eastAsia="仿宋" w:cs="仿宋"/>
          <w:sz w:val="28"/>
          <w:szCs w:val="28"/>
        </w:rPr>
      </w:pPr>
    </w:p>
    <w:p w14:paraId="4D02252B">
      <w:pPr>
        <w:spacing w:line="500" w:lineRule="exact"/>
        <w:jc w:val="right"/>
        <w:rPr>
          <w:rFonts w:ascii="仿宋" w:hAnsi="仿宋" w:eastAsia="仿宋" w:cs="仿宋"/>
          <w:sz w:val="28"/>
          <w:szCs w:val="28"/>
        </w:rPr>
      </w:pPr>
      <w:r>
        <w:rPr>
          <w:rFonts w:hint="eastAsia" w:ascii="仿宋" w:hAnsi="仿宋" w:eastAsia="仿宋" w:cs="仿宋"/>
          <w:sz w:val="28"/>
          <w:szCs w:val="28"/>
        </w:rPr>
        <w:t xml:space="preserve">  </w:t>
      </w:r>
      <w:bookmarkStart w:id="0" w:name="_GoBack"/>
      <w:bookmarkEnd w:id="0"/>
    </w:p>
    <w:p w14:paraId="2F1C26E5">
      <w:pPr>
        <w:pStyle w:val="5"/>
        <w:spacing w:line="500" w:lineRule="exact"/>
        <w:rPr>
          <w:rFonts w:ascii="仿宋" w:hAnsi="仿宋" w:eastAsia="仿宋" w:cs="仿宋"/>
          <w:sz w:val="28"/>
          <w:szCs w:val="28"/>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93AF5"/>
    <w:multiLevelType w:val="singleLevel"/>
    <w:tmpl w:val="4CA93AF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WRkYzFhYzVhZjgwNTZlMzliYTM1MDM4NjgwOTgifQ=="/>
  </w:docVars>
  <w:rsids>
    <w:rsidRoot w:val="53C91D89"/>
    <w:rsid w:val="00294195"/>
    <w:rsid w:val="004E3DD1"/>
    <w:rsid w:val="009300F8"/>
    <w:rsid w:val="00B4760B"/>
    <w:rsid w:val="010951A7"/>
    <w:rsid w:val="029006F1"/>
    <w:rsid w:val="030A15F1"/>
    <w:rsid w:val="03435C52"/>
    <w:rsid w:val="041744FB"/>
    <w:rsid w:val="042621F8"/>
    <w:rsid w:val="047E1FB9"/>
    <w:rsid w:val="05B0028B"/>
    <w:rsid w:val="05C74289"/>
    <w:rsid w:val="06D663A6"/>
    <w:rsid w:val="07664AA9"/>
    <w:rsid w:val="0AD409A0"/>
    <w:rsid w:val="0C29450A"/>
    <w:rsid w:val="0CF90920"/>
    <w:rsid w:val="0D052F8B"/>
    <w:rsid w:val="0D2A6EFC"/>
    <w:rsid w:val="0DB13913"/>
    <w:rsid w:val="0DEC388F"/>
    <w:rsid w:val="0DFB3956"/>
    <w:rsid w:val="0E1F0604"/>
    <w:rsid w:val="11424D1C"/>
    <w:rsid w:val="11634099"/>
    <w:rsid w:val="1202325C"/>
    <w:rsid w:val="128571E5"/>
    <w:rsid w:val="139F4F81"/>
    <w:rsid w:val="13E7274D"/>
    <w:rsid w:val="149F3026"/>
    <w:rsid w:val="14F70FF5"/>
    <w:rsid w:val="158A71B2"/>
    <w:rsid w:val="1623579A"/>
    <w:rsid w:val="16342445"/>
    <w:rsid w:val="171C1FFC"/>
    <w:rsid w:val="17AA5816"/>
    <w:rsid w:val="17CB6A54"/>
    <w:rsid w:val="17F07302"/>
    <w:rsid w:val="19AB7B33"/>
    <w:rsid w:val="1AB87313"/>
    <w:rsid w:val="1C52663A"/>
    <w:rsid w:val="1DC51825"/>
    <w:rsid w:val="1E1D2544"/>
    <w:rsid w:val="1EDA63CA"/>
    <w:rsid w:val="1F7B2D1C"/>
    <w:rsid w:val="1FBD62B1"/>
    <w:rsid w:val="20B16B03"/>
    <w:rsid w:val="20BA0038"/>
    <w:rsid w:val="219B01F8"/>
    <w:rsid w:val="21A07DC1"/>
    <w:rsid w:val="22E362D2"/>
    <w:rsid w:val="248E03E4"/>
    <w:rsid w:val="24BB5C18"/>
    <w:rsid w:val="25333665"/>
    <w:rsid w:val="26963B9B"/>
    <w:rsid w:val="26D52249"/>
    <w:rsid w:val="28865645"/>
    <w:rsid w:val="29EB6A59"/>
    <w:rsid w:val="2A6F09F5"/>
    <w:rsid w:val="2A962AEA"/>
    <w:rsid w:val="2B656633"/>
    <w:rsid w:val="2BC77052"/>
    <w:rsid w:val="2BD52A2A"/>
    <w:rsid w:val="2C022C0C"/>
    <w:rsid w:val="2CB404AC"/>
    <w:rsid w:val="2CD04AB0"/>
    <w:rsid w:val="2CDF3794"/>
    <w:rsid w:val="2E852EAB"/>
    <w:rsid w:val="2F870AD2"/>
    <w:rsid w:val="2FC63D74"/>
    <w:rsid w:val="30D0413E"/>
    <w:rsid w:val="31040C94"/>
    <w:rsid w:val="312B0FAC"/>
    <w:rsid w:val="31F22A68"/>
    <w:rsid w:val="32EE083A"/>
    <w:rsid w:val="34272BB6"/>
    <w:rsid w:val="34D91454"/>
    <w:rsid w:val="35AC53AF"/>
    <w:rsid w:val="37406C32"/>
    <w:rsid w:val="37B65D16"/>
    <w:rsid w:val="382A29C0"/>
    <w:rsid w:val="39B90520"/>
    <w:rsid w:val="3A1D70AA"/>
    <w:rsid w:val="3A875A71"/>
    <w:rsid w:val="3B866CAE"/>
    <w:rsid w:val="3E2C4BB7"/>
    <w:rsid w:val="3F2B5630"/>
    <w:rsid w:val="3F640D97"/>
    <w:rsid w:val="3F664045"/>
    <w:rsid w:val="40012417"/>
    <w:rsid w:val="40D46D12"/>
    <w:rsid w:val="4172433C"/>
    <w:rsid w:val="417D3E89"/>
    <w:rsid w:val="41884094"/>
    <w:rsid w:val="419A0FA7"/>
    <w:rsid w:val="41B74C86"/>
    <w:rsid w:val="41BB44E3"/>
    <w:rsid w:val="421C47E7"/>
    <w:rsid w:val="42872172"/>
    <w:rsid w:val="42B208A8"/>
    <w:rsid w:val="446B68C4"/>
    <w:rsid w:val="45960004"/>
    <w:rsid w:val="47A37881"/>
    <w:rsid w:val="47F24951"/>
    <w:rsid w:val="481370C4"/>
    <w:rsid w:val="485C4F2C"/>
    <w:rsid w:val="489B4B75"/>
    <w:rsid w:val="49634BF7"/>
    <w:rsid w:val="4B95142D"/>
    <w:rsid w:val="4BA1205A"/>
    <w:rsid w:val="4D1B00DF"/>
    <w:rsid w:val="4FF57096"/>
    <w:rsid w:val="50E85F0B"/>
    <w:rsid w:val="52745ED6"/>
    <w:rsid w:val="52F3051F"/>
    <w:rsid w:val="53C91D89"/>
    <w:rsid w:val="546C53B3"/>
    <w:rsid w:val="55617B80"/>
    <w:rsid w:val="561D501A"/>
    <w:rsid w:val="56515FE9"/>
    <w:rsid w:val="568D4870"/>
    <w:rsid w:val="57885129"/>
    <w:rsid w:val="5A447D2A"/>
    <w:rsid w:val="5A7A7DD3"/>
    <w:rsid w:val="5C6851C3"/>
    <w:rsid w:val="5CB3223D"/>
    <w:rsid w:val="5CEF488A"/>
    <w:rsid w:val="5DF64A8D"/>
    <w:rsid w:val="5E40418F"/>
    <w:rsid w:val="5F1324D4"/>
    <w:rsid w:val="5F442227"/>
    <w:rsid w:val="5FD111D8"/>
    <w:rsid w:val="623A7395"/>
    <w:rsid w:val="627438C2"/>
    <w:rsid w:val="63814B5D"/>
    <w:rsid w:val="64713DD8"/>
    <w:rsid w:val="64C96A6A"/>
    <w:rsid w:val="680C7FB1"/>
    <w:rsid w:val="6A9B7D71"/>
    <w:rsid w:val="6AE954B5"/>
    <w:rsid w:val="6BA044C1"/>
    <w:rsid w:val="6C775AF2"/>
    <w:rsid w:val="6E5E469C"/>
    <w:rsid w:val="6F0453DE"/>
    <w:rsid w:val="6F250725"/>
    <w:rsid w:val="6F395FEB"/>
    <w:rsid w:val="71212378"/>
    <w:rsid w:val="717766ED"/>
    <w:rsid w:val="722B32F4"/>
    <w:rsid w:val="72625B8C"/>
    <w:rsid w:val="72EA666D"/>
    <w:rsid w:val="72F50D26"/>
    <w:rsid w:val="73BB4BC8"/>
    <w:rsid w:val="74607426"/>
    <w:rsid w:val="74C13C0D"/>
    <w:rsid w:val="76C91732"/>
    <w:rsid w:val="77DD02F3"/>
    <w:rsid w:val="78F14D7D"/>
    <w:rsid w:val="79240B36"/>
    <w:rsid w:val="79562EED"/>
    <w:rsid w:val="7AC124B5"/>
    <w:rsid w:val="7AF9322A"/>
    <w:rsid w:val="7B161079"/>
    <w:rsid w:val="7B6660C0"/>
    <w:rsid w:val="7CAF0D43"/>
    <w:rsid w:val="7CC12FE9"/>
    <w:rsid w:val="7D0A0C4E"/>
    <w:rsid w:val="7D7D12A0"/>
    <w:rsid w:val="7DBC3A33"/>
    <w:rsid w:val="7DFD69D9"/>
    <w:rsid w:val="7E736D61"/>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10"/>
    <w:pPr>
      <w:spacing w:before="240" w:after="60"/>
      <w:jc w:val="center"/>
      <w:outlineLvl w:val="0"/>
    </w:pPr>
    <w:rPr>
      <w:rFonts w:ascii="Cambria" w:hAnsi="Cambria"/>
      <w:b/>
      <w:bCs/>
      <w:kern w:val="0"/>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1 Char"/>
    <w:basedOn w:val="1"/>
    <w:qFormat/>
    <w:uiPriority w:val="0"/>
    <w:rPr>
      <w:sz w:val="24"/>
      <w:szCs w:val="24"/>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31"/>
    <w:basedOn w:val="11"/>
    <w:qFormat/>
    <w:uiPriority w:val="0"/>
    <w:rPr>
      <w:rFonts w:hint="default" w:ascii="Times New Roman" w:hAnsi="Times New Roman" w:cs="Times New Roman"/>
      <w:color w:val="000000"/>
      <w:sz w:val="22"/>
      <w:szCs w:val="22"/>
      <w:u w:val="none"/>
    </w:rPr>
  </w:style>
  <w:style w:type="character" w:customStyle="1" w:styleId="15">
    <w:name w:val="font41"/>
    <w:basedOn w:val="11"/>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1"/>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rPr>
      <w:rFonts w:asciiTheme="minorHAnsi" w:hAnsiTheme="minorHAns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2062</Words>
  <Characters>2438</Characters>
  <Lines>13</Lines>
  <Paragraphs>3</Paragraphs>
  <TotalTime>17</TotalTime>
  <ScaleCrop>false</ScaleCrop>
  <LinksUpToDate>false</LinksUpToDate>
  <CharactersWithSpaces>2639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2025-09-29T06:40:00Z</cp:lastPrinted>
  <dcterms:modified xsi:type="dcterms:W3CDTF">2025-09-29T07:28:22Z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7199A022F1B8409ABB970F4A2BE602C7_13</vt:lpwstr>
  </property>
  <property fmtid="{D5CDD505-2E9C-101B-9397-08002B2CF9AE}" pid="4" name="KSOTemplateDocerSaveRecord">
    <vt:lpwstr>eyJoZGlkIjoiNmFkNzM0MjEyYTJlMGViYTU0N2EyNjMzYjM3OTNmZjIiLCJ1c2VySWQiOiIzNTY0MzY5ODAifQ==</vt:lpwstr>
  </property>
</Properties>
</file>