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BBA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sz w:val="32"/>
          <w:szCs w:val="32"/>
          <w:lang w:val="en-US"/>
        </w:rPr>
      </w:pPr>
      <w:r>
        <w:rPr>
          <w:rFonts w:hint="eastAsia" w:cs="宋体"/>
          <w:sz w:val="32"/>
          <w:szCs w:val="32"/>
          <w:lang w:val="en-US" w:eastAsia="zh-CN"/>
        </w:rPr>
        <w:t>柳州市工人医院核医学科、肿瘤放疗中心工作场所放射防护及设备性能年度检测服务采购需求</w:t>
      </w:r>
    </w:p>
    <w:p w14:paraId="1A8B04F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pPr>
    </w:p>
    <w:p w14:paraId="0DD6E583">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项目名称 </w:t>
      </w:r>
    </w:p>
    <w:p w14:paraId="7FC3C471">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480"/>
        <w:jc w:val="both"/>
        <w:textAlignment w:val="auto"/>
        <w:rPr>
          <w:rFonts w:hint="eastAsia" w:ascii="仿宋" w:hAnsi="仿宋" w:eastAsia="仿宋" w:cs="仿宋"/>
          <w:b w:val="0"/>
          <w:i w:val="0"/>
          <w:kern w:val="0"/>
          <w:sz w:val="28"/>
          <w:szCs w:val="28"/>
          <w:lang w:val="en-US" w:eastAsia="zh-CN" w:bidi="ar"/>
        </w:rPr>
      </w:pPr>
      <w:r>
        <w:rPr>
          <w:rFonts w:hint="eastAsia" w:ascii="仿宋" w:hAnsi="仿宋" w:eastAsia="仿宋" w:cs="仿宋"/>
          <w:b w:val="0"/>
          <w:i w:val="0"/>
          <w:kern w:val="0"/>
          <w:sz w:val="28"/>
          <w:szCs w:val="28"/>
          <w:lang w:val="en-US" w:eastAsia="zh-CN" w:bidi="ar"/>
        </w:rPr>
        <w:t>柳州市工人医院核医学科、肿瘤放疗中心工作场所放射防护及设备性能年度检测服务采购项目</w:t>
      </w:r>
    </w:p>
    <w:p w14:paraId="1C42E618">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项目概况</w:t>
      </w:r>
    </w:p>
    <w:p w14:paraId="2FDE1AE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jc w:val="both"/>
        <w:textAlignment w:val="auto"/>
        <w:rPr>
          <w:rFonts w:hint="eastAsia" w:ascii="仿宋" w:hAnsi="仿宋" w:eastAsia="仿宋" w:cs="仿宋"/>
          <w:b w:val="0"/>
          <w:i w:val="0"/>
          <w:kern w:val="0"/>
          <w:sz w:val="28"/>
          <w:szCs w:val="28"/>
          <w:lang w:val="en-US" w:eastAsia="zh-CN" w:bidi="ar"/>
        </w:rPr>
      </w:pPr>
      <w:r>
        <w:rPr>
          <w:rFonts w:hint="eastAsia" w:ascii="仿宋" w:hAnsi="仿宋" w:eastAsia="仿宋" w:cs="仿宋"/>
          <w:b w:val="0"/>
          <w:i w:val="0"/>
          <w:kern w:val="0"/>
          <w:sz w:val="28"/>
          <w:szCs w:val="28"/>
          <w:lang w:val="en-US" w:eastAsia="zh-CN" w:bidi="ar"/>
        </w:rPr>
        <w:t>根据公共卫生科提出申请，依据《放射诊疗管理规定》要求，医疗机构每年需组织对放射诊疗工作场所、设备进行工作场所放射防护及设备性能年度检测。现需招标具具备检测资质的放射卫生技术服务机构完成该项目服务工作。</w:t>
      </w:r>
    </w:p>
    <w:p w14:paraId="59B43025">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服务商资质条件</w:t>
      </w:r>
    </w:p>
    <w:p w14:paraId="323F7F75">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rPr>
      </w:pPr>
      <w:bookmarkStart w:id="0" w:name="OLE_LINK1"/>
      <w:r>
        <w:rPr>
          <w:rFonts w:hint="eastAsia" w:ascii="仿宋" w:hAnsi="仿宋" w:eastAsia="仿宋" w:cs="仿宋"/>
          <w:color w:val="auto"/>
          <w:sz w:val="28"/>
          <w:szCs w:val="28"/>
        </w:rPr>
        <w:t>具有独立承担民事责任的能力；在中华人民共和国境内注册并取得营业执照的独立法人，具有相应经营范围</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含放射卫生技术服务</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，（提供企业法人营业执照、组织机构代码证、税务登记证或三证合一的复印件）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或事业单位法人证书。</w:t>
      </w:r>
    </w:p>
    <w:p w14:paraId="5699FFA7">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具备《放射卫生技术服务机构资质证书》（甲级或乙级，覆盖医用辐射防护领域）。</w:t>
      </w:r>
    </w:p>
    <w:p w14:paraId="15F085A2">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CMA认证（检测项目需在认证范围内）。</w:t>
      </w:r>
    </w:p>
    <w:bookmarkEnd w:id="0"/>
    <w:p w14:paraId="3B01E91A">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参加政府采购活动前三年内，未因违法经营受到刑事处罚或者责令停产停业、吊销许可证或者执照、较大数额罚款等行政处罚；</w:t>
      </w:r>
    </w:p>
    <w:p w14:paraId="3E138EAF">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项目服务内容</w:t>
      </w:r>
    </w:p>
    <w:p w14:paraId="6946270E">
      <w:pPr>
        <w:pStyle w:val="6"/>
        <w:keepNext w:val="0"/>
        <w:keepLines w:val="0"/>
        <w:pageBreakBefore w:val="0"/>
        <w:widowControl/>
        <w:numPr>
          <w:ilvl w:val="0"/>
          <w:numId w:val="3"/>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评价目的</w:t>
      </w:r>
    </w:p>
    <w:p w14:paraId="2259E57E">
      <w:pPr>
        <w:keepNext w:val="0"/>
        <w:keepLines w:val="0"/>
        <w:pageBreakBefore w:val="0"/>
        <w:widowControl w:val="0"/>
        <w:numPr>
          <w:ilvl w:val="0"/>
          <w:numId w:val="4"/>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放射工作场所放射防护检测：确保放射工作人员和公众在放射工作场所及设备周围的安全，防止放射性危害事故的发生，维护公众安全和健康。</w:t>
      </w:r>
    </w:p>
    <w:p w14:paraId="7ABF03DD">
      <w:pPr>
        <w:keepNext w:val="0"/>
        <w:keepLines w:val="0"/>
        <w:pageBreakBefore w:val="0"/>
        <w:widowControl w:val="0"/>
        <w:numPr>
          <w:ilvl w:val="0"/>
          <w:numId w:val="4"/>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设备性能检测：确保设备始终处于最佳运行状态，确保射线设备的正常运行和准确性，保障放射工作人员及患者的安全和健康。</w:t>
      </w:r>
    </w:p>
    <w:p w14:paraId="71FDB40D">
      <w:pPr>
        <w:pStyle w:val="6"/>
        <w:keepNext w:val="0"/>
        <w:keepLines w:val="0"/>
        <w:pageBreakBefore w:val="0"/>
        <w:widowControl/>
        <w:numPr>
          <w:ilvl w:val="0"/>
          <w:numId w:val="3"/>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Style w:val="10"/>
          <w:rFonts w:hint="eastAsia" w:ascii="仿宋" w:hAnsi="仿宋" w:eastAsia="仿宋" w:cs="仿宋"/>
          <w:b/>
          <w:bCs/>
          <w:i w:val="0"/>
          <w:iCs w:val="0"/>
          <w:caps w:val="0"/>
          <w:color w:val="404040"/>
          <w:spacing w:val="0"/>
          <w:sz w:val="28"/>
          <w:szCs w:val="28"/>
          <w:shd w:val="clear" w:fill="FFFFFF"/>
        </w:rPr>
      </w:pPr>
      <w:r>
        <w:rPr>
          <w:rStyle w:val="10"/>
          <w:rFonts w:hint="eastAsia" w:ascii="仿宋" w:hAnsi="仿宋" w:eastAsia="仿宋" w:cs="仿宋"/>
          <w:b/>
          <w:bCs/>
          <w:i w:val="0"/>
          <w:iCs w:val="0"/>
          <w:caps w:val="0"/>
          <w:color w:val="404040"/>
          <w:spacing w:val="0"/>
          <w:sz w:val="28"/>
          <w:szCs w:val="28"/>
          <w:shd w:val="clear" w:fill="FFFFFF"/>
        </w:rPr>
        <w:t>工作场所放射防护及设备性能</w:t>
      </w:r>
      <w:r>
        <w:rPr>
          <w:rStyle w:val="10"/>
          <w:rFonts w:hint="eastAsia" w:ascii="仿宋" w:hAnsi="仿宋" w:eastAsia="仿宋" w:cs="仿宋"/>
          <w:b/>
          <w:bCs/>
          <w:i w:val="0"/>
          <w:iCs w:val="0"/>
          <w:caps w:val="0"/>
          <w:color w:val="404040"/>
          <w:spacing w:val="0"/>
          <w:sz w:val="28"/>
          <w:szCs w:val="28"/>
          <w:shd w:val="clear" w:fill="FFFFFF"/>
          <w:lang w:val="en-US" w:eastAsia="zh-CN"/>
        </w:rPr>
        <w:t>检测</w:t>
      </w:r>
    </w:p>
    <w:p w14:paraId="0FC3F4E7">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lang w:val="en-US" w:eastAsia="zh-CN"/>
        </w:rPr>
        <w:t>1.</w:t>
      </w:r>
      <w:r>
        <w:rPr>
          <w:rStyle w:val="10"/>
          <w:rFonts w:hint="eastAsia" w:ascii="仿宋" w:hAnsi="仿宋" w:eastAsia="仿宋" w:cs="仿宋"/>
          <w:b/>
          <w:bCs/>
          <w:i w:val="0"/>
          <w:iCs w:val="0"/>
          <w:caps w:val="0"/>
          <w:color w:val="404040"/>
          <w:spacing w:val="0"/>
          <w:sz w:val="28"/>
          <w:szCs w:val="28"/>
          <w:shd w:val="clear" w:fill="FFFFFF"/>
        </w:rPr>
        <w:t>工作内容</w:t>
      </w:r>
    </w:p>
    <w:p w14:paraId="3123F7E6">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放射工作场所放射防护检测。</w:t>
      </w:r>
    </w:p>
    <w:p w14:paraId="17A3D3E4">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设备性能检测。</w:t>
      </w:r>
    </w:p>
    <w:p w14:paraId="66B52788">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提出改进建议（如工作场所放射防护优化、设备维修与调试等）</w:t>
      </w:r>
    </w:p>
    <w:p w14:paraId="207A2B7D">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lang w:val="en-US" w:eastAsia="zh-CN"/>
        </w:rPr>
        <w:t>2.</w:t>
      </w:r>
      <w:r>
        <w:rPr>
          <w:rStyle w:val="10"/>
          <w:rFonts w:hint="eastAsia" w:ascii="仿宋" w:hAnsi="仿宋" w:eastAsia="仿宋" w:cs="仿宋"/>
          <w:b/>
          <w:bCs/>
          <w:i w:val="0"/>
          <w:iCs w:val="0"/>
          <w:caps w:val="0"/>
          <w:color w:val="404040"/>
          <w:spacing w:val="0"/>
          <w:sz w:val="28"/>
          <w:szCs w:val="28"/>
          <w:shd w:val="clear" w:fill="FFFFFF"/>
        </w:rPr>
        <w:t>评价范围</w:t>
      </w:r>
    </w:p>
    <w:p w14:paraId="1C969ADA">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柳州市工人医院核医学科、肿瘤放疗中心工作场所放射防护及设备（表1）</w:t>
      </w:r>
    </w:p>
    <w:tbl>
      <w:tblPr>
        <w:tblStyle w:val="7"/>
        <w:tblW w:w="10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4"/>
        <w:gridCol w:w="2578"/>
        <w:gridCol w:w="5522"/>
        <w:gridCol w:w="660"/>
      </w:tblGrid>
      <w:tr w14:paraId="33AA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0D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8A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射线装置</w:t>
            </w:r>
            <w:r>
              <w:rPr>
                <w:rStyle w:val="12"/>
                <w:rFonts w:eastAsia="宋体"/>
                <w:lang w:val="en-US" w:eastAsia="zh-CN" w:bidi="ar"/>
              </w:rPr>
              <w:t>/</w:t>
            </w:r>
            <w:r>
              <w:rPr>
                <w:rStyle w:val="13"/>
                <w:lang w:val="en-US" w:eastAsia="zh-CN" w:bidi="ar"/>
              </w:rPr>
              <w:t>工作场所</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5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7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580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7D49">
            <w:pPr>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ECT</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olor w:val="auto"/>
                <w:sz w:val="24"/>
                <w:szCs w:val="24"/>
                <w:lang w:val="en-US" w:eastAsia="zh-CN"/>
              </w:rPr>
              <w:t>Symbia E型单光子发射计算机断层扫描系统</w:t>
            </w:r>
            <w:r>
              <w:rPr>
                <w:rStyle w:val="14"/>
                <w:lang w:val="en-US" w:eastAsia="zh-CN" w:bidi="ar"/>
              </w:rPr>
              <w:t>（ECT）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9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E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06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0F7">
            <w:pPr>
              <w:jc w:val="center"/>
              <w:rPr>
                <w:rFonts w:hint="eastAsia" w:eastAsia="宋体"/>
                <w:b/>
                <w:bCs/>
                <w:sz w:val="24"/>
                <w:szCs w:val="24"/>
                <w:vertAlign w:val="baseline"/>
                <w:lang w:val="en-US" w:eastAsia="zh-CN"/>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C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Symbia EVO Excel</w:t>
            </w:r>
            <w:r>
              <w:rPr>
                <w:rStyle w:val="14"/>
                <w:lang w:val="en-US" w:eastAsia="zh-CN" w:bidi="ar"/>
              </w:rPr>
              <w:t>型单光子发射计算机断层扫描系统（ECT）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3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1A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C91F">
            <w:pPr>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PET/CT</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5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Biograph mCT S</w:t>
            </w:r>
            <w:r>
              <w:rPr>
                <w:rStyle w:val="14"/>
                <w:lang w:val="en-US" w:eastAsia="zh-CN" w:bidi="ar"/>
              </w:rPr>
              <w:t>（</w:t>
            </w:r>
            <w:r>
              <w:rPr>
                <w:rStyle w:val="15"/>
                <w:rFonts w:eastAsia="宋体"/>
                <w:lang w:val="en-US" w:eastAsia="zh-CN" w:bidi="ar"/>
              </w:rPr>
              <w:t>20</w:t>
            </w:r>
            <w:r>
              <w:rPr>
                <w:rStyle w:val="14"/>
                <w:lang w:val="en-US" w:eastAsia="zh-CN" w:bidi="ar"/>
              </w:rPr>
              <w:t>）</w:t>
            </w:r>
            <w:r>
              <w:rPr>
                <w:rStyle w:val="15"/>
                <w:rFonts w:eastAsia="宋体"/>
                <w:lang w:val="en-US" w:eastAsia="zh-CN" w:bidi="ar"/>
              </w:rPr>
              <w:t>-3R</w:t>
            </w:r>
            <w:r>
              <w:rPr>
                <w:rStyle w:val="14"/>
                <w:lang w:val="en-US" w:eastAsia="zh-CN" w:bidi="ar"/>
              </w:rPr>
              <w:t>型正电子发射断层成像设备（PET/CT）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D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7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5D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2FC1">
            <w:pPr>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直线加速器</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eastAsia="宋体"/>
                <w:lang w:val="en-US" w:eastAsia="zh-CN" w:bidi="ar"/>
              </w:rPr>
              <w:t>Trilogy</w:t>
            </w:r>
            <w:r>
              <w:rPr>
                <w:rStyle w:val="14"/>
                <w:lang w:val="en-US" w:eastAsia="zh-CN" w:bidi="ar"/>
              </w:rPr>
              <w:t>型直线加速器</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A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鱼峰山院区肿瘤放疗中心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4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6D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B824">
            <w:pPr>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后装治疗机</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6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eastAsia="宋体"/>
                <w:lang w:val="en-US" w:eastAsia="zh-CN" w:bidi="ar"/>
              </w:rPr>
              <w:t>Micro Selectron V3</w:t>
            </w:r>
            <w:r>
              <w:rPr>
                <w:rStyle w:val="14"/>
                <w:lang w:val="en-US" w:eastAsia="zh-CN" w:bidi="ar"/>
              </w:rPr>
              <w:t>型后装治疗机</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2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鱼峰山院区肿瘤放疗中心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4B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A68A">
            <w:pPr>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TOMO</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8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螺旋断层放射治疗装置（</w:t>
            </w:r>
            <w:r>
              <w:rPr>
                <w:rStyle w:val="15"/>
                <w:rFonts w:eastAsia="宋体"/>
                <w:lang w:val="en-US" w:eastAsia="zh-CN" w:bidi="ar"/>
              </w:rPr>
              <w:t>TOMO</w:t>
            </w:r>
            <w:r>
              <w:rPr>
                <w:rStyle w:val="14"/>
                <w:lang w:val="en-US" w:eastAsia="zh-CN" w:bidi="ar"/>
              </w:rPr>
              <w: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5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鱼峰山院区肿瘤放疗中心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C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F2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20B3">
            <w:pPr>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核医学科工作场所</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B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核医学工作场所（</w:t>
            </w:r>
            <w:r>
              <w:rPr>
                <w:rStyle w:val="15"/>
                <w:rFonts w:eastAsia="宋体"/>
                <w:lang w:val="en-US" w:eastAsia="zh-CN" w:bidi="ar"/>
              </w:rPr>
              <w:t>HM-10HC</w:t>
            </w:r>
            <w:r>
              <w:rPr>
                <w:rStyle w:val="14"/>
                <w:lang w:val="en-US" w:eastAsia="zh-CN" w:bidi="ar"/>
              </w:rPr>
              <w:t>型回旋加速器）</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8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D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68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F33">
            <w:pPr>
              <w:jc w:val="center"/>
              <w:rPr>
                <w:rFonts w:hint="eastAsia" w:ascii="宋体" w:hAnsi="宋体" w:eastAsia="宋体" w:cs="宋体"/>
                <w:i w:val="0"/>
                <w:iCs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4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核医学工作场所（</w:t>
            </w:r>
            <w:r>
              <w:rPr>
                <w:rStyle w:val="16"/>
                <w:rFonts w:eastAsia="宋体"/>
                <w:lang w:val="en-US" w:eastAsia="zh-CN" w:bidi="ar"/>
              </w:rPr>
              <w:t>18</w:t>
            </w:r>
            <w:r>
              <w:rPr>
                <w:rStyle w:val="17"/>
                <w:rFonts w:eastAsia="宋体"/>
                <w:lang w:val="en-US" w:eastAsia="zh-CN" w:bidi="ar"/>
              </w:rPr>
              <w:t>F</w:t>
            </w:r>
            <w:r>
              <w:rPr>
                <w:rStyle w:val="14"/>
                <w:lang w:val="en-US" w:eastAsia="zh-CN" w:bidi="ar"/>
              </w:rPr>
              <w: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2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7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3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B42F">
            <w:pPr>
              <w:jc w:val="center"/>
              <w:rPr>
                <w:rFonts w:hint="eastAsia" w:ascii="宋体" w:hAnsi="宋体" w:eastAsia="宋体" w:cs="宋体"/>
                <w:i w:val="0"/>
                <w:iCs w:val="0"/>
                <w:color w:val="000000"/>
                <w:sz w:val="22"/>
                <w:szCs w:val="22"/>
                <w:u w:val="none"/>
              </w:rPr>
            </w:pP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D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核医学工作场所（</w:t>
            </w:r>
            <w:r>
              <w:rPr>
                <w:rStyle w:val="16"/>
                <w:rFonts w:eastAsia="宋体"/>
                <w:lang w:val="en-US" w:eastAsia="zh-CN" w:bidi="ar"/>
              </w:rPr>
              <w:t>99</w:t>
            </w:r>
            <w:r>
              <w:rPr>
                <w:rStyle w:val="17"/>
                <w:rFonts w:eastAsia="宋体"/>
                <w:lang w:val="en-US" w:eastAsia="zh-CN" w:bidi="ar"/>
              </w:rPr>
              <w:t>Tc</w:t>
            </w:r>
            <w:r>
              <w:rPr>
                <w:rStyle w:val="16"/>
                <w:rFonts w:eastAsia="宋体"/>
                <w:lang w:val="en-US" w:eastAsia="zh-CN" w:bidi="ar"/>
              </w:rPr>
              <w:t>m</w:t>
            </w:r>
            <w:r>
              <w:rPr>
                <w:rStyle w:val="14"/>
                <w:lang w:val="en-US" w:eastAsia="zh-CN" w:bidi="ar"/>
              </w:rPr>
              <w: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9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3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7C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FE7">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652">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3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0A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76B1">
            <w:pPr>
              <w:jc w:val="center"/>
              <w:rPr>
                <w:rFonts w:hint="eastAsia" w:ascii="宋体" w:hAnsi="宋体" w:eastAsia="宋体" w:cs="宋体"/>
                <w:i w:val="0"/>
                <w:iCs w:val="0"/>
                <w:color w:val="000000"/>
                <w:sz w:val="22"/>
                <w:szCs w:val="22"/>
                <w:u w:val="none"/>
              </w:rPr>
            </w:pP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7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核医学工作场所（</w:t>
            </w:r>
            <w:r>
              <w:rPr>
                <w:rStyle w:val="16"/>
                <w:rFonts w:eastAsia="宋体"/>
                <w:lang w:val="en-US" w:eastAsia="zh-CN" w:bidi="ar"/>
              </w:rPr>
              <w:t>125</w:t>
            </w:r>
            <w:r>
              <w:rPr>
                <w:rStyle w:val="17"/>
                <w:rFonts w:eastAsia="宋体"/>
                <w:lang w:val="en-US" w:eastAsia="zh-CN" w:bidi="ar"/>
              </w:rPr>
              <w:t>I</w:t>
            </w:r>
            <w:r>
              <w:rPr>
                <w:rStyle w:val="14"/>
                <w:lang w:val="en-US" w:eastAsia="zh-CN" w:bidi="ar"/>
              </w:rPr>
              <w: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3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r>
              <w:rPr>
                <w:rStyle w:val="15"/>
                <w:rFonts w:eastAsia="宋体"/>
                <w:lang w:val="en-US" w:eastAsia="zh-CN" w:bidi="ar"/>
              </w:rPr>
              <w:t>8</w:t>
            </w:r>
            <w:r>
              <w:rPr>
                <w:rStyle w:val="14"/>
                <w:lang w:val="en-US" w:eastAsia="zh-CN" w:bidi="ar"/>
              </w:rPr>
              <w:t>号楼</w:t>
            </w:r>
            <w:r>
              <w:rPr>
                <w:rStyle w:val="15"/>
                <w:rFonts w:eastAsia="宋体"/>
                <w:lang w:val="en-US" w:eastAsia="zh-CN" w:bidi="ar"/>
              </w:rPr>
              <w:t>1</w:t>
            </w:r>
            <w:r>
              <w:rPr>
                <w:rStyle w:val="14"/>
                <w:lang w:val="en-US" w:eastAsia="zh-CN" w:bidi="ar"/>
              </w:rPr>
              <w:t>楼放疗中心模拟</w:t>
            </w:r>
            <w:r>
              <w:rPr>
                <w:rStyle w:val="15"/>
                <w:rFonts w:eastAsia="宋体"/>
                <w:lang w:val="en-US" w:eastAsia="zh-CN" w:bidi="ar"/>
              </w:rPr>
              <w:t>CT</w:t>
            </w:r>
            <w:r>
              <w:rPr>
                <w:rStyle w:val="14"/>
                <w:lang w:val="en-US" w:eastAsia="zh-CN" w:bidi="ar"/>
              </w:rPr>
              <w:t>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5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8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E2F2">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38E5">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7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r>
              <w:rPr>
                <w:rStyle w:val="15"/>
                <w:rFonts w:eastAsia="宋体"/>
                <w:lang w:val="en-US" w:eastAsia="zh-CN" w:bidi="ar"/>
              </w:rPr>
              <w:t>5</w:t>
            </w:r>
            <w:r>
              <w:rPr>
                <w:rStyle w:val="14"/>
                <w:lang w:val="en-US" w:eastAsia="zh-CN" w:bidi="ar"/>
              </w:rPr>
              <w:t>号楼</w:t>
            </w:r>
            <w:r>
              <w:rPr>
                <w:rStyle w:val="15"/>
                <w:rFonts w:eastAsia="宋体"/>
                <w:lang w:val="en-US" w:eastAsia="zh-CN" w:bidi="ar"/>
              </w:rPr>
              <w:t>1</w:t>
            </w:r>
            <w:r>
              <w:rPr>
                <w:rStyle w:val="14"/>
                <w:lang w:val="en-US" w:eastAsia="zh-CN" w:bidi="ar"/>
              </w:rPr>
              <w:t>楼介入治疗室</w:t>
            </w:r>
            <w:r>
              <w:rPr>
                <w:rStyle w:val="15"/>
                <w:rFonts w:eastAsia="宋体"/>
                <w:lang w:val="en-US" w:eastAsia="zh-CN" w:bidi="ar"/>
              </w:rPr>
              <w:t>DSA1</w:t>
            </w:r>
            <w:r>
              <w:rPr>
                <w:rStyle w:val="14"/>
                <w:lang w:val="en-US" w:eastAsia="zh-CN" w:bidi="ar"/>
              </w:rPr>
              <w:t>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1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C9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B68B">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4271">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8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r>
              <w:rPr>
                <w:rStyle w:val="15"/>
                <w:rFonts w:eastAsia="宋体"/>
                <w:lang w:val="en-US" w:eastAsia="zh-CN" w:bidi="ar"/>
              </w:rPr>
              <w:t>8</w:t>
            </w:r>
            <w:r>
              <w:rPr>
                <w:rStyle w:val="14"/>
                <w:lang w:val="en-US" w:eastAsia="zh-CN" w:bidi="ar"/>
              </w:rPr>
              <w:t>号楼</w:t>
            </w:r>
            <w:r>
              <w:rPr>
                <w:rStyle w:val="15"/>
                <w:rFonts w:eastAsia="宋体"/>
                <w:lang w:val="en-US" w:eastAsia="zh-CN" w:bidi="ar"/>
              </w:rPr>
              <w:t>2</w:t>
            </w:r>
            <w:r>
              <w:rPr>
                <w:rStyle w:val="14"/>
                <w:lang w:val="en-US" w:eastAsia="zh-CN" w:bidi="ar"/>
              </w:rPr>
              <w:t>楼核医学科储源室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4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C2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ABEA">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2D50">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E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鱼峰山院区核医学肿瘤科粒子专用病房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7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0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87DC">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0EA0">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A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新总院核医学科门诊医技综合楼5楼介入治疗室复合手术室DSA室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D3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3AB4">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A7D">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A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新总院核医学科1号住院楼呼吸科粒籽专用病房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E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C0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89E8">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13E1">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5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新总院核医学科特殊医技楼1楼核医学科储源室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E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E2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D673">
            <w:pPr>
              <w:jc w:val="center"/>
              <w:rPr>
                <w:rFonts w:hint="eastAsia" w:ascii="宋体" w:hAnsi="宋体" w:eastAsia="宋体" w:cs="宋体"/>
                <w:i w:val="0"/>
                <w:iCs w:val="0"/>
                <w:color w:val="000000"/>
                <w:sz w:val="22"/>
                <w:szCs w:val="22"/>
                <w:u w:val="none"/>
              </w:rPr>
            </w:pP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D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核医学工作场所（</w:t>
            </w:r>
            <w:r>
              <w:rPr>
                <w:rStyle w:val="18"/>
                <w:lang w:val="en-US" w:eastAsia="zh-CN" w:bidi="ar"/>
              </w:rPr>
              <w:t>90</w:t>
            </w:r>
            <w:r>
              <w:rPr>
                <w:rStyle w:val="19"/>
                <w:lang w:val="en-US" w:eastAsia="zh-CN" w:bidi="ar"/>
              </w:rPr>
              <w:t>Y</w:t>
            </w:r>
            <w:r>
              <w:rPr>
                <w:rStyle w:val="14"/>
                <w:lang w:val="en-US" w:eastAsia="zh-CN" w:bidi="ar"/>
              </w:rPr>
              <w: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2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r>
              <w:rPr>
                <w:rStyle w:val="15"/>
                <w:rFonts w:eastAsia="宋体"/>
                <w:lang w:val="en-US" w:eastAsia="zh-CN" w:bidi="ar"/>
              </w:rPr>
              <w:t>5</w:t>
            </w:r>
            <w:r>
              <w:rPr>
                <w:rStyle w:val="14"/>
                <w:lang w:val="en-US" w:eastAsia="zh-CN" w:bidi="ar"/>
              </w:rPr>
              <w:t>号楼</w:t>
            </w:r>
            <w:r>
              <w:rPr>
                <w:rStyle w:val="15"/>
                <w:rFonts w:eastAsia="宋体"/>
                <w:lang w:val="en-US" w:eastAsia="zh-CN" w:bidi="ar"/>
              </w:rPr>
              <w:t>1</w:t>
            </w:r>
            <w:r>
              <w:rPr>
                <w:rStyle w:val="14"/>
                <w:lang w:val="en-US" w:eastAsia="zh-CN" w:bidi="ar"/>
              </w:rPr>
              <w:t>楼介入治疗室</w:t>
            </w:r>
            <w:r>
              <w:rPr>
                <w:rStyle w:val="15"/>
                <w:rFonts w:eastAsia="宋体"/>
                <w:lang w:val="en-US" w:eastAsia="zh-CN" w:bidi="ar"/>
              </w:rPr>
              <w:t>DSA1</w:t>
            </w:r>
            <w:r>
              <w:rPr>
                <w:rStyle w:val="14"/>
                <w:lang w:val="en-US" w:eastAsia="zh-CN" w:bidi="ar"/>
              </w:rPr>
              <w:t>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FD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07C0">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6FF7">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F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鱼峰山院区核医学肿瘤科90Y专用病房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DC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E2D0">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F0A5">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F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鱼峰山院区核医学8号楼2楼核医学科储源室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A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36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6949">
            <w:pPr>
              <w:jc w:val="center"/>
              <w:rPr>
                <w:rFonts w:hint="eastAsia" w:ascii="宋体" w:hAnsi="宋体" w:eastAsia="宋体" w:cs="宋体"/>
                <w:i w:val="0"/>
                <w:iCs w:val="0"/>
                <w:color w:val="000000"/>
                <w:sz w:val="22"/>
                <w:szCs w:val="22"/>
                <w:u w:val="none"/>
              </w:rPr>
            </w:pP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4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核医学工作场所（</w:t>
            </w:r>
            <w:r>
              <w:rPr>
                <w:rStyle w:val="20"/>
                <w:rFonts w:eastAsia="宋体"/>
                <w:lang w:val="en-US" w:eastAsia="zh-CN" w:bidi="ar"/>
              </w:rPr>
              <w:t>90</w:t>
            </w:r>
            <w:r>
              <w:rPr>
                <w:rStyle w:val="15"/>
                <w:rFonts w:eastAsia="宋体"/>
                <w:lang w:val="en-US" w:eastAsia="zh-CN" w:bidi="ar"/>
              </w:rPr>
              <w:t>Sr-</w:t>
            </w:r>
            <w:r>
              <w:rPr>
                <w:rStyle w:val="20"/>
                <w:rFonts w:eastAsia="宋体"/>
                <w:lang w:val="en-US" w:eastAsia="zh-CN" w:bidi="ar"/>
              </w:rPr>
              <w:t>90</w:t>
            </w:r>
            <w:r>
              <w:rPr>
                <w:rStyle w:val="15"/>
                <w:rFonts w:eastAsia="宋体"/>
                <w:lang w:val="en-US" w:eastAsia="zh-CN" w:bidi="ar"/>
              </w:rPr>
              <w:t>Y</w:t>
            </w:r>
            <w:r>
              <w:rPr>
                <w:rStyle w:val="14"/>
                <w:lang w:val="en-US" w:eastAsia="zh-CN" w:bidi="ar"/>
              </w:rPr>
              <w:t>敷贴器）</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5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鱼峰山院区核医学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15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D828">
            <w:pPr>
              <w:jc w:val="center"/>
              <w:rPr>
                <w:rFonts w:hint="eastAsia" w:ascii="宋体" w:hAnsi="宋体" w:eastAsia="宋体" w:cs="宋体"/>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178F">
            <w:pPr>
              <w:jc w:val="left"/>
              <w:rPr>
                <w:rFonts w:hint="eastAsia" w:ascii="宋体" w:hAnsi="宋体" w:eastAsia="宋体" w:cs="宋体"/>
                <w:i w:val="0"/>
                <w:iCs w:val="0"/>
                <w:color w:val="000000"/>
                <w:sz w:val="22"/>
                <w:szCs w:val="22"/>
                <w:u w:val="none"/>
              </w:rPr>
            </w:pP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B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9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7F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C666">
            <w:pPr>
              <w:jc w:val="center"/>
              <w:rPr>
                <w:rFonts w:hint="eastAsia" w:ascii="宋体" w:hAnsi="宋体" w:eastAsia="宋体" w:cs="宋体"/>
                <w:i w:val="0"/>
                <w:iCs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2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核医学工作场所（</w:t>
            </w:r>
            <w:r>
              <w:rPr>
                <w:rStyle w:val="16"/>
                <w:rFonts w:eastAsia="宋体"/>
                <w:lang w:val="en-US" w:eastAsia="zh-CN" w:bidi="ar"/>
              </w:rPr>
              <w:t>131</w:t>
            </w:r>
            <w:r>
              <w:rPr>
                <w:rStyle w:val="17"/>
                <w:rFonts w:eastAsia="宋体"/>
                <w:lang w:val="en-US" w:eastAsia="zh-CN" w:bidi="ar"/>
              </w:rPr>
              <w:t>I</w:t>
            </w:r>
            <w:r>
              <w:rPr>
                <w:rStyle w:val="14"/>
                <w:lang w:val="en-US" w:eastAsia="zh-CN" w:bidi="ar"/>
              </w:rPr>
              <w:t>）</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E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新总院核医学科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C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EF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101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ECC9">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kern w:val="2"/>
                <w:sz w:val="28"/>
                <w:szCs w:val="28"/>
                <w:vertAlign w:val="baseline"/>
                <w:lang w:val="en-US" w:eastAsia="zh-CN" w:bidi="ar-SA"/>
              </w:rPr>
              <w:t>备注：</w:t>
            </w:r>
            <w:r>
              <w:rPr>
                <w:rFonts w:hint="eastAsia" w:ascii="宋体" w:hAnsi="宋体" w:eastAsia="宋体" w:cs="宋体"/>
                <w:sz w:val="28"/>
                <w:szCs w:val="28"/>
                <w:lang w:val="en-US" w:eastAsia="zh-CN"/>
              </w:rPr>
              <w:t>3.核医学科工作场所包括但不限于：</w:t>
            </w:r>
            <w:r>
              <w:rPr>
                <w:rFonts w:hint="eastAsia" w:ascii="宋体" w:hAnsi="宋体" w:eastAsia="宋体" w:cs="宋体"/>
                <w:b/>
                <w:bCs/>
                <w:color w:val="auto"/>
                <w:sz w:val="30"/>
                <w:szCs w:val="30"/>
                <w:vertAlign w:val="superscript"/>
                <w:lang w:val="en-US" w:eastAsia="zh-CN"/>
              </w:rPr>
              <w:t>18</w:t>
            </w:r>
            <w:r>
              <w:rPr>
                <w:rFonts w:hint="eastAsia" w:ascii="宋体" w:hAnsi="宋体" w:eastAsia="宋体" w:cs="宋体"/>
                <w:b/>
                <w:bCs/>
                <w:color w:val="auto"/>
                <w:sz w:val="30"/>
                <w:szCs w:val="30"/>
                <w:lang w:val="en-US" w:eastAsia="zh-CN"/>
              </w:rPr>
              <w:t>F、</w:t>
            </w:r>
            <w:r>
              <w:rPr>
                <w:rFonts w:hint="eastAsia" w:ascii="宋体" w:hAnsi="宋体" w:eastAsia="宋体" w:cs="宋体"/>
                <w:b/>
                <w:bCs/>
                <w:color w:val="auto"/>
                <w:sz w:val="30"/>
                <w:szCs w:val="30"/>
                <w:vertAlign w:val="superscript"/>
                <w:lang w:val="en-US" w:eastAsia="zh-CN"/>
              </w:rPr>
              <w:t>99</w:t>
            </w:r>
            <w:r>
              <w:rPr>
                <w:rFonts w:hint="eastAsia" w:ascii="宋体" w:hAnsi="宋体" w:eastAsia="宋体" w:cs="宋体"/>
                <w:b/>
                <w:bCs/>
                <w:color w:val="auto"/>
                <w:sz w:val="30"/>
                <w:szCs w:val="30"/>
                <w:lang w:val="en-US" w:eastAsia="zh-CN"/>
              </w:rPr>
              <w:t>Tc</w:t>
            </w:r>
            <w:r>
              <w:rPr>
                <w:rFonts w:hint="eastAsia" w:ascii="宋体" w:hAnsi="宋体" w:eastAsia="宋体" w:cs="宋体"/>
                <w:b/>
                <w:bCs/>
                <w:color w:val="auto"/>
                <w:sz w:val="30"/>
                <w:szCs w:val="30"/>
                <w:vertAlign w:val="superscript"/>
                <w:lang w:val="en-US" w:eastAsia="zh-CN"/>
              </w:rPr>
              <w:t>m</w:t>
            </w:r>
            <w:r>
              <w:rPr>
                <w:rFonts w:hint="eastAsia" w:ascii="宋体" w:hAnsi="宋体" w:eastAsia="宋体" w:cs="宋体"/>
                <w:b/>
                <w:bCs/>
                <w:color w:val="auto"/>
                <w:sz w:val="30"/>
                <w:szCs w:val="30"/>
                <w:vertAlign w:val="baseline"/>
                <w:lang w:val="en-US" w:eastAsia="zh-CN"/>
              </w:rPr>
              <w:t>、</w:t>
            </w:r>
            <w:r>
              <w:rPr>
                <w:rFonts w:hint="eastAsia" w:ascii="宋体" w:hAnsi="宋体" w:eastAsia="宋体" w:cs="宋体"/>
                <w:b/>
                <w:bCs/>
                <w:color w:val="auto"/>
                <w:sz w:val="30"/>
                <w:szCs w:val="30"/>
                <w:vertAlign w:val="superscript"/>
                <w:lang w:val="en-US" w:eastAsia="zh-CN"/>
              </w:rPr>
              <w:t>125</w:t>
            </w:r>
            <w:r>
              <w:rPr>
                <w:rFonts w:hint="eastAsia" w:ascii="宋体" w:hAnsi="宋体" w:eastAsia="宋体" w:cs="宋体"/>
                <w:b/>
                <w:bCs/>
                <w:color w:val="auto"/>
                <w:sz w:val="30"/>
                <w:szCs w:val="30"/>
                <w:lang w:val="en-US" w:eastAsia="zh-CN"/>
              </w:rPr>
              <w:t>I、</w:t>
            </w:r>
            <w:r>
              <w:rPr>
                <w:rFonts w:hint="eastAsia" w:ascii="宋体" w:hAnsi="宋体" w:eastAsia="宋体" w:cs="宋体"/>
                <w:b/>
                <w:bCs/>
                <w:color w:val="auto"/>
                <w:sz w:val="30"/>
                <w:szCs w:val="30"/>
                <w:vertAlign w:val="superscript"/>
                <w:lang w:val="en-US" w:eastAsia="zh-CN"/>
              </w:rPr>
              <w:t>131</w:t>
            </w:r>
            <w:r>
              <w:rPr>
                <w:rFonts w:hint="eastAsia" w:ascii="宋体" w:hAnsi="宋体" w:eastAsia="宋体" w:cs="宋体"/>
                <w:b/>
                <w:bCs/>
                <w:color w:val="auto"/>
                <w:sz w:val="30"/>
                <w:szCs w:val="30"/>
                <w:lang w:val="en-US" w:eastAsia="zh-CN"/>
              </w:rPr>
              <w:t>I、</w:t>
            </w:r>
            <w:r>
              <w:rPr>
                <w:rFonts w:hint="eastAsia" w:ascii="宋体" w:hAnsi="宋体" w:cs="Arial"/>
                <w:b/>
                <w:bCs/>
                <w:color w:val="auto"/>
                <w:kern w:val="0"/>
                <w:sz w:val="32"/>
                <w:szCs w:val="32"/>
                <w:vertAlign w:val="superscript"/>
              </w:rPr>
              <w:t>90</w:t>
            </w:r>
            <w:r>
              <w:rPr>
                <w:rFonts w:hint="eastAsia" w:ascii="宋体" w:hAnsi="宋体" w:cs="Arial"/>
                <w:b/>
                <w:bCs/>
                <w:color w:val="auto"/>
                <w:kern w:val="0"/>
                <w:sz w:val="32"/>
                <w:szCs w:val="32"/>
              </w:rPr>
              <w:t>Y</w:t>
            </w:r>
            <w:r>
              <w:rPr>
                <w:rFonts w:hint="eastAsia" w:ascii="宋体" w:hAnsi="宋体" w:cs="Arial"/>
                <w:color w:val="auto"/>
                <w:kern w:val="0"/>
                <w:sz w:val="32"/>
                <w:szCs w:val="32"/>
                <w:lang w:eastAsia="zh-CN"/>
              </w:rPr>
              <w:t>、</w:t>
            </w:r>
            <w:r>
              <w:rPr>
                <w:rFonts w:hint="eastAsia" w:ascii="宋体" w:hAnsi="宋体" w:eastAsia="宋体" w:cs="宋体"/>
                <w:b/>
                <w:bCs/>
                <w:color w:val="auto"/>
                <w:sz w:val="30"/>
                <w:szCs w:val="30"/>
                <w:lang w:val="en-US" w:eastAsia="zh-CN"/>
              </w:rPr>
              <w:t>回旋加速器、敷贴器</w:t>
            </w:r>
            <w:r>
              <w:rPr>
                <w:rFonts w:hint="eastAsia" w:ascii="宋体" w:hAnsi="宋体" w:eastAsia="宋体" w:cs="宋体"/>
                <w:color w:val="auto"/>
                <w:sz w:val="28"/>
                <w:szCs w:val="28"/>
                <w:lang w:val="en-US" w:eastAsia="zh-CN"/>
              </w:rPr>
              <w:t>。</w:t>
            </w:r>
          </w:p>
        </w:tc>
      </w:tr>
    </w:tbl>
    <w:p w14:paraId="01C64C51">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3.报价要求合同期和结算方式（表2）</w:t>
      </w:r>
    </w:p>
    <w:tbl>
      <w:tblPr>
        <w:tblStyle w:val="8"/>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850"/>
        <w:gridCol w:w="2171"/>
        <w:gridCol w:w="3192"/>
      </w:tblGrid>
      <w:tr w14:paraId="70DE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194" w:type="dxa"/>
            <w:gridSpan w:val="4"/>
          </w:tcPr>
          <w:p w14:paraId="707248A9">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报价表</w:t>
            </w:r>
          </w:p>
        </w:tc>
      </w:tr>
      <w:tr w14:paraId="78B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81" w:type="dxa"/>
          </w:tcPr>
          <w:p w14:paraId="59173053">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序号</w:t>
            </w:r>
          </w:p>
        </w:tc>
        <w:tc>
          <w:tcPr>
            <w:tcW w:w="3850" w:type="dxa"/>
          </w:tcPr>
          <w:p w14:paraId="153C61B7">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项目类别</w:t>
            </w:r>
          </w:p>
        </w:tc>
        <w:tc>
          <w:tcPr>
            <w:tcW w:w="2171" w:type="dxa"/>
          </w:tcPr>
          <w:p w14:paraId="32B48CE0">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数量</w:t>
            </w:r>
          </w:p>
        </w:tc>
        <w:tc>
          <w:tcPr>
            <w:tcW w:w="3192" w:type="dxa"/>
          </w:tcPr>
          <w:p w14:paraId="7FCFC30D">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单价（元）</w:t>
            </w:r>
          </w:p>
        </w:tc>
      </w:tr>
      <w:tr w14:paraId="71B2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1" w:type="dxa"/>
          </w:tcPr>
          <w:p w14:paraId="410CBAA9">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850" w:type="dxa"/>
          </w:tcPr>
          <w:p w14:paraId="47111482">
            <w:pPr>
              <w:numPr>
                <w:ilvl w:val="0"/>
                <w:numId w:val="0"/>
              </w:numPr>
              <w:spacing w:line="360" w:lineRule="auto"/>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ECT</w:t>
            </w:r>
          </w:p>
        </w:tc>
        <w:tc>
          <w:tcPr>
            <w:tcW w:w="2171" w:type="dxa"/>
          </w:tcPr>
          <w:p w14:paraId="7930F9C2">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192" w:type="dxa"/>
          </w:tcPr>
          <w:p w14:paraId="16D2FFAD">
            <w:pPr>
              <w:numPr>
                <w:ilvl w:val="0"/>
                <w:numId w:val="0"/>
              </w:numPr>
              <w:spacing w:line="360" w:lineRule="auto"/>
              <w:jc w:val="center"/>
              <w:rPr>
                <w:rFonts w:hint="default" w:eastAsia="宋体"/>
                <w:b w:val="0"/>
                <w:bCs w:val="0"/>
                <w:color w:val="auto"/>
                <w:sz w:val="24"/>
                <w:szCs w:val="24"/>
                <w:lang w:val="en-US" w:eastAsia="zh-CN"/>
              </w:rPr>
            </w:pPr>
          </w:p>
        </w:tc>
      </w:tr>
      <w:tr w14:paraId="187B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1" w:type="dxa"/>
          </w:tcPr>
          <w:p w14:paraId="002A3FB9">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2</w:t>
            </w:r>
          </w:p>
        </w:tc>
        <w:tc>
          <w:tcPr>
            <w:tcW w:w="3850" w:type="dxa"/>
          </w:tcPr>
          <w:p w14:paraId="4D3B23D2">
            <w:pPr>
              <w:numPr>
                <w:ilvl w:val="0"/>
                <w:numId w:val="0"/>
              </w:numPr>
              <w:spacing w:line="360" w:lineRule="auto"/>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PET/CT</w:t>
            </w:r>
          </w:p>
        </w:tc>
        <w:tc>
          <w:tcPr>
            <w:tcW w:w="2171" w:type="dxa"/>
          </w:tcPr>
          <w:p w14:paraId="6A1CB025">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192" w:type="dxa"/>
          </w:tcPr>
          <w:p w14:paraId="23444BE3">
            <w:pPr>
              <w:numPr>
                <w:ilvl w:val="0"/>
                <w:numId w:val="0"/>
              </w:numPr>
              <w:spacing w:line="360" w:lineRule="auto"/>
              <w:jc w:val="center"/>
              <w:rPr>
                <w:rFonts w:hint="default" w:eastAsia="宋体"/>
                <w:b w:val="0"/>
                <w:bCs w:val="0"/>
                <w:color w:val="auto"/>
                <w:sz w:val="24"/>
                <w:szCs w:val="24"/>
                <w:lang w:val="en-US" w:eastAsia="zh-CN"/>
              </w:rPr>
            </w:pPr>
          </w:p>
        </w:tc>
      </w:tr>
      <w:tr w14:paraId="37BA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1" w:type="dxa"/>
          </w:tcPr>
          <w:p w14:paraId="236658DE">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3</w:t>
            </w:r>
          </w:p>
        </w:tc>
        <w:tc>
          <w:tcPr>
            <w:tcW w:w="3850" w:type="dxa"/>
          </w:tcPr>
          <w:p w14:paraId="5E88E4F7">
            <w:pPr>
              <w:numPr>
                <w:ilvl w:val="0"/>
                <w:numId w:val="0"/>
              </w:numPr>
              <w:spacing w:line="360" w:lineRule="auto"/>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TOMO</w:t>
            </w:r>
          </w:p>
        </w:tc>
        <w:tc>
          <w:tcPr>
            <w:tcW w:w="2171" w:type="dxa"/>
            <w:vAlign w:val="top"/>
          </w:tcPr>
          <w:p w14:paraId="17FB6A0B">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192" w:type="dxa"/>
          </w:tcPr>
          <w:p w14:paraId="0DB8B7A6">
            <w:pPr>
              <w:numPr>
                <w:ilvl w:val="0"/>
                <w:numId w:val="0"/>
              </w:numPr>
              <w:spacing w:line="360" w:lineRule="auto"/>
              <w:jc w:val="center"/>
              <w:rPr>
                <w:rFonts w:hint="default" w:eastAsia="宋体"/>
                <w:b w:val="0"/>
                <w:bCs w:val="0"/>
                <w:color w:val="auto"/>
                <w:sz w:val="24"/>
                <w:szCs w:val="24"/>
                <w:lang w:val="en-US" w:eastAsia="zh-CN"/>
              </w:rPr>
            </w:pPr>
          </w:p>
        </w:tc>
      </w:tr>
      <w:tr w14:paraId="100D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1" w:type="dxa"/>
            <w:vAlign w:val="top"/>
          </w:tcPr>
          <w:p w14:paraId="46C4B96A">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4</w:t>
            </w:r>
          </w:p>
        </w:tc>
        <w:tc>
          <w:tcPr>
            <w:tcW w:w="3850" w:type="dxa"/>
            <w:vAlign w:val="top"/>
          </w:tcPr>
          <w:p w14:paraId="42153075">
            <w:pPr>
              <w:numPr>
                <w:ilvl w:val="0"/>
                <w:numId w:val="0"/>
              </w:numPr>
              <w:spacing w:line="360" w:lineRule="auto"/>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后装治疗机</w:t>
            </w:r>
          </w:p>
        </w:tc>
        <w:tc>
          <w:tcPr>
            <w:tcW w:w="2171" w:type="dxa"/>
            <w:vAlign w:val="top"/>
          </w:tcPr>
          <w:p w14:paraId="12FE37D7">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192" w:type="dxa"/>
          </w:tcPr>
          <w:p w14:paraId="3753BA20">
            <w:pPr>
              <w:numPr>
                <w:ilvl w:val="0"/>
                <w:numId w:val="0"/>
              </w:numPr>
              <w:spacing w:line="360" w:lineRule="auto"/>
              <w:jc w:val="center"/>
              <w:rPr>
                <w:rFonts w:hint="default" w:eastAsia="宋体"/>
                <w:b w:val="0"/>
                <w:bCs w:val="0"/>
                <w:color w:val="auto"/>
                <w:sz w:val="24"/>
                <w:szCs w:val="24"/>
                <w:lang w:val="en-US" w:eastAsia="zh-CN"/>
              </w:rPr>
            </w:pPr>
          </w:p>
        </w:tc>
      </w:tr>
      <w:tr w14:paraId="1074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1" w:type="dxa"/>
            <w:vAlign w:val="top"/>
          </w:tcPr>
          <w:p w14:paraId="336FC5DC">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5</w:t>
            </w:r>
          </w:p>
        </w:tc>
        <w:tc>
          <w:tcPr>
            <w:tcW w:w="3850" w:type="dxa"/>
            <w:vAlign w:val="top"/>
          </w:tcPr>
          <w:p w14:paraId="3DF0F2A6">
            <w:pPr>
              <w:numPr>
                <w:ilvl w:val="0"/>
                <w:numId w:val="0"/>
              </w:numPr>
              <w:spacing w:line="360" w:lineRule="auto"/>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直线加速器</w:t>
            </w:r>
          </w:p>
        </w:tc>
        <w:tc>
          <w:tcPr>
            <w:tcW w:w="2171" w:type="dxa"/>
            <w:vAlign w:val="top"/>
          </w:tcPr>
          <w:p w14:paraId="7B2B5463">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192" w:type="dxa"/>
          </w:tcPr>
          <w:p w14:paraId="1F10B122">
            <w:pPr>
              <w:numPr>
                <w:ilvl w:val="0"/>
                <w:numId w:val="0"/>
              </w:numPr>
              <w:spacing w:line="360" w:lineRule="auto"/>
              <w:jc w:val="center"/>
              <w:rPr>
                <w:rFonts w:hint="default" w:eastAsia="宋体"/>
                <w:b w:val="0"/>
                <w:bCs w:val="0"/>
                <w:color w:val="auto"/>
                <w:sz w:val="24"/>
                <w:szCs w:val="24"/>
                <w:lang w:val="en-US" w:eastAsia="zh-CN"/>
              </w:rPr>
            </w:pPr>
          </w:p>
        </w:tc>
      </w:tr>
      <w:tr w14:paraId="43C0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1" w:type="dxa"/>
            <w:vAlign w:val="top"/>
          </w:tcPr>
          <w:p w14:paraId="606E4BE2">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6</w:t>
            </w:r>
          </w:p>
        </w:tc>
        <w:tc>
          <w:tcPr>
            <w:tcW w:w="3850" w:type="dxa"/>
            <w:vAlign w:val="top"/>
          </w:tcPr>
          <w:p w14:paraId="5B34B36D">
            <w:pPr>
              <w:numPr>
                <w:ilvl w:val="0"/>
                <w:numId w:val="0"/>
              </w:numPr>
              <w:spacing w:line="360" w:lineRule="auto"/>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核医学科工作场所</w:t>
            </w:r>
          </w:p>
        </w:tc>
        <w:tc>
          <w:tcPr>
            <w:tcW w:w="2171" w:type="dxa"/>
            <w:vAlign w:val="top"/>
          </w:tcPr>
          <w:p w14:paraId="62AE9E8C">
            <w:pPr>
              <w:numPr>
                <w:ilvl w:val="0"/>
                <w:numId w:val="0"/>
              </w:numPr>
              <w:spacing w:line="360" w:lineRule="auto"/>
              <w:jc w:val="center"/>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w:t>
            </w:r>
          </w:p>
        </w:tc>
        <w:tc>
          <w:tcPr>
            <w:tcW w:w="3192" w:type="dxa"/>
          </w:tcPr>
          <w:p w14:paraId="0E97E30C">
            <w:pPr>
              <w:numPr>
                <w:ilvl w:val="0"/>
                <w:numId w:val="0"/>
              </w:numPr>
              <w:spacing w:line="360" w:lineRule="auto"/>
              <w:jc w:val="center"/>
              <w:rPr>
                <w:rFonts w:hint="default" w:eastAsia="宋体"/>
                <w:b w:val="0"/>
                <w:bCs w:val="0"/>
                <w:color w:val="auto"/>
                <w:sz w:val="24"/>
                <w:szCs w:val="24"/>
                <w:lang w:val="en-US" w:eastAsia="zh-CN"/>
              </w:rPr>
            </w:pPr>
          </w:p>
        </w:tc>
      </w:tr>
      <w:tr w14:paraId="25F5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02" w:type="dxa"/>
            <w:gridSpan w:val="3"/>
            <w:vAlign w:val="top"/>
          </w:tcPr>
          <w:p w14:paraId="54C94C11">
            <w:pPr>
              <w:numPr>
                <w:ilvl w:val="0"/>
                <w:numId w:val="0"/>
              </w:numPr>
              <w:spacing w:line="360" w:lineRule="auto"/>
              <w:jc w:val="center"/>
              <w:rPr>
                <w:rFonts w:hint="default" w:eastAsia="宋体"/>
                <w:b/>
                <w:bCs/>
                <w:color w:val="auto"/>
                <w:sz w:val="24"/>
                <w:szCs w:val="24"/>
                <w:lang w:val="en-US" w:eastAsia="zh-CN"/>
              </w:rPr>
            </w:pPr>
            <w:r>
              <w:rPr>
                <w:rFonts w:hint="eastAsia" w:eastAsia="宋体"/>
                <w:b/>
                <w:bCs/>
                <w:color w:val="auto"/>
                <w:sz w:val="24"/>
                <w:szCs w:val="24"/>
                <w:lang w:val="en-US" w:eastAsia="zh-CN"/>
              </w:rPr>
              <w:t>单价合计（元）</w:t>
            </w:r>
          </w:p>
        </w:tc>
        <w:tc>
          <w:tcPr>
            <w:tcW w:w="3192" w:type="dxa"/>
          </w:tcPr>
          <w:p w14:paraId="701905F5">
            <w:pPr>
              <w:numPr>
                <w:ilvl w:val="0"/>
                <w:numId w:val="0"/>
              </w:numPr>
              <w:spacing w:line="360" w:lineRule="auto"/>
              <w:jc w:val="center"/>
              <w:rPr>
                <w:rFonts w:hint="default" w:eastAsia="宋体"/>
                <w:b/>
                <w:bCs/>
                <w:color w:val="auto"/>
                <w:sz w:val="24"/>
                <w:szCs w:val="24"/>
                <w:lang w:val="en-US" w:eastAsia="zh-CN"/>
              </w:rPr>
            </w:pPr>
          </w:p>
        </w:tc>
      </w:tr>
    </w:tbl>
    <w:p w14:paraId="4185540C">
      <w:pPr>
        <w:keepNext w:val="0"/>
        <w:keepLines w:val="0"/>
        <w:pageBreakBefore w:val="0"/>
        <w:widowControl w:val="0"/>
        <w:numPr>
          <w:ilvl w:val="0"/>
          <w:numId w:val="6"/>
        </w:numPr>
        <w:kinsoku/>
        <w:wordWrap/>
        <w:overflowPunct/>
        <w:topLinePunct w:val="0"/>
        <w:autoSpaceDE/>
        <w:autoSpaceDN/>
        <w:bidi w:val="0"/>
        <w:snapToGrid/>
        <w:spacing w:line="560" w:lineRule="exact"/>
        <w:ind w:left="425" w:leftChars="0" w:hanging="425"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报价方式：按射线装置/工作场所进项目类别行报价；</w:t>
      </w:r>
    </w:p>
    <w:p w14:paraId="29EBB7E4">
      <w:pPr>
        <w:keepNext w:val="0"/>
        <w:keepLines w:val="0"/>
        <w:pageBreakBefore w:val="0"/>
        <w:widowControl w:val="0"/>
        <w:numPr>
          <w:ilvl w:val="0"/>
          <w:numId w:val="6"/>
        </w:numPr>
        <w:kinsoku/>
        <w:wordWrap/>
        <w:overflowPunct/>
        <w:topLinePunct w:val="0"/>
        <w:autoSpaceDE/>
        <w:autoSpaceDN/>
        <w:bidi w:val="0"/>
        <w:snapToGrid/>
        <w:spacing w:line="560" w:lineRule="exact"/>
        <w:ind w:left="425" w:leftChars="0" w:hanging="425"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以上表1为我院现有的核医学科、肿瘤放疗中心工作场所放射防护及设备， 原则按照清单进行年度检测，如有设备搬迁按原设备进行监测，费用不变；如有增减射线装置/工作场所，按合同签订的射线装置/工作场所进行增减费用结算。</w:t>
      </w:r>
    </w:p>
    <w:p w14:paraId="186A3940">
      <w:pPr>
        <w:keepNext w:val="0"/>
        <w:keepLines w:val="0"/>
        <w:pageBreakBefore w:val="0"/>
        <w:widowControl w:val="0"/>
        <w:numPr>
          <w:ilvl w:val="0"/>
          <w:numId w:val="6"/>
        </w:numPr>
        <w:kinsoku/>
        <w:wordWrap/>
        <w:overflowPunct/>
        <w:topLinePunct w:val="0"/>
        <w:autoSpaceDE/>
        <w:autoSpaceDN/>
        <w:bidi w:val="0"/>
        <w:snapToGrid/>
        <w:spacing w:line="560" w:lineRule="exact"/>
        <w:ind w:left="425" w:leftChars="0" w:hanging="425"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报价含：现场检测、用人、用车、报告编制税费等为完成本项目的其他所有费用；</w:t>
      </w:r>
    </w:p>
    <w:p w14:paraId="210FEBE8">
      <w:pPr>
        <w:keepNext w:val="0"/>
        <w:keepLines w:val="0"/>
        <w:pageBreakBefore w:val="0"/>
        <w:widowControl w:val="0"/>
        <w:numPr>
          <w:ilvl w:val="0"/>
          <w:numId w:val="6"/>
        </w:numPr>
        <w:kinsoku/>
        <w:wordWrap/>
        <w:overflowPunct/>
        <w:topLinePunct w:val="0"/>
        <w:autoSpaceDE/>
        <w:autoSpaceDN/>
        <w:bidi w:val="0"/>
        <w:snapToGrid/>
        <w:spacing w:line="560" w:lineRule="exact"/>
        <w:ind w:left="425" w:leftChars="0" w:hanging="425"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合同期：3年；</w:t>
      </w:r>
    </w:p>
    <w:p w14:paraId="6F288FF1">
      <w:pPr>
        <w:keepNext w:val="0"/>
        <w:keepLines w:val="0"/>
        <w:pageBreakBefore w:val="0"/>
        <w:widowControl w:val="0"/>
        <w:numPr>
          <w:ilvl w:val="0"/>
          <w:numId w:val="6"/>
        </w:numPr>
        <w:kinsoku/>
        <w:wordWrap/>
        <w:overflowPunct/>
        <w:topLinePunct w:val="0"/>
        <w:autoSpaceDE/>
        <w:autoSpaceDN/>
        <w:bidi w:val="0"/>
        <w:snapToGrid/>
        <w:spacing w:line="560" w:lineRule="exact"/>
        <w:ind w:left="425" w:leftChars="0" w:hanging="425"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结算方式：每年按实际完成射线装置/工作场所检测项目类别数量并出具报告后进行结算</w:t>
      </w:r>
    </w:p>
    <w:p w14:paraId="5118E1C2">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lang w:val="en-US" w:eastAsia="zh-CN"/>
        </w:rPr>
        <w:t>4.</w:t>
      </w:r>
      <w:r>
        <w:rPr>
          <w:rStyle w:val="10"/>
          <w:rFonts w:hint="eastAsia" w:ascii="仿宋" w:hAnsi="仿宋" w:eastAsia="仿宋" w:cs="仿宋"/>
          <w:b/>
          <w:bCs/>
          <w:i w:val="0"/>
          <w:iCs w:val="0"/>
          <w:caps w:val="0"/>
          <w:color w:val="404040"/>
          <w:spacing w:val="0"/>
          <w:sz w:val="28"/>
          <w:szCs w:val="28"/>
          <w:shd w:val="clear" w:fill="FFFFFF"/>
        </w:rPr>
        <w:t>交付成果</w:t>
      </w:r>
    </w:p>
    <w:p w14:paraId="048C489D">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《放射</w:t>
      </w:r>
      <w:r>
        <w:rPr>
          <w:rFonts w:hint="eastAsia" w:ascii="仿宋" w:hAnsi="仿宋" w:eastAsia="仿宋" w:cs="仿宋"/>
          <w:color w:val="auto"/>
          <w:sz w:val="28"/>
          <w:szCs w:val="28"/>
          <w:lang w:val="en-US" w:eastAsia="zh-CN"/>
        </w:rPr>
        <w:t>工作场所放射防护及设备性能检验/检测报告</w:t>
      </w:r>
      <w:r>
        <w:rPr>
          <w:rFonts w:hint="eastAsia" w:ascii="仿宋" w:hAnsi="仿宋" w:eastAsia="仿宋" w:cs="仿宋"/>
          <w:bCs/>
          <w:color w:val="auto"/>
          <w:sz w:val="28"/>
          <w:szCs w:val="28"/>
          <w:lang w:val="en-US" w:eastAsia="zh-CN"/>
        </w:rPr>
        <w:t>》</w:t>
      </w:r>
    </w:p>
    <w:p w14:paraId="5A5A7474">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技术服务标准</w:t>
      </w:r>
    </w:p>
    <w:p w14:paraId="362BE04A">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lang w:val="en-US" w:eastAsia="zh-CN"/>
        </w:rPr>
        <w:t>1.</w:t>
      </w:r>
      <w:r>
        <w:rPr>
          <w:rStyle w:val="10"/>
          <w:rFonts w:hint="eastAsia" w:ascii="仿宋" w:hAnsi="仿宋" w:eastAsia="仿宋" w:cs="仿宋"/>
          <w:b/>
          <w:bCs/>
          <w:i w:val="0"/>
          <w:iCs w:val="0"/>
          <w:caps w:val="0"/>
          <w:color w:val="404040"/>
          <w:spacing w:val="0"/>
          <w:sz w:val="28"/>
          <w:szCs w:val="28"/>
          <w:shd w:val="clear" w:fill="FFFFFF"/>
        </w:rPr>
        <w:t>法规依据</w:t>
      </w:r>
    </w:p>
    <w:p w14:paraId="26BFE1AC">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《中华人民共和国职业病防治法》《放射诊疗管理规定》等。</w:t>
      </w:r>
    </w:p>
    <w:p w14:paraId="09BA1B7D">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lang w:val="en-US" w:eastAsia="zh-CN"/>
        </w:rPr>
        <w:t>2.</w:t>
      </w:r>
      <w:r>
        <w:rPr>
          <w:rStyle w:val="10"/>
          <w:rFonts w:hint="eastAsia" w:ascii="仿宋" w:hAnsi="仿宋" w:eastAsia="仿宋" w:cs="仿宋"/>
          <w:b/>
          <w:bCs/>
          <w:i w:val="0"/>
          <w:iCs w:val="0"/>
          <w:caps w:val="0"/>
          <w:color w:val="404040"/>
          <w:spacing w:val="0"/>
          <w:sz w:val="28"/>
          <w:szCs w:val="28"/>
          <w:shd w:val="clear" w:fill="FFFFFF"/>
        </w:rPr>
        <w:t>质量控制</w:t>
      </w:r>
    </w:p>
    <w:p w14:paraId="0E935A92">
      <w:pPr>
        <w:keepNext w:val="0"/>
        <w:keepLines w:val="0"/>
        <w:pageBreakBefore w:val="0"/>
        <w:widowControl w:val="0"/>
        <w:numPr>
          <w:ilvl w:val="0"/>
          <w:numId w:val="7"/>
        </w:numPr>
        <w:kinsoku/>
        <w:wordWrap/>
        <w:overflowPunct/>
        <w:topLinePunct w:val="0"/>
        <w:autoSpaceDE/>
        <w:autoSpaceDN/>
        <w:bidi w:val="0"/>
        <w:snapToGrid/>
        <w:spacing w:line="500" w:lineRule="exact"/>
        <w:ind w:left="425" w:leftChars="0" w:hanging="425" w:firstLineChars="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检测仪器需定期检定，数据真实可追溯。</w:t>
      </w:r>
    </w:p>
    <w:p w14:paraId="75458382">
      <w:pPr>
        <w:keepNext w:val="0"/>
        <w:keepLines w:val="0"/>
        <w:pageBreakBefore w:val="0"/>
        <w:widowControl w:val="0"/>
        <w:numPr>
          <w:ilvl w:val="0"/>
          <w:numId w:val="7"/>
        </w:numPr>
        <w:kinsoku/>
        <w:wordWrap/>
        <w:overflowPunct/>
        <w:topLinePunct w:val="0"/>
        <w:autoSpaceDE/>
        <w:autoSpaceDN/>
        <w:bidi w:val="0"/>
        <w:snapToGrid/>
        <w:spacing w:line="500" w:lineRule="exact"/>
        <w:ind w:left="425" w:leftChars="0" w:hanging="425" w:firstLineChars="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报告需经内部三级审核，确保结论科学严谨。</w:t>
      </w:r>
    </w:p>
    <w:p w14:paraId="15B98185">
      <w:pPr>
        <w:keepNext w:val="0"/>
        <w:keepLines w:val="0"/>
        <w:pageBreakBefore w:val="0"/>
        <w:widowControl w:val="0"/>
        <w:numPr>
          <w:ilvl w:val="0"/>
          <w:numId w:val="7"/>
        </w:numPr>
        <w:kinsoku/>
        <w:wordWrap/>
        <w:overflowPunct/>
        <w:topLinePunct w:val="0"/>
        <w:autoSpaceDE/>
        <w:autoSpaceDN/>
        <w:bidi w:val="0"/>
        <w:snapToGrid/>
        <w:spacing w:line="500" w:lineRule="exact"/>
        <w:ind w:left="425" w:leftChars="0" w:hanging="425" w:firstLineChars="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项目负责人需具备放射防护相关专业高级职称，并持有放射卫生评价培训合格证书。</w:t>
      </w:r>
    </w:p>
    <w:p w14:paraId="22BC2F03">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服务商遴选方式</w:t>
      </w:r>
    </w:p>
    <w:p w14:paraId="251B6E48">
      <w:pPr>
        <w:keepNext w:val="0"/>
        <w:keepLines w:val="0"/>
        <w:pageBreakBefore w:val="0"/>
        <w:widowControl w:val="0"/>
        <w:numPr>
          <w:ilvl w:val="0"/>
          <w:numId w:val="0"/>
        </w:numPr>
        <w:kinsoku/>
        <w:wordWrap/>
        <w:overflowPunct/>
        <w:topLinePunct w:val="0"/>
        <w:autoSpaceDE/>
        <w:autoSpaceDN/>
        <w:bidi w:val="0"/>
        <w:snapToGrid/>
        <w:spacing w:line="560" w:lineRule="exact"/>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对服务商服务及时性及价格进行综合评价，遴选1家服务商。</w:t>
      </w:r>
    </w:p>
    <w:p w14:paraId="1DF477A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rPr>
          <w:rFonts w:hint="eastAsia" w:ascii="仿宋" w:hAnsi="仿宋" w:eastAsia="仿宋" w:cs="仿宋"/>
          <w:b w:val="0"/>
          <w:i w:val="0"/>
          <w:kern w:val="0"/>
          <w:sz w:val="28"/>
          <w:szCs w:val="28"/>
          <w:lang w:val="en-US" w:eastAsia="zh-CN" w:bidi="ar"/>
        </w:rPr>
      </w:pPr>
    </w:p>
    <w:p w14:paraId="653E7D8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bookmarkStart w:id="1" w:name="_GoBack"/>
      <w:bookmarkEnd w:id="1"/>
    </w:p>
    <w:p w14:paraId="0320069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55CBC9B8">
      <w:pPr>
        <w:keepNext w:val="0"/>
        <w:keepLines w:val="0"/>
        <w:pageBreakBefore w:val="0"/>
        <w:kinsoku/>
        <w:wordWrap/>
        <w:overflowPunct/>
        <w:topLinePunct w:val="0"/>
        <w:autoSpaceDE/>
        <w:autoSpaceDN/>
        <w:bidi w:val="0"/>
        <w:snapToGrid/>
        <w:spacing w:line="440" w:lineRule="exact"/>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8EF7"/>
    <w:multiLevelType w:val="singleLevel"/>
    <w:tmpl w:val="8D778EF7"/>
    <w:lvl w:ilvl="0" w:tentative="0">
      <w:start w:val="1"/>
      <w:numFmt w:val="decimal"/>
      <w:suff w:val="nothing"/>
      <w:lvlText w:val="%1．"/>
      <w:lvlJc w:val="left"/>
      <w:pPr>
        <w:ind w:left="0" w:firstLine="400"/>
      </w:pPr>
      <w:rPr>
        <w:rFonts w:hint="default"/>
      </w:rPr>
    </w:lvl>
  </w:abstractNum>
  <w:abstractNum w:abstractNumId="1">
    <w:nsid w:val="B023430D"/>
    <w:multiLevelType w:val="singleLevel"/>
    <w:tmpl w:val="B023430D"/>
    <w:lvl w:ilvl="0" w:tentative="0">
      <w:start w:val="1"/>
      <w:numFmt w:val="decimal"/>
      <w:suff w:val="nothing"/>
      <w:lvlText w:val="%1．"/>
      <w:lvlJc w:val="left"/>
      <w:pPr>
        <w:ind w:left="0" w:firstLine="400"/>
      </w:pPr>
      <w:rPr>
        <w:rFonts w:hint="default"/>
      </w:rPr>
    </w:lvl>
  </w:abstractNum>
  <w:abstractNum w:abstractNumId="2">
    <w:nsid w:val="B7757ACA"/>
    <w:multiLevelType w:val="singleLevel"/>
    <w:tmpl w:val="B7757ACA"/>
    <w:lvl w:ilvl="0" w:tentative="0">
      <w:start w:val="1"/>
      <w:numFmt w:val="decimal"/>
      <w:lvlText w:val="(%1)"/>
      <w:lvlJc w:val="left"/>
      <w:pPr>
        <w:ind w:left="425" w:hanging="425"/>
      </w:pPr>
      <w:rPr>
        <w:rFonts w:hint="default"/>
      </w:rPr>
    </w:lvl>
  </w:abstractNum>
  <w:abstractNum w:abstractNumId="3">
    <w:nsid w:val="CF3E3AD2"/>
    <w:multiLevelType w:val="singleLevel"/>
    <w:tmpl w:val="CF3E3AD2"/>
    <w:lvl w:ilvl="0" w:tentative="0">
      <w:start w:val="1"/>
      <w:numFmt w:val="chineseCounting"/>
      <w:suff w:val="nothing"/>
      <w:lvlText w:val="%1、"/>
      <w:lvlJc w:val="left"/>
      <w:pPr>
        <w:ind w:left="0" w:firstLine="420"/>
      </w:pPr>
      <w:rPr>
        <w:rFonts w:hint="eastAsia"/>
      </w:rPr>
    </w:lvl>
  </w:abstractNum>
  <w:abstractNum w:abstractNumId="4">
    <w:nsid w:val="408C7C53"/>
    <w:multiLevelType w:val="singleLevel"/>
    <w:tmpl w:val="408C7C53"/>
    <w:lvl w:ilvl="0" w:tentative="0">
      <w:start w:val="1"/>
      <w:numFmt w:val="decimal"/>
      <w:lvlText w:val="(%1)"/>
      <w:lvlJc w:val="left"/>
      <w:pPr>
        <w:ind w:left="425" w:hanging="425"/>
      </w:pPr>
      <w:rPr>
        <w:rFonts w:hint="default"/>
      </w:rPr>
    </w:lvl>
  </w:abstractNum>
  <w:abstractNum w:abstractNumId="5">
    <w:nsid w:val="6ED4AB6B"/>
    <w:multiLevelType w:val="singleLevel"/>
    <w:tmpl w:val="6ED4AB6B"/>
    <w:lvl w:ilvl="0" w:tentative="0">
      <w:start w:val="1"/>
      <w:numFmt w:val="chineseCounting"/>
      <w:suff w:val="nothing"/>
      <w:lvlText w:val="（%1）"/>
      <w:lvlJc w:val="left"/>
      <w:pPr>
        <w:ind w:left="0" w:firstLine="420"/>
      </w:pPr>
      <w:rPr>
        <w:rFonts w:hint="eastAsia"/>
      </w:rPr>
    </w:lvl>
  </w:abstractNum>
  <w:abstractNum w:abstractNumId="6">
    <w:nsid w:val="77AA4729"/>
    <w:multiLevelType w:val="singleLevel"/>
    <w:tmpl w:val="77AA4729"/>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D118A"/>
    <w:rsid w:val="1C014138"/>
    <w:rsid w:val="2BCF5B78"/>
    <w:rsid w:val="329B0CEE"/>
    <w:rsid w:val="34FF745B"/>
    <w:rsid w:val="36ED5DF0"/>
    <w:rsid w:val="39BA5EDD"/>
    <w:rsid w:val="40CF23D7"/>
    <w:rsid w:val="4C4D37AF"/>
    <w:rsid w:val="5365405C"/>
    <w:rsid w:val="5A286605"/>
    <w:rsid w:val="5AFB2CD6"/>
    <w:rsid w:val="61507F84"/>
    <w:rsid w:val="66D11035"/>
    <w:rsid w:val="726F3E0F"/>
    <w:rsid w:val="757D2F6B"/>
    <w:rsid w:val="7D14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文本首行缩进1"/>
    <w:basedOn w:val="5"/>
    <w:qFormat/>
    <w:uiPriority w:val="0"/>
    <w:pPr>
      <w:ind w:firstLine="100" w:firstLineChars="100"/>
    </w:pPr>
  </w:style>
  <w:style w:type="character" w:customStyle="1" w:styleId="12">
    <w:name w:val="font41"/>
    <w:basedOn w:val="9"/>
    <w:qFormat/>
    <w:uiPriority w:val="0"/>
    <w:rPr>
      <w:rFonts w:ascii="Calibri" w:hAnsi="Calibri" w:cs="Calibri"/>
      <w:b/>
      <w:bCs/>
      <w:color w:val="000000"/>
      <w:sz w:val="24"/>
      <w:szCs w:val="24"/>
      <w:u w:val="none"/>
    </w:rPr>
  </w:style>
  <w:style w:type="character" w:customStyle="1" w:styleId="13">
    <w:name w:val="font21"/>
    <w:basedOn w:val="9"/>
    <w:qFormat/>
    <w:uiPriority w:val="0"/>
    <w:rPr>
      <w:rFonts w:hint="eastAsia" w:ascii="宋体" w:hAnsi="宋体" w:eastAsia="宋体" w:cs="宋体"/>
      <w:b/>
      <w:bCs/>
      <w:color w:val="000000"/>
      <w:sz w:val="24"/>
      <w:szCs w:val="24"/>
      <w:u w:val="none"/>
    </w:rPr>
  </w:style>
  <w:style w:type="character" w:customStyle="1" w:styleId="14">
    <w:name w:val="font3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default" w:ascii="Calibri" w:hAnsi="Calibri" w:cs="Calibri"/>
      <w:color w:val="000000"/>
      <w:sz w:val="24"/>
      <w:szCs w:val="24"/>
      <w:u w:val="none"/>
    </w:rPr>
  </w:style>
  <w:style w:type="character" w:customStyle="1" w:styleId="16">
    <w:name w:val="font61"/>
    <w:basedOn w:val="9"/>
    <w:qFormat/>
    <w:uiPriority w:val="0"/>
    <w:rPr>
      <w:rFonts w:hint="default" w:ascii="Calibri" w:hAnsi="Calibri" w:cs="Calibri"/>
      <w:color w:val="000000"/>
      <w:sz w:val="32"/>
      <w:szCs w:val="32"/>
      <w:u w:val="none"/>
      <w:vertAlign w:val="superscript"/>
    </w:rPr>
  </w:style>
  <w:style w:type="character" w:customStyle="1" w:styleId="17">
    <w:name w:val="font71"/>
    <w:basedOn w:val="9"/>
    <w:qFormat/>
    <w:uiPriority w:val="0"/>
    <w:rPr>
      <w:rFonts w:hint="default" w:ascii="Calibri" w:hAnsi="Calibri" w:cs="Calibri"/>
      <w:color w:val="000000"/>
      <w:sz w:val="32"/>
      <w:szCs w:val="32"/>
      <w:u w:val="none"/>
    </w:rPr>
  </w:style>
  <w:style w:type="character" w:customStyle="1" w:styleId="18">
    <w:name w:val="font81"/>
    <w:basedOn w:val="9"/>
    <w:qFormat/>
    <w:uiPriority w:val="0"/>
    <w:rPr>
      <w:rFonts w:hint="eastAsia" w:ascii="宋体" w:hAnsi="宋体" w:eastAsia="宋体" w:cs="宋体"/>
      <w:color w:val="000000"/>
      <w:sz w:val="32"/>
      <w:szCs w:val="32"/>
      <w:u w:val="none"/>
      <w:vertAlign w:val="superscript"/>
    </w:rPr>
  </w:style>
  <w:style w:type="character" w:customStyle="1" w:styleId="19">
    <w:name w:val="font91"/>
    <w:basedOn w:val="9"/>
    <w:qFormat/>
    <w:uiPriority w:val="0"/>
    <w:rPr>
      <w:rFonts w:hint="eastAsia" w:ascii="宋体" w:hAnsi="宋体" w:eastAsia="宋体" w:cs="宋体"/>
      <w:color w:val="000000"/>
      <w:sz w:val="32"/>
      <w:szCs w:val="32"/>
      <w:u w:val="none"/>
    </w:rPr>
  </w:style>
  <w:style w:type="character" w:customStyle="1" w:styleId="20">
    <w:name w:val="font101"/>
    <w:basedOn w:val="9"/>
    <w:qFormat/>
    <w:uiPriority w:val="0"/>
    <w:rPr>
      <w:rFonts w:hint="default" w:ascii="Calibri" w:hAnsi="Calibri" w:cs="Calibri"/>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1739</Words>
  <Characters>1885</Characters>
  <Lines>0</Lines>
  <Paragraphs>0</Paragraphs>
  <TotalTime>2</TotalTime>
  <ScaleCrop>false</ScaleCrop>
  <LinksUpToDate>false</LinksUpToDate>
  <CharactersWithSpaces>1990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2025-07-01T02:43:00Z</dcterms:created>
  <dc:creator>Administrator</dc:creator>
  <cp:lastModifiedBy>加深</cp:lastModifiedBy>
  <dcterms:modified xsi:type="dcterms:W3CDTF">2025-09-09T02:14:32Z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5898A8B7F2A147CFB0D7D68D57FF00B4_12</vt:lpwstr>
  </property>
  <property fmtid="{D5CDD505-2E9C-101B-9397-08002B2CF9AE}" pid="4" name="KSOTemplateDocerSaveRecord">
    <vt:lpwstr>eyJoZGlkIjoiNmFkNzM0MjEyYTJlMGViYTU0N2EyNjMzYjM3OTNmZjIiLCJ1c2VySWQiOiIzNTY0MzY5ODAifQ==</vt:lpwstr>
  </property>
</Properties>
</file>