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B988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val="0"/>
          <w:kern w:val="0"/>
          <w:sz w:val="36"/>
          <w:szCs w:val="36"/>
          <w:lang w:val="en-US" w:eastAsia="zh-CN"/>
        </w:rPr>
      </w:pPr>
      <w:r>
        <w:rPr>
          <w:rFonts w:hint="eastAsia" w:ascii="宋体" w:hAnsi="宋体" w:eastAsia="宋体" w:cs="宋体"/>
          <w:b/>
          <w:bCs w:val="0"/>
          <w:kern w:val="0"/>
          <w:sz w:val="36"/>
          <w:szCs w:val="36"/>
          <w:lang w:val="en-US" w:eastAsia="zh-CN"/>
        </w:rPr>
        <w:t>柳州市工人医院救护车采购需求</w:t>
      </w:r>
    </w:p>
    <w:p w14:paraId="7970E33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70523A4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一、项目名称</w:t>
      </w:r>
    </w:p>
    <w:p w14:paraId="2F0F1F0A">
      <w:pPr>
        <w:keepNext w:val="0"/>
        <w:keepLines w:val="0"/>
        <w:pageBreakBefore w:val="0"/>
        <w:kinsoku/>
        <w:wordWrap/>
        <w:overflowPunct/>
        <w:topLinePunct w:val="0"/>
        <w:autoSpaceDE/>
        <w:autoSpaceDN/>
        <w:bidi w:val="0"/>
        <w:adjustRightInd/>
        <w:snapToGrid/>
        <w:spacing w:line="360" w:lineRule="auto"/>
        <w:ind w:firstLine="561"/>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柳州市工人医院救护车采购需求</w:t>
      </w:r>
      <w:r>
        <w:rPr>
          <w:rFonts w:hint="eastAsia" w:ascii="仿宋" w:hAnsi="仿宋" w:eastAsia="仿宋" w:cs="仿宋"/>
          <w:sz w:val="24"/>
          <w:szCs w:val="24"/>
        </w:rPr>
        <w:t>。</w:t>
      </w:r>
    </w:p>
    <w:p w14:paraId="558E151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二、项目概况</w:t>
      </w:r>
    </w:p>
    <w:p w14:paraId="1B929313">
      <w:pPr>
        <w:keepNext w:val="0"/>
        <w:keepLines w:val="0"/>
        <w:pageBreakBefore w:val="0"/>
        <w:kinsoku/>
        <w:wordWrap/>
        <w:overflowPunct/>
        <w:topLinePunct w:val="0"/>
        <w:autoSpaceDE/>
        <w:autoSpaceDN/>
        <w:bidi w:val="0"/>
        <w:adjustRightInd/>
        <w:snapToGrid/>
        <w:spacing w:line="360" w:lineRule="auto"/>
        <w:ind w:firstLine="561"/>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项目为柳州市工人医院</w:t>
      </w:r>
      <w:r>
        <w:rPr>
          <w:rFonts w:hint="eastAsia" w:ascii="仿宋" w:hAnsi="仿宋" w:eastAsia="仿宋" w:cs="仿宋"/>
          <w:sz w:val="24"/>
          <w:szCs w:val="24"/>
          <w:lang w:eastAsia="zh-CN"/>
        </w:rPr>
        <w:t>采购</w:t>
      </w:r>
      <w:r>
        <w:rPr>
          <w:rFonts w:hint="eastAsia" w:ascii="仿宋" w:hAnsi="仿宋" w:eastAsia="仿宋" w:cs="仿宋"/>
          <w:sz w:val="24"/>
          <w:szCs w:val="24"/>
          <w:lang w:val="en-US" w:eastAsia="zh-CN"/>
        </w:rPr>
        <w:t>1辆救护车</w:t>
      </w:r>
      <w:r>
        <w:rPr>
          <w:rFonts w:hint="eastAsia" w:ascii="仿宋" w:hAnsi="仿宋" w:eastAsia="仿宋" w:cs="仿宋"/>
          <w:sz w:val="24"/>
          <w:szCs w:val="24"/>
          <w:lang w:eastAsia="zh-CN"/>
        </w:rPr>
        <w:t>。</w:t>
      </w:r>
    </w:p>
    <w:p w14:paraId="02C1607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三、投标人/供应商资格条件</w:t>
      </w:r>
    </w:p>
    <w:p w14:paraId="0DB81E7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1、投标人需为国内注册（指按国家有关规定要求注册的），具备法人资格；</w:t>
      </w:r>
    </w:p>
    <w:p w14:paraId="675296B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2、参与单位三年内在经营活动中没有重大违法记录和不良信用记录；</w:t>
      </w:r>
    </w:p>
    <w:p w14:paraId="3F0214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3、参与单位有效的“营业执照”副本复印件；</w:t>
      </w:r>
    </w:p>
    <w:p w14:paraId="684D39E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4、由国家质量技术监督局颁发的中华人民共和国组织机构代码证复印件（三证合一除外）和法定代表人身份证明复印件； </w:t>
      </w:r>
    </w:p>
    <w:p w14:paraId="6A7BA65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5、参与单位有效的“税务登记证”副本复印件（国税或地税，三证合一除外）；</w:t>
      </w:r>
    </w:p>
    <w:p w14:paraId="2D9470A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四、</w:t>
      </w:r>
      <w:r>
        <w:rPr>
          <w:rFonts w:hint="eastAsia" w:ascii="仿宋" w:hAnsi="仿宋" w:eastAsia="仿宋" w:cs="仿宋"/>
          <w:b/>
          <w:bCs/>
          <w:sz w:val="24"/>
          <w:szCs w:val="24"/>
          <w:lang w:eastAsia="zh-CN"/>
        </w:rPr>
        <w:t>货物需求</w:t>
      </w:r>
    </w:p>
    <w:p w14:paraId="502D59EF">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技术参数一览表</w:t>
      </w:r>
    </w:p>
    <w:tbl>
      <w:tblPr>
        <w:tblStyle w:val="13"/>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231"/>
        <w:gridCol w:w="6131"/>
      </w:tblGrid>
      <w:tr w14:paraId="6A7D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0" w:type="dxa"/>
            <w:gridSpan w:val="3"/>
            <w:vAlign w:val="center"/>
          </w:tcPr>
          <w:p w14:paraId="50DC83DC">
            <w:r>
              <w:rPr>
                <w:rFonts w:hint="eastAsia"/>
              </w:rPr>
              <w:t>一、车辆基本技术参数</w:t>
            </w:r>
          </w:p>
        </w:tc>
      </w:tr>
      <w:tr w14:paraId="6AAF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07FA7370">
            <w:r>
              <w:rPr>
                <w:rFonts w:hint="eastAsia" w:cs="Times New Roman"/>
              </w:rPr>
              <w:t>▲</w:t>
            </w:r>
            <w:r>
              <w:rPr>
                <w:rFonts w:hint="eastAsia"/>
              </w:rPr>
              <w:t>1</w:t>
            </w:r>
          </w:p>
        </w:tc>
        <w:tc>
          <w:tcPr>
            <w:tcW w:w="2231" w:type="dxa"/>
            <w:vAlign w:val="center"/>
          </w:tcPr>
          <w:p w14:paraId="62CA3B04">
            <w:r>
              <w:rPr>
                <w:rFonts w:hint="eastAsia"/>
              </w:rPr>
              <w:t>车体尺寸（mm）</w:t>
            </w:r>
          </w:p>
        </w:tc>
        <w:tc>
          <w:tcPr>
            <w:tcW w:w="6131" w:type="dxa"/>
            <w:vAlign w:val="center"/>
          </w:tcPr>
          <w:p w14:paraId="5F21692B">
            <w:pPr>
              <w:rPr>
                <w:rFonts w:ascii="仿宋" w:hAnsi="仿宋" w:eastAsia="仿宋" w:cs="仿宋"/>
                <w:sz w:val="24"/>
                <w:szCs w:val="24"/>
              </w:rPr>
            </w:pPr>
            <w:r>
              <w:rPr>
                <w:rFonts w:hint="eastAsia"/>
              </w:rPr>
              <w:t>6000＞长≥5900mm、宽≥2050mm、2700＞高≥2630mm</w:t>
            </w:r>
          </w:p>
        </w:tc>
      </w:tr>
      <w:tr w14:paraId="279D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C88C6CB">
            <w:r>
              <w:rPr>
                <w:rFonts w:hint="eastAsia"/>
              </w:rPr>
              <w:t>2</w:t>
            </w:r>
          </w:p>
        </w:tc>
        <w:tc>
          <w:tcPr>
            <w:tcW w:w="2231" w:type="dxa"/>
            <w:vAlign w:val="center"/>
          </w:tcPr>
          <w:p w14:paraId="413FE4CF">
            <w:r>
              <w:rPr>
                <w:rFonts w:hint="eastAsia"/>
              </w:rPr>
              <w:t>总质量（kg）</w:t>
            </w:r>
          </w:p>
        </w:tc>
        <w:tc>
          <w:tcPr>
            <w:tcW w:w="6131" w:type="dxa"/>
            <w:vAlign w:val="center"/>
          </w:tcPr>
          <w:p w14:paraId="762F937C">
            <w:pPr>
              <w:rPr>
                <w:rFonts w:ascii="仿宋" w:hAnsi="仿宋" w:eastAsia="仿宋" w:cs="仿宋"/>
                <w:sz w:val="24"/>
                <w:szCs w:val="24"/>
              </w:rPr>
            </w:pPr>
            <w:r>
              <w:rPr>
                <w:rFonts w:hint="eastAsia"/>
              </w:rPr>
              <w:t>≥4200 Kg</w:t>
            </w:r>
          </w:p>
        </w:tc>
      </w:tr>
      <w:tr w14:paraId="2C96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327C8C21">
            <w:r>
              <w:rPr>
                <w:rFonts w:hint="eastAsia" w:cs="Times New Roman"/>
              </w:rPr>
              <w:t>▲</w:t>
            </w:r>
            <w:r>
              <w:rPr>
                <w:rFonts w:hint="eastAsia"/>
              </w:rPr>
              <w:t>3</w:t>
            </w:r>
          </w:p>
        </w:tc>
        <w:tc>
          <w:tcPr>
            <w:tcW w:w="2231" w:type="dxa"/>
            <w:vAlign w:val="center"/>
          </w:tcPr>
          <w:p w14:paraId="731EEFE9">
            <w:r>
              <w:rPr>
                <w:rFonts w:hint="eastAsia"/>
              </w:rPr>
              <w:t>安全气囊</w:t>
            </w:r>
          </w:p>
        </w:tc>
        <w:tc>
          <w:tcPr>
            <w:tcW w:w="6131" w:type="dxa"/>
            <w:vAlign w:val="center"/>
          </w:tcPr>
          <w:p w14:paraId="7566A785">
            <w:r>
              <w:rPr>
                <w:rFonts w:hint="eastAsia"/>
              </w:rPr>
              <w:t>主驾驶座安全气囊，司机椅具有三点式机械减震</w:t>
            </w:r>
          </w:p>
        </w:tc>
      </w:tr>
      <w:tr w14:paraId="2086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65557A3B">
            <w:r>
              <w:rPr>
                <w:rFonts w:hint="eastAsia" w:cs="Times New Roman"/>
              </w:rPr>
              <w:t>▲</w:t>
            </w:r>
            <w:r>
              <w:rPr>
                <w:rFonts w:hint="eastAsia"/>
              </w:rPr>
              <w:t>4</w:t>
            </w:r>
          </w:p>
        </w:tc>
        <w:tc>
          <w:tcPr>
            <w:tcW w:w="2231" w:type="dxa"/>
            <w:vAlign w:val="center"/>
          </w:tcPr>
          <w:p w14:paraId="10C3D2F3">
            <w:r>
              <w:rPr>
                <w:rFonts w:hint="eastAsia"/>
              </w:rPr>
              <w:t>燃油种类</w:t>
            </w:r>
          </w:p>
        </w:tc>
        <w:tc>
          <w:tcPr>
            <w:tcW w:w="6131" w:type="dxa"/>
            <w:vAlign w:val="center"/>
          </w:tcPr>
          <w:p w14:paraId="014E4A6C">
            <w:r>
              <w:rPr>
                <w:rFonts w:hint="eastAsia"/>
              </w:rPr>
              <w:t>柴油</w:t>
            </w:r>
          </w:p>
        </w:tc>
      </w:tr>
      <w:tr w14:paraId="7160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5E348697">
            <w:r>
              <w:rPr>
                <w:rFonts w:hint="eastAsia" w:cs="Times New Roman"/>
              </w:rPr>
              <w:t>▲</w:t>
            </w:r>
            <w:r>
              <w:rPr>
                <w:rFonts w:hint="eastAsia"/>
                <w:color w:val="auto"/>
              </w:rPr>
              <w:t>5</w:t>
            </w:r>
          </w:p>
        </w:tc>
        <w:tc>
          <w:tcPr>
            <w:tcW w:w="2231" w:type="dxa"/>
            <w:vAlign w:val="center"/>
          </w:tcPr>
          <w:p w14:paraId="24FC5C1E">
            <w:pPr>
              <w:rPr>
                <w:rFonts w:ascii="仿宋" w:hAnsi="仿宋" w:eastAsia="仿宋" w:cs="仿宋"/>
                <w:sz w:val="24"/>
                <w:szCs w:val="24"/>
              </w:rPr>
            </w:pPr>
            <w:r>
              <w:rPr>
                <w:rFonts w:hint="eastAsia"/>
              </w:rPr>
              <w:t>底盘</w:t>
            </w:r>
          </w:p>
        </w:tc>
        <w:tc>
          <w:tcPr>
            <w:tcW w:w="6131" w:type="dxa"/>
            <w:shd w:val="clear" w:color="auto" w:fill="auto"/>
            <w:vAlign w:val="center"/>
          </w:tcPr>
          <w:p w14:paraId="2DE32FD0">
            <w:pPr>
              <w:rPr>
                <w:rFonts w:ascii="仿宋" w:hAnsi="仿宋" w:eastAsia="仿宋" w:cs="仿宋"/>
                <w:sz w:val="24"/>
                <w:szCs w:val="24"/>
              </w:rPr>
            </w:pPr>
            <w:r>
              <w:rPr>
                <w:rFonts w:hint="eastAsia"/>
              </w:rPr>
              <w:t>底盘与上装为同一生产厂家，并且提供证明文件。</w:t>
            </w:r>
          </w:p>
        </w:tc>
      </w:tr>
      <w:tr w14:paraId="111D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596D08A4">
            <w:r>
              <w:rPr>
                <w:rFonts w:hint="eastAsia" w:cs="Times New Roman"/>
              </w:rPr>
              <w:t>▲</w:t>
            </w:r>
            <w:r>
              <w:rPr>
                <w:rFonts w:hint="eastAsia"/>
              </w:rPr>
              <w:t>6</w:t>
            </w:r>
          </w:p>
        </w:tc>
        <w:tc>
          <w:tcPr>
            <w:tcW w:w="2231" w:type="dxa"/>
            <w:vAlign w:val="center"/>
          </w:tcPr>
          <w:p w14:paraId="736E7E44">
            <w:pPr>
              <w:rPr>
                <w:rFonts w:ascii="仿宋" w:hAnsi="仿宋" w:eastAsia="仿宋" w:cs="仿宋"/>
                <w:sz w:val="24"/>
                <w:szCs w:val="24"/>
              </w:rPr>
            </w:pPr>
            <w:r>
              <w:rPr>
                <w:rFonts w:hint="eastAsia"/>
              </w:rPr>
              <w:t>最大扭矩</w:t>
            </w:r>
          </w:p>
        </w:tc>
        <w:tc>
          <w:tcPr>
            <w:tcW w:w="6131" w:type="dxa"/>
            <w:vAlign w:val="center"/>
          </w:tcPr>
          <w:p w14:paraId="01355B2D">
            <w:pPr>
              <w:rPr>
                <w:rFonts w:ascii="仿宋" w:hAnsi="仿宋" w:eastAsia="仿宋" w:cs="仿宋"/>
                <w:sz w:val="24"/>
                <w:szCs w:val="24"/>
              </w:rPr>
            </w:pPr>
            <w:r>
              <w:rPr>
                <w:rFonts w:hint="eastAsia"/>
              </w:rPr>
              <w:t>≥400N.m</w:t>
            </w:r>
          </w:p>
        </w:tc>
      </w:tr>
      <w:tr w14:paraId="284A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13E9F528">
            <w:r>
              <w:rPr>
                <w:rFonts w:hint="eastAsia" w:cs="Times New Roman"/>
              </w:rPr>
              <w:t>▲</w:t>
            </w:r>
            <w:r>
              <w:rPr>
                <w:rFonts w:hint="eastAsia"/>
              </w:rPr>
              <w:t>7</w:t>
            </w:r>
          </w:p>
        </w:tc>
        <w:tc>
          <w:tcPr>
            <w:tcW w:w="2231" w:type="dxa"/>
            <w:vAlign w:val="center"/>
          </w:tcPr>
          <w:p w14:paraId="09635C71">
            <w:pPr>
              <w:rPr>
                <w:rFonts w:ascii="仿宋" w:hAnsi="仿宋" w:eastAsia="仿宋" w:cs="仿宋"/>
                <w:sz w:val="24"/>
                <w:szCs w:val="24"/>
              </w:rPr>
            </w:pPr>
            <w:r>
              <w:rPr>
                <w:rFonts w:hint="eastAsia"/>
              </w:rPr>
              <w:t>额定功率</w:t>
            </w:r>
          </w:p>
        </w:tc>
        <w:tc>
          <w:tcPr>
            <w:tcW w:w="6131" w:type="dxa"/>
            <w:vAlign w:val="center"/>
          </w:tcPr>
          <w:p w14:paraId="1CCF4BB0">
            <w:pPr>
              <w:rPr>
                <w:rFonts w:ascii="仿宋" w:hAnsi="仿宋" w:eastAsia="仿宋" w:cs="仿宋"/>
                <w:sz w:val="24"/>
                <w:szCs w:val="24"/>
              </w:rPr>
            </w:pPr>
            <w:r>
              <w:rPr>
                <w:rFonts w:hint="eastAsia"/>
              </w:rPr>
              <w:t>≥120</w:t>
            </w:r>
            <w:r>
              <w:t>k</w:t>
            </w:r>
            <w:r>
              <w:rPr>
                <w:rFonts w:hint="eastAsia"/>
              </w:rPr>
              <w:t>W</w:t>
            </w:r>
          </w:p>
        </w:tc>
      </w:tr>
      <w:tr w14:paraId="0F54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7FCFBA08">
            <w:r>
              <w:rPr>
                <w:rFonts w:hint="eastAsia"/>
              </w:rPr>
              <w:t>8</w:t>
            </w:r>
          </w:p>
        </w:tc>
        <w:tc>
          <w:tcPr>
            <w:tcW w:w="2231" w:type="dxa"/>
            <w:vAlign w:val="center"/>
          </w:tcPr>
          <w:p w14:paraId="059AFE08">
            <w:r>
              <w:rPr>
                <w:rFonts w:hint="eastAsia"/>
              </w:rPr>
              <w:t>排量（ml）</w:t>
            </w:r>
          </w:p>
        </w:tc>
        <w:tc>
          <w:tcPr>
            <w:tcW w:w="6131" w:type="dxa"/>
            <w:vAlign w:val="center"/>
          </w:tcPr>
          <w:p w14:paraId="20CF2D09">
            <w:pPr>
              <w:rPr>
                <w:rFonts w:ascii="仿宋" w:hAnsi="仿宋" w:eastAsia="仿宋" w:cs="仿宋"/>
                <w:sz w:val="24"/>
                <w:szCs w:val="24"/>
              </w:rPr>
            </w:pPr>
            <w:r>
              <w:rPr>
                <w:rFonts w:hint="eastAsia"/>
              </w:rPr>
              <w:t>≥2200ml</w:t>
            </w:r>
          </w:p>
        </w:tc>
      </w:tr>
      <w:tr w14:paraId="222A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B91A9D3">
            <w:r>
              <w:rPr>
                <w:rFonts w:hint="eastAsia"/>
              </w:rPr>
              <w:t>9</w:t>
            </w:r>
          </w:p>
        </w:tc>
        <w:tc>
          <w:tcPr>
            <w:tcW w:w="2231" w:type="dxa"/>
            <w:vAlign w:val="center"/>
          </w:tcPr>
          <w:p w14:paraId="6FBB073A">
            <w:r>
              <w:rPr>
                <w:rFonts w:hint="eastAsia"/>
              </w:rPr>
              <w:t>发动机形式</w:t>
            </w:r>
          </w:p>
        </w:tc>
        <w:tc>
          <w:tcPr>
            <w:tcW w:w="6131" w:type="dxa"/>
            <w:vAlign w:val="center"/>
          </w:tcPr>
          <w:p w14:paraId="01288A0D">
            <w:pPr>
              <w:rPr>
                <w:rFonts w:ascii="仿宋" w:hAnsi="仿宋" w:eastAsia="仿宋" w:cs="仿宋"/>
                <w:sz w:val="24"/>
                <w:szCs w:val="24"/>
              </w:rPr>
            </w:pPr>
            <w:r>
              <w:rPr>
                <w:rFonts w:hint="eastAsia"/>
              </w:rPr>
              <w:t>直列四缸、电控高压共轨、增压中冷柴油发动机</w:t>
            </w:r>
          </w:p>
        </w:tc>
      </w:tr>
      <w:tr w14:paraId="77A2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0125EEFE">
            <w:r>
              <w:rPr>
                <w:rFonts w:hint="eastAsia" w:cs="Times New Roman"/>
              </w:rPr>
              <w:t>▲</w:t>
            </w:r>
            <w:r>
              <w:rPr>
                <w:rFonts w:hint="eastAsia"/>
              </w:rPr>
              <w:t>10</w:t>
            </w:r>
          </w:p>
        </w:tc>
        <w:tc>
          <w:tcPr>
            <w:tcW w:w="2231" w:type="dxa"/>
            <w:vAlign w:val="center"/>
          </w:tcPr>
          <w:p w14:paraId="2E4B4715">
            <w:r>
              <w:rPr>
                <w:rFonts w:hint="eastAsia"/>
              </w:rPr>
              <w:t>轴距</w:t>
            </w:r>
          </w:p>
        </w:tc>
        <w:tc>
          <w:tcPr>
            <w:tcW w:w="6131" w:type="dxa"/>
            <w:vAlign w:val="center"/>
          </w:tcPr>
          <w:p w14:paraId="40B987FB">
            <w:pPr>
              <w:rPr>
                <w:rFonts w:ascii="仿宋" w:hAnsi="仿宋" w:eastAsia="仿宋" w:cs="仿宋"/>
                <w:sz w:val="24"/>
                <w:szCs w:val="24"/>
              </w:rPr>
            </w:pPr>
            <w:r>
              <w:rPr>
                <w:rFonts w:hint="eastAsia"/>
              </w:rPr>
              <w:t>＞3750mm</w:t>
            </w:r>
          </w:p>
        </w:tc>
      </w:tr>
      <w:tr w14:paraId="35C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B0B555F">
            <w:r>
              <w:rPr>
                <w:rFonts w:hint="eastAsia"/>
              </w:rPr>
              <w:t>11</w:t>
            </w:r>
          </w:p>
        </w:tc>
        <w:tc>
          <w:tcPr>
            <w:tcW w:w="2231" w:type="dxa"/>
            <w:vAlign w:val="center"/>
          </w:tcPr>
          <w:p w14:paraId="189DB9CA">
            <w:r>
              <w:rPr>
                <w:rFonts w:hint="eastAsia"/>
              </w:rPr>
              <w:t>排放标准</w:t>
            </w:r>
          </w:p>
        </w:tc>
        <w:tc>
          <w:tcPr>
            <w:tcW w:w="6131" w:type="dxa"/>
            <w:vAlign w:val="center"/>
          </w:tcPr>
          <w:p w14:paraId="6A0B4EF2">
            <w:pPr>
              <w:rPr>
                <w:rFonts w:ascii="仿宋" w:hAnsi="仿宋" w:eastAsia="仿宋" w:cs="仿宋"/>
                <w:sz w:val="24"/>
                <w:szCs w:val="24"/>
              </w:rPr>
            </w:pPr>
            <w:r>
              <w:rPr>
                <w:rFonts w:hint="eastAsia"/>
              </w:rPr>
              <w:t>GB17691-2018国Ⅵ</w:t>
            </w:r>
          </w:p>
        </w:tc>
      </w:tr>
      <w:tr w14:paraId="4C9B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84EDA4B">
            <w:pPr>
              <w:rPr>
                <w:rFonts w:hint="default"/>
                <w:lang w:val="en-US"/>
              </w:rPr>
            </w:pPr>
            <w:r>
              <w:rPr>
                <w:rFonts w:hint="eastAsia"/>
              </w:rPr>
              <w:t>1</w:t>
            </w:r>
            <w:r>
              <w:rPr>
                <w:rFonts w:hint="default"/>
                <w:lang w:val="en-US"/>
              </w:rPr>
              <w:t>2</w:t>
            </w:r>
          </w:p>
        </w:tc>
        <w:tc>
          <w:tcPr>
            <w:tcW w:w="2231" w:type="dxa"/>
            <w:vAlign w:val="center"/>
          </w:tcPr>
          <w:p w14:paraId="4FEFE2A9">
            <w:pPr>
              <w:rPr>
                <w:rFonts w:ascii="仿宋" w:hAnsi="仿宋" w:eastAsia="仿宋" w:cs="仿宋"/>
                <w:sz w:val="24"/>
                <w:szCs w:val="24"/>
              </w:rPr>
            </w:pPr>
            <w:r>
              <w:rPr>
                <w:rFonts w:hint="eastAsia"/>
              </w:rPr>
              <w:t>悬架系统</w:t>
            </w:r>
          </w:p>
        </w:tc>
        <w:tc>
          <w:tcPr>
            <w:tcW w:w="6131" w:type="dxa"/>
            <w:vAlign w:val="center"/>
          </w:tcPr>
          <w:p w14:paraId="65632087">
            <w:pPr>
              <w:rPr>
                <w:rFonts w:ascii="仿宋" w:hAnsi="仿宋" w:eastAsia="仿宋" w:cs="仿宋"/>
                <w:sz w:val="24"/>
                <w:szCs w:val="24"/>
              </w:rPr>
            </w:pPr>
            <w:r>
              <w:rPr>
                <w:rFonts w:hint="eastAsia"/>
              </w:rPr>
              <w:t>前独立悬架后少片簧</w:t>
            </w:r>
          </w:p>
        </w:tc>
      </w:tr>
      <w:tr w14:paraId="0AC4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184E6B9">
            <w:pPr>
              <w:rPr>
                <w:rFonts w:hint="default"/>
                <w:lang w:val="en-US"/>
              </w:rPr>
            </w:pPr>
            <w:r>
              <w:rPr>
                <w:rFonts w:hint="eastAsia"/>
              </w:rPr>
              <w:t>1</w:t>
            </w:r>
            <w:r>
              <w:rPr>
                <w:rFonts w:hint="default"/>
                <w:lang w:val="en-US"/>
              </w:rPr>
              <w:t>3</w:t>
            </w:r>
          </w:p>
        </w:tc>
        <w:tc>
          <w:tcPr>
            <w:tcW w:w="2231" w:type="dxa"/>
            <w:vAlign w:val="center"/>
          </w:tcPr>
          <w:p w14:paraId="31AB36ED">
            <w:r>
              <w:rPr>
                <w:rFonts w:hint="eastAsia"/>
              </w:rPr>
              <w:t>变速箱</w:t>
            </w:r>
          </w:p>
        </w:tc>
        <w:tc>
          <w:tcPr>
            <w:tcW w:w="6131" w:type="dxa"/>
            <w:vAlign w:val="center"/>
          </w:tcPr>
          <w:p w14:paraId="76EE870D">
            <w:r>
              <w:rPr>
                <w:rFonts w:hint="eastAsia"/>
              </w:rPr>
              <w:t>6挡手动</w:t>
            </w:r>
          </w:p>
        </w:tc>
      </w:tr>
      <w:tr w14:paraId="321C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7A454B1">
            <w:pPr>
              <w:rPr>
                <w:rFonts w:hint="default"/>
                <w:lang w:val="en-US"/>
              </w:rPr>
            </w:pPr>
            <w:r>
              <w:rPr>
                <w:rFonts w:hint="eastAsia"/>
              </w:rPr>
              <w:t>1</w:t>
            </w:r>
            <w:r>
              <w:rPr>
                <w:rFonts w:hint="default"/>
                <w:lang w:val="en-US"/>
              </w:rPr>
              <w:t>4</w:t>
            </w:r>
          </w:p>
        </w:tc>
        <w:tc>
          <w:tcPr>
            <w:tcW w:w="2231" w:type="dxa"/>
            <w:vAlign w:val="center"/>
          </w:tcPr>
          <w:p w14:paraId="3C93DDEE">
            <w:r>
              <w:rPr>
                <w:rFonts w:hint="eastAsia"/>
              </w:rPr>
              <w:t>最高车速（km/h）</w:t>
            </w:r>
          </w:p>
        </w:tc>
        <w:tc>
          <w:tcPr>
            <w:tcW w:w="6131" w:type="dxa"/>
            <w:vAlign w:val="center"/>
          </w:tcPr>
          <w:p w14:paraId="750EE14E">
            <w:pPr>
              <w:rPr>
                <w:rFonts w:ascii="仿宋" w:hAnsi="仿宋" w:eastAsia="仿宋" w:cs="仿宋"/>
                <w:sz w:val="24"/>
                <w:szCs w:val="24"/>
              </w:rPr>
            </w:pPr>
            <w:r>
              <w:rPr>
                <w:rFonts w:hint="eastAsia"/>
              </w:rPr>
              <w:t>≥140KM/h</w:t>
            </w:r>
          </w:p>
        </w:tc>
      </w:tr>
      <w:tr w14:paraId="01FD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1E45B055">
            <w:pPr>
              <w:rPr>
                <w:rFonts w:hint="default"/>
                <w:lang w:val="en-US"/>
              </w:rPr>
            </w:pPr>
            <w:r>
              <w:rPr>
                <w:rFonts w:hint="eastAsia"/>
              </w:rPr>
              <w:t>1</w:t>
            </w:r>
            <w:r>
              <w:rPr>
                <w:rFonts w:hint="default"/>
                <w:lang w:val="en-US"/>
              </w:rPr>
              <w:t>5</w:t>
            </w:r>
          </w:p>
        </w:tc>
        <w:tc>
          <w:tcPr>
            <w:tcW w:w="2231" w:type="dxa"/>
            <w:vAlign w:val="center"/>
          </w:tcPr>
          <w:p w14:paraId="52C83A05">
            <w:pPr>
              <w:rPr>
                <w:rFonts w:ascii="仿宋" w:hAnsi="仿宋" w:eastAsia="仿宋" w:cs="仿宋"/>
                <w:sz w:val="24"/>
                <w:szCs w:val="24"/>
              </w:rPr>
            </w:pPr>
            <w:r>
              <w:rPr>
                <w:rFonts w:hint="eastAsia"/>
              </w:rPr>
              <w:t>车轮</w:t>
            </w:r>
          </w:p>
        </w:tc>
        <w:tc>
          <w:tcPr>
            <w:tcW w:w="6131" w:type="dxa"/>
            <w:vAlign w:val="center"/>
          </w:tcPr>
          <w:p w14:paraId="5F5EA9A3">
            <w:pPr>
              <w:rPr>
                <w:rFonts w:ascii="仿宋" w:hAnsi="仿宋" w:eastAsia="仿宋" w:cs="仿宋"/>
                <w:sz w:val="24"/>
                <w:szCs w:val="24"/>
              </w:rPr>
            </w:pPr>
            <w:r>
              <w:rPr>
                <w:rFonts w:hint="eastAsia"/>
              </w:rPr>
              <w:t>铝合金轮毂</w:t>
            </w:r>
          </w:p>
        </w:tc>
      </w:tr>
      <w:tr w14:paraId="50F4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5C2C4C1C">
            <w:pPr>
              <w:rPr>
                <w:rFonts w:hint="default"/>
                <w:lang w:val="en-US"/>
              </w:rPr>
            </w:pPr>
            <w:r>
              <w:rPr>
                <w:rFonts w:hint="eastAsia"/>
              </w:rPr>
              <w:t>1</w:t>
            </w:r>
            <w:r>
              <w:rPr>
                <w:rFonts w:hint="default"/>
                <w:lang w:val="en-US"/>
              </w:rPr>
              <w:t>6</w:t>
            </w:r>
          </w:p>
        </w:tc>
        <w:tc>
          <w:tcPr>
            <w:tcW w:w="2231" w:type="dxa"/>
            <w:vAlign w:val="center"/>
          </w:tcPr>
          <w:p w14:paraId="537FDB2F">
            <w:r>
              <w:rPr>
                <w:rFonts w:hint="eastAsia"/>
              </w:rPr>
              <w:t>后视镜</w:t>
            </w:r>
          </w:p>
        </w:tc>
        <w:tc>
          <w:tcPr>
            <w:tcW w:w="6131" w:type="dxa"/>
            <w:vAlign w:val="center"/>
          </w:tcPr>
          <w:p w14:paraId="4E6849AB">
            <w:r>
              <w:rPr>
                <w:rFonts w:hint="eastAsia"/>
              </w:rPr>
              <w:t>电动调节外后视镜</w:t>
            </w:r>
          </w:p>
        </w:tc>
      </w:tr>
      <w:tr w14:paraId="2AAC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586C889">
            <w:pPr>
              <w:rPr>
                <w:rFonts w:hint="default"/>
                <w:lang w:val="en-US"/>
              </w:rPr>
            </w:pPr>
            <w:r>
              <w:rPr>
                <w:rFonts w:hint="eastAsia"/>
              </w:rPr>
              <w:t>1</w:t>
            </w:r>
            <w:r>
              <w:rPr>
                <w:rFonts w:hint="default"/>
                <w:lang w:val="en-US"/>
              </w:rPr>
              <w:t>7</w:t>
            </w:r>
          </w:p>
        </w:tc>
        <w:tc>
          <w:tcPr>
            <w:tcW w:w="2231" w:type="dxa"/>
            <w:vAlign w:val="center"/>
          </w:tcPr>
          <w:p w14:paraId="74FB85E4">
            <w:r>
              <w:rPr>
                <w:rFonts w:hint="eastAsia"/>
              </w:rPr>
              <w:t>侧滑门形式</w:t>
            </w:r>
          </w:p>
        </w:tc>
        <w:tc>
          <w:tcPr>
            <w:tcW w:w="6131" w:type="dxa"/>
            <w:vAlign w:val="center"/>
          </w:tcPr>
          <w:p w14:paraId="6EBFC147">
            <w:r>
              <w:rPr>
                <w:rFonts w:hint="eastAsia"/>
              </w:rPr>
              <w:t>医疗舱右侧手动滑移门</w:t>
            </w:r>
          </w:p>
        </w:tc>
      </w:tr>
      <w:tr w14:paraId="33AB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675F0730">
            <w:pPr>
              <w:rPr>
                <w:rFonts w:hint="default"/>
                <w:lang w:val="en-US"/>
              </w:rPr>
            </w:pPr>
            <w:r>
              <w:rPr>
                <w:rFonts w:hint="eastAsia"/>
              </w:rPr>
              <w:t>1</w:t>
            </w:r>
            <w:r>
              <w:rPr>
                <w:rFonts w:hint="default"/>
                <w:lang w:val="en-US"/>
              </w:rPr>
              <w:t>8</w:t>
            </w:r>
          </w:p>
        </w:tc>
        <w:tc>
          <w:tcPr>
            <w:tcW w:w="2231" w:type="dxa"/>
            <w:vAlign w:val="center"/>
          </w:tcPr>
          <w:p w14:paraId="748F81F3">
            <w:r>
              <w:rPr>
                <w:rFonts w:hint="eastAsia"/>
              </w:rPr>
              <w:t>倒车影像</w:t>
            </w:r>
          </w:p>
        </w:tc>
        <w:tc>
          <w:tcPr>
            <w:tcW w:w="6131" w:type="dxa"/>
            <w:vAlign w:val="center"/>
          </w:tcPr>
          <w:p w14:paraId="64AC955D">
            <w:r>
              <w:rPr>
                <w:rFonts w:hint="eastAsia"/>
              </w:rPr>
              <w:t>12.3寸集成中控，配后置倒车影像</w:t>
            </w:r>
          </w:p>
        </w:tc>
      </w:tr>
      <w:tr w14:paraId="127E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7FFBB65">
            <w:pPr>
              <w:rPr>
                <w:rFonts w:hint="default"/>
                <w:lang w:val="en-US"/>
              </w:rPr>
            </w:pPr>
            <w:r>
              <w:rPr>
                <w:rFonts w:hint="default"/>
                <w:lang w:val="en-US"/>
              </w:rPr>
              <w:t>19</w:t>
            </w:r>
          </w:p>
        </w:tc>
        <w:tc>
          <w:tcPr>
            <w:tcW w:w="2231" w:type="dxa"/>
            <w:vAlign w:val="center"/>
          </w:tcPr>
          <w:p w14:paraId="7CD72327">
            <w:r>
              <w:rPr>
                <w:rFonts w:hint="eastAsia"/>
              </w:rPr>
              <w:t>车内中控锁</w:t>
            </w:r>
          </w:p>
        </w:tc>
        <w:tc>
          <w:tcPr>
            <w:tcW w:w="6131" w:type="dxa"/>
            <w:vAlign w:val="center"/>
          </w:tcPr>
          <w:p w14:paraId="3A97C915">
            <w:r>
              <w:rPr>
                <w:rFonts w:hint="eastAsia"/>
              </w:rPr>
              <w:t>配置</w:t>
            </w:r>
          </w:p>
        </w:tc>
      </w:tr>
      <w:tr w14:paraId="732F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7C643C7E">
            <w:pPr>
              <w:rPr>
                <w:rFonts w:hint="default"/>
                <w:lang w:val="en-US"/>
              </w:rPr>
            </w:pPr>
            <w:r>
              <w:rPr>
                <w:rFonts w:hint="eastAsia"/>
              </w:rPr>
              <w:t>2</w:t>
            </w:r>
            <w:r>
              <w:rPr>
                <w:rFonts w:hint="default"/>
                <w:lang w:val="en-US"/>
              </w:rPr>
              <w:t>0</w:t>
            </w:r>
          </w:p>
        </w:tc>
        <w:tc>
          <w:tcPr>
            <w:tcW w:w="2231" w:type="dxa"/>
            <w:vAlign w:val="center"/>
          </w:tcPr>
          <w:p w14:paraId="5E367590">
            <w:pPr>
              <w:rPr>
                <w:rFonts w:ascii="仿宋" w:hAnsi="仿宋" w:eastAsia="仿宋" w:cs="仿宋"/>
                <w:sz w:val="24"/>
                <w:szCs w:val="24"/>
              </w:rPr>
            </w:pPr>
            <w:r>
              <w:rPr>
                <w:rFonts w:hint="eastAsia"/>
              </w:rPr>
              <w:t>制动系统</w:t>
            </w:r>
          </w:p>
        </w:tc>
        <w:tc>
          <w:tcPr>
            <w:tcW w:w="6131" w:type="dxa"/>
            <w:vAlign w:val="center"/>
          </w:tcPr>
          <w:p w14:paraId="38770764">
            <w:pPr>
              <w:rPr>
                <w:rFonts w:ascii="仿宋" w:hAnsi="仿宋" w:eastAsia="仿宋" w:cs="仿宋"/>
                <w:sz w:val="24"/>
                <w:szCs w:val="24"/>
              </w:rPr>
            </w:pPr>
            <w:r>
              <w:rPr>
                <w:rFonts w:hint="eastAsia"/>
              </w:rPr>
              <w:t>前后盘式制动， ABS+ESP</w:t>
            </w:r>
          </w:p>
        </w:tc>
      </w:tr>
      <w:tr w14:paraId="5EC7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2FE79F4">
            <w:pPr>
              <w:rPr>
                <w:rFonts w:hint="default"/>
                <w:lang w:val="en-US"/>
              </w:rPr>
            </w:pPr>
            <w:r>
              <w:rPr>
                <w:rFonts w:hint="eastAsia"/>
              </w:rPr>
              <w:t>2</w:t>
            </w:r>
            <w:r>
              <w:rPr>
                <w:rFonts w:hint="default"/>
                <w:lang w:val="en-US"/>
              </w:rPr>
              <w:t>1</w:t>
            </w:r>
          </w:p>
        </w:tc>
        <w:tc>
          <w:tcPr>
            <w:tcW w:w="2231" w:type="dxa"/>
            <w:vAlign w:val="center"/>
          </w:tcPr>
          <w:p w14:paraId="37995391">
            <w:r>
              <w:rPr>
                <w:rFonts w:hint="eastAsia"/>
              </w:rPr>
              <w:t>整车要求</w:t>
            </w:r>
          </w:p>
        </w:tc>
        <w:tc>
          <w:tcPr>
            <w:tcW w:w="6131" w:type="dxa"/>
            <w:vAlign w:val="center"/>
          </w:tcPr>
          <w:p w14:paraId="28BF60C4">
            <w:r>
              <w:rPr>
                <w:rFonts w:hint="eastAsia"/>
              </w:rPr>
              <w:t>1、▲原车长轴高顶底盘：底盘未切割车顶，确保无漏水问题（提供承诺函）；</w:t>
            </w:r>
          </w:p>
          <w:p w14:paraId="50EFFB72">
            <w:r>
              <w:rPr>
                <w:rFonts w:hint="eastAsia"/>
              </w:rPr>
              <w:t>2、▲整车完工后进行全方位高压淋雨试验20分钟；车辆不会出现漏水情况；提升救护车出勤率（提供车辆淋雨房照片）；</w:t>
            </w:r>
          </w:p>
          <w:p w14:paraId="218E1FC1">
            <w:r>
              <w:rPr>
                <w:rFonts w:hint="eastAsia"/>
              </w:rPr>
              <w:t>3、过程工艺控制到交付前静态功能验证、四轮定位、动态路试，保证合格出厂，车辆使用更可靠；</w:t>
            </w:r>
          </w:p>
          <w:p w14:paraId="1027B7EC">
            <w:r>
              <w:rPr>
                <w:rFonts w:hint="eastAsia"/>
              </w:rPr>
              <w:t>4、经电泳处理骨架，保证车载设备、担架、座椅、扶手等固定安全可靠，同时保证8年不腐，使用寿命长（提供车辆加强电泳预埋件照片）。</w:t>
            </w:r>
          </w:p>
        </w:tc>
      </w:tr>
      <w:tr w14:paraId="1723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0" w:type="dxa"/>
            <w:gridSpan w:val="3"/>
            <w:vAlign w:val="center"/>
          </w:tcPr>
          <w:p w14:paraId="3ED55E4D">
            <w:r>
              <w:rPr>
                <w:rFonts w:hint="eastAsia"/>
              </w:rPr>
              <w:t>二、车辆医疗舱基本配置</w:t>
            </w:r>
          </w:p>
        </w:tc>
      </w:tr>
      <w:tr w14:paraId="2E52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009CFB08">
            <w:r>
              <w:rPr>
                <w:rFonts w:hint="eastAsia"/>
              </w:rPr>
              <w:t>A</w:t>
            </w:r>
          </w:p>
        </w:tc>
        <w:tc>
          <w:tcPr>
            <w:tcW w:w="8362" w:type="dxa"/>
            <w:gridSpan w:val="2"/>
            <w:vAlign w:val="center"/>
          </w:tcPr>
          <w:p w14:paraId="51BF5035">
            <w:r>
              <w:rPr>
                <w:rFonts w:hint="eastAsia"/>
              </w:rPr>
              <w:t>车辆外观、涂装</w:t>
            </w:r>
          </w:p>
        </w:tc>
      </w:tr>
      <w:tr w14:paraId="4E6D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78F12BC7">
            <w:r>
              <w:rPr>
                <w:rFonts w:hint="eastAsia"/>
              </w:rPr>
              <w:t>1</w:t>
            </w:r>
          </w:p>
        </w:tc>
        <w:tc>
          <w:tcPr>
            <w:tcW w:w="8362" w:type="dxa"/>
            <w:gridSpan w:val="2"/>
            <w:vAlign w:val="center"/>
          </w:tcPr>
          <w:p w14:paraId="1A5D021D">
            <w:r>
              <w:rPr>
                <w:rFonts w:hint="eastAsia"/>
              </w:rPr>
              <w:t>车辆车窗贴可选择颜色太阳膜。</w:t>
            </w:r>
          </w:p>
        </w:tc>
      </w:tr>
      <w:tr w14:paraId="00F8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45F7E51">
            <w:r>
              <w:rPr>
                <w:rFonts w:hint="eastAsia"/>
              </w:rPr>
              <w:t>2</w:t>
            </w:r>
          </w:p>
        </w:tc>
        <w:tc>
          <w:tcPr>
            <w:tcW w:w="8362" w:type="dxa"/>
            <w:gridSpan w:val="2"/>
            <w:vAlign w:val="center"/>
          </w:tcPr>
          <w:p w14:paraId="065EE07A">
            <w:pPr>
              <w:ind w:firstLine="241"/>
            </w:pPr>
            <w:r>
              <w:rPr>
                <w:rFonts w:hint="eastAsia"/>
              </w:rPr>
              <w:t>车辆前后左右车身贴红十字标识，所有标识采用国际知名品牌反光贴；</w:t>
            </w:r>
          </w:p>
        </w:tc>
      </w:tr>
      <w:tr w14:paraId="3D01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17A6C4C5">
            <w:r>
              <w:rPr>
                <w:rFonts w:hint="eastAsia"/>
              </w:rPr>
              <w:t>3</w:t>
            </w:r>
          </w:p>
        </w:tc>
        <w:tc>
          <w:tcPr>
            <w:tcW w:w="8362" w:type="dxa"/>
            <w:gridSpan w:val="2"/>
            <w:vAlign w:val="center"/>
          </w:tcPr>
          <w:p w14:paraId="47A95751">
            <w:r>
              <w:rPr>
                <w:rFonts w:hint="eastAsia"/>
              </w:rPr>
              <w:t>车身两侧贴强效荧光反射带。</w:t>
            </w:r>
          </w:p>
        </w:tc>
      </w:tr>
      <w:tr w14:paraId="484B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09E4F832">
            <w:r>
              <w:rPr>
                <w:rFonts w:hint="eastAsia"/>
              </w:rPr>
              <w:t>4</w:t>
            </w:r>
          </w:p>
        </w:tc>
        <w:tc>
          <w:tcPr>
            <w:tcW w:w="8362" w:type="dxa"/>
            <w:gridSpan w:val="2"/>
            <w:vAlign w:val="center"/>
          </w:tcPr>
          <w:p w14:paraId="1A676F02">
            <w:r>
              <w:rPr>
                <w:rFonts w:hint="eastAsia"/>
              </w:rPr>
              <w:t>车身可按用户要求定制外观。</w:t>
            </w:r>
          </w:p>
        </w:tc>
      </w:tr>
      <w:tr w14:paraId="079E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1AD74A3D">
            <w:r>
              <w:rPr>
                <w:rFonts w:hint="eastAsia"/>
              </w:rPr>
              <w:t>B</w:t>
            </w:r>
          </w:p>
        </w:tc>
        <w:tc>
          <w:tcPr>
            <w:tcW w:w="8362" w:type="dxa"/>
            <w:gridSpan w:val="2"/>
            <w:vAlign w:val="center"/>
          </w:tcPr>
          <w:p w14:paraId="14E1559E">
            <w:r>
              <w:rPr>
                <w:rFonts w:hint="eastAsia"/>
              </w:rPr>
              <w:t>车辆空调、暖风系统</w:t>
            </w:r>
          </w:p>
        </w:tc>
      </w:tr>
      <w:tr w14:paraId="12A3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7C4D3800">
            <w:r>
              <w:rPr>
                <w:rFonts w:hint="eastAsia"/>
              </w:rPr>
              <w:t>1</w:t>
            </w:r>
          </w:p>
        </w:tc>
        <w:tc>
          <w:tcPr>
            <w:tcW w:w="8362" w:type="dxa"/>
            <w:gridSpan w:val="2"/>
            <w:vAlign w:val="center"/>
          </w:tcPr>
          <w:p w14:paraId="27C5497A">
            <w:r>
              <w:rPr>
                <w:rFonts w:hint="eastAsia"/>
              </w:rPr>
              <w:t>驾驶室冷暖空调</w:t>
            </w:r>
          </w:p>
        </w:tc>
      </w:tr>
      <w:tr w14:paraId="0C2A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1D90D9D">
            <w:r>
              <w:rPr>
                <w:rFonts w:hint="eastAsia"/>
              </w:rPr>
              <w:t>2</w:t>
            </w:r>
          </w:p>
        </w:tc>
        <w:tc>
          <w:tcPr>
            <w:tcW w:w="8362" w:type="dxa"/>
            <w:gridSpan w:val="2"/>
            <w:vAlign w:val="center"/>
          </w:tcPr>
          <w:p w14:paraId="43D724B6">
            <w:r>
              <w:rPr>
                <w:rFonts w:hint="eastAsia"/>
              </w:rPr>
              <w:t>医疗舱空调水暖</w:t>
            </w:r>
          </w:p>
        </w:tc>
      </w:tr>
      <w:tr w14:paraId="2212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6987C058">
            <w:r>
              <w:rPr>
                <w:rFonts w:hint="eastAsia"/>
              </w:rPr>
              <w:t>3</w:t>
            </w:r>
          </w:p>
        </w:tc>
        <w:tc>
          <w:tcPr>
            <w:tcW w:w="8362" w:type="dxa"/>
            <w:gridSpan w:val="2"/>
            <w:vAlign w:val="center"/>
          </w:tcPr>
          <w:p w14:paraId="11C5ACFF">
            <w:r>
              <w:rPr>
                <w:rFonts w:hint="eastAsia"/>
              </w:rPr>
              <w:t>医疗舱换气扇：</w:t>
            </w:r>
          </w:p>
          <w:p w14:paraId="0386E425">
            <w:r>
              <w:rPr>
                <w:rFonts w:hint="eastAsia"/>
              </w:rPr>
              <w:t>应采用优质产品，底</w:t>
            </w:r>
            <w:r>
              <w:t>置</w:t>
            </w:r>
            <w:r>
              <w:rPr>
                <w:rFonts w:hint="eastAsia"/>
              </w:rPr>
              <w:t>排风系统，低噪音风扇，具有良好防进水密封；</w:t>
            </w:r>
          </w:p>
        </w:tc>
      </w:tr>
      <w:tr w14:paraId="50F8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57F114DB">
            <w:r>
              <w:rPr>
                <w:rFonts w:hint="eastAsia"/>
              </w:rPr>
              <w:t>C</w:t>
            </w:r>
          </w:p>
        </w:tc>
        <w:tc>
          <w:tcPr>
            <w:tcW w:w="8362" w:type="dxa"/>
            <w:gridSpan w:val="2"/>
            <w:vAlign w:val="center"/>
          </w:tcPr>
          <w:p w14:paraId="551E0CCE">
            <w:r>
              <w:rPr>
                <w:rFonts w:hint="eastAsia"/>
              </w:rPr>
              <w:t>警灯警报系统</w:t>
            </w:r>
          </w:p>
        </w:tc>
      </w:tr>
      <w:tr w14:paraId="5A0E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3129D06">
            <w:r>
              <w:rPr>
                <w:rFonts w:hint="eastAsia"/>
              </w:rPr>
              <w:t>1</w:t>
            </w:r>
          </w:p>
        </w:tc>
        <w:tc>
          <w:tcPr>
            <w:tcW w:w="8362" w:type="dxa"/>
            <w:gridSpan w:val="2"/>
            <w:vAlign w:val="center"/>
          </w:tcPr>
          <w:p w14:paraId="14F0AB36">
            <w:r>
              <w:rPr>
                <w:rFonts w:hint="eastAsia"/>
              </w:rPr>
              <w:t>驾驶室安装警报、警灯控制按扭，便于操作使用。</w:t>
            </w:r>
          </w:p>
        </w:tc>
      </w:tr>
      <w:tr w14:paraId="46A9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604EC5CB">
            <w:r>
              <w:rPr>
                <w:rFonts w:hint="eastAsia"/>
              </w:rPr>
              <w:t>▲2</w:t>
            </w:r>
          </w:p>
        </w:tc>
        <w:tc>
          <w:tcPr>
            <w:tcW w:w="8362" w:type="dxa"/>
            <w:gridSpan w:val="2"/>
            <w:vAlign w:val="center"/>
          </w:tcPr>
          <w:p w14:paraId="0EF32355">
            <w:r>
              <w:rPr>
                <w:rFonts w:hint="eastAsia"/>
              </w:rPr>
              <w:t>▲1、车前顶安装长排警灯≥1件</w:t>
            </w:r>
            <w:r>
              <w:t>，</w:t>
            </w:r>
            <w:r>
              <w:rPr>
                <w:rFonts w:hint="eastAsia"/>
              </w:rPr>
              <w:t>左右两侧各安装爆闪灯≥2件，尾部安装爆闪灯≥2件，警灯不超出前顶，提供公告照片及实物照片为证，爆闪警灯参数要求如下：</w:t>
            </w:r>
          </w:p>
          <w:p w14:paraId="209F3166">
            <w:pPr>
              <w:pStyle w:val="21"/>
              <w:numPr>
                <w:ilvl w:val="0"/>
                <w:numId w:val="1"/>
              </w:numPr>
              <w:ind w:firstLineChars="0"/>
            </w:pPr>
            <w:r>
              <w:rPr>
                <w:rFonts w:hint="eastAsia"/>
              </w:rPr>
              <w:t>外罩：蓝色外罩；</w:t>
            </w:r>
          </w:p>
          <w:p w14:paraId="1636CE67">
            <w:pPr>
              <w:pStyle w:val="21"/>
              <w:numPr>
                <w:ilvl w:val="0"/>
                <w:numId w:val="1"/>
              </w:numPr>
              <w:ind w:firstLineChars="0"/>
            </w:pPr>
            <w:r>
              <w:rPr>
                <w:rFonts w:hint="eastAsia"/>
              </w:rPr>
              <w:t>电压：DC12V；</w:t>
            </w:r>
          </w:p>
          <w:p w14:paraId="4F990FAC">
            <w:pPr>
              <w:pStyle w:val="21"/>
              <w:numPr>
                <w:ilvl w:val="0"/>
                <w:numId w:val="1"/>
              </w:numPr>
              <w:ind w:firstLineChars="0"/>
            </w:pPr>
            <w:r>
              <w:rPr>
                <w:rFonts w:hint="eastAsia"/>
              </w:rPr>
              <w:t>灯具要求自闪，不能有控制器；</w:t>
            </w:r>
          </w:p>
          <w:p w14:paraId="3DFB138C">
            <w:pPr>
              <w:pStyle w:val="21"/>
              <w:numPr>
                <w:ilvl w:val="0"/>
                <w:numId w:val="1"/>
              </w:numPr>
              <w:ind w:firstLineChars="0"/>
            </w:pPr>
            <w:r>
              <w:rPr>
                <w:rFonts w:hint="eastAsia"/>
              </w:rPr>
              <w:t>为了保证防水特性，灯具必须配备</w:t>
            </w:r>
            <w:r>
              <w:t xml:space="preserve"> AMP</w:t>
            </w:r>
            <w:r>
              <w:rPr>
                <w:rFonts w:hint="eastAsia"/>
              </w:rPr>
              <w:t>防水护套</w:t>
            </w:r>
            <w:r>
              <w:rPr>
                <w:rFonts w:hint="eastAsia"/>
                <w:color w:val="0000CC"/>
              </w:rPr>
              <w:t>。</w:t>
            </w:r>
          </w:p>
          <w:p w14:paraId="6429C86F">
            <w:r>
              <w:rPr>
                <w:rFonts w:hint="eastAsia"/>
              </w:rPr>
              <w:t>2、电子警报器：分体式结构，有效地将控制系统与主机分离；大功率高保真；微电脑芯片控制，警音频率稳定；控制器采用手柄式外观设计，方便安装和操作，具有警灯控制功能,，符合GB 8108标准。</w:t>
            </w:r>
          </w:p>
          <w:p w14:paraId="671B8B32">
            <w:pPr>
              <w:pStyle w:val="21"/>
              <w:numPr>
                <w:ilvl w:val="0"/>
                <w:numId w:val="2"/>
              </w:numPr>
              <w:ind w:firstLineChars="0"/>
            </w:pPr>
            <w:r>
              <w:rPr>
                <w:rFonts w:hint="eastAsia"/>
              </w:rPr>
              <w:t>警调名称：开道、救护、消防、治安、手动、汽笛、低音</w:t>
            </w:r>
          </w:p>
          <w:p w14:paraId="26B7F1AE">
            <w:pPr>
              <w:pStyle w:val="21"/>
              <w:numPr>
                <w:ilvl w:val="0"/>
                <w:numId w:val="2"/>
              </w:numPr>
              <w:ind w:firstLineChars="0"/>
            </w:pPr>
            <w:r>
              <w:rPr>
                <w:rFonts w:hint="eastAsia"/>
              </w:rPr>
              <w:t>工作电压：</w:t>
            </w:r>
            <w:r>
              <w:t>DC12V</w:t>
            </w:r>
          </w:p>
          <w:p w14:paraId="79BF64FE">
            <w:pPr>
              <w:pStyle w:val="21"/>
              <w:numPr>
                <w:ilvl w:val="0"/>
                <w:numId w:val="2"/>
              </w:numPr>
              <w:ind w:firstLineChars="0"/>
            </w:pPr>
            <w:r>
              <w:rPr>
                <w:rFonts w:hint="eastAsia"/>
              </w:rPr>
              <w:t>输出功率：</w:t>
            </w:r>
            <w:r>
              <w:t>100W</w:t>
            </w:r>
          </w:p>
          <w:p w14:paraId="3E925ABC">
            <w:pPr>
              <w:pStyle w:val="21"/>
              <w:numPr>
                <w:ilvl w:val="0"/>
                <w:numId w:val="2"/>
              </w:numPr>
              <w:ind w:firstLineChars="0"/>
            </w:pPr>
            <w:r>
              <w:rPr>
                <w:rFonts w:hint="eastAsia"/>
              </w:rPr>
              <w:t>输出阻抗：</w:t>
            </w:r>
            <w:r>
              <w:t>8Ω</w:t>
            </w:r>
          </w:p>
          <w:p w14:paraId="0FAFBEE2">
            <w:pPr>
              <w:pStyle w:val="21"/>
              <w:numPr>
                <w:ilvl w:val="0"/>
                <w:numId w:val="2"/>
              </w:numPr>
              <w:ind w:firstLineChars="0"/>
            </w:pPr>
            <w:r>
              <w:rPr>
                <w:rFonts w:hint="eastAsia"/>
              </w:rPr>
              <w:t>话筒频响：</w:t>
            </w:r>
            <w:r>
              <w:t>200Hz~10KHz±3dB</w:t>
            </w:r>
          </w:p>
          <w:p w14:paraId="643A9CBF">
            <w:pPr>
              <w:pStyle w:val="21"/>
              <w:numPr>
                <w:ilvl w:val="0"/>
                <w:numId w:val="2"/>
              </w:numPr>
              <w:ind w:firstLineChars="0"/>
            </w:pPr>
            <w:r>
              <w:rPr>
                <w:rFonts w:hint="eastAsia"/>
              </w:rPr>
              <w:t>新增灯控：2路灯控</w:t>
            </w:r>
          </w:p>
          <w:p w14:paraId="0DCF71F8">
            <w:pPr>
              <w:pStyle w:val="21"/>
              <w:numPr>
                <w:ilvl w:val="0"/>
                <w:numId w:val="2"/>
              </w:numPr>
              <w:ind w:firstLineChars="0"/>
            </w:pPr>
            <w:r>
              <w:t>警音输出电压</w:t>
            </w:r>
            <w:r>
              <w:rPr>
                <w:rFonts w:hint="eastAsia"/>
              </w:rPr>
              <w:t>：</w:t>
            </w:r>
            <w:r>
              <w:t xml:space="preserve"> AC28V±1V</w:t>
            </w:r>
            <w:r>
              <w:rPr>
                <w:rFonts w:hint="eastAsia"/>
              </w:rPr>
              <w:t xml:space="preserve">  </w:t>
            </w:r>
          </w:p>
          <w:p w14:paraId="19B4E1B9">
            <w:pPr>
              <w:pStyle w:val="21"/>
              <w:numPr>
                <w:ilvl w:val="0"/>
                <w:numId w:val="2"/>
              </w:numPr>
              <w:ind w:firstLineChars="0"/>
            </w:pPr>
            <w:r>
              <w:t>喊话输出电压</w:t>
            </w:r>
            <w:r>
              <w:rPr>
                <w:rFonts w:hint="eastAsia"/>
              </w:rPr>
              <w:t>：</w:t>
            </w:r>
            <w:r>
              <w:t>≥AC18V</w:t>
            </w:r>
          </w:p>
        </w:tc>
      </w:tr>
      <w:tr w14:paraId="5465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3E245EA">
            <w:r>
              <w:rPr>
                <w:rFonts w:hint="eastAsia"/>
              </w:rPr>
              <w:t>D</w:t>
            </w:r>
          </w:p>
        </w:tc>
        <w:tc>
          <w:tcPr>
            <w:tcW w:w="8362" w:type="dxa"/>
            <w:gridSpan w:val="2"/>
            <w:vAlign w:val="center"/>
          </w:tcPr>
          <w:p w14:paraId="3564D439">
            <w:r>
              <w:rPr>
                <w:rFonts w:hint="eastAsia"/>
              </w:rPr>
              <w:t>医疗舱内饰装配系统</w:t>
            </w:r>
          </w:p>
        </w:tc>
      </w:tr>
      <w:tr w14:paraId="75CC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736B734F">
            <w:r>
              <w:rPr>
                <w:rFonts w:hint="eastAsia"/>
              </w:rPr>
              <w:t>1</w:t>
            </w:r>
          </w:p>
        </w:tc>
        <w:tc>
          <w:tcPr>
            <w:tcW w:w="8362" w:type="dxa"/>
            <w:gridSpan w:val="2"/>
            <w:vAlign w:val="center"/>
          </w:tcPr>
          <w:p w14:paraId="3CB76312">
            <w:r>
              <w:rPr>
                <w:rFonts w:hint="eastAsia"/>
              </w:rPr>
              <w:t>医疗舱内饰材料需采用：高分子复合材料，易清洗，要求满足GB 8410-2006《汽车内饰材料的燃烧特性》要求，需满足耐酸碱、光滑、防水、阻燃、抗菌、易清洗等许多优良特点。</w:t>
            </w:r>
          </w:p>
        </w:tc>
      </w:tr>
      <w:tr w14:paraId="3F39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00F12581">
            <w:r>
              <w:rPr>
                <w:rFonts w:hint="eastAsia"/>
              </w:rPr>
              <w:t>2</w:t>
            </w:r>
          </w:p>
        </w:tc>
        <w:tc>
          <w:tcPr>
            <w:tcW w:w="8362" w:type="dxa"/>
            <w:gridSpan w:val="2"/>
            <w:vAlign w:val="center"/>
          </w:tcPr>
          <w:p w14:paraId="0AF2C714">
            <w:pPr>
              <w:pStyle w:val="6"/>
            </w:pPr>
            <w:r>
              <w:rPr>
                <w:rFonts w:hint="eastAsia"/>
              </w:rPr>
              <w:t>医疗舱布局：内饰件应无尖锐突出形状，周边应修光，连接应平滑，储物空间大，可以放置更多急救设备、耗材及其它急救物资，更好应对突发状况。</w:t>
            </w:r>
          </w:p>
        </w:tc>
      </w:tr>
      <w:tr w14:paraId="5212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368CD69E">
            <w:r>
              <w:rPr>
                <w:rFonts w:hint="eastAsia"/>
              </w:rPr>
              <w:t>3</w:t>
            </w:r>
          </w:p>
        </w:tc>
        <w:tc>
          <w:tcPr>
            <w:tcW w:w="8362" w:type="dxa"/>
            <w:gridSpan w:val="2"/>
            <w:vAlign w:val="center"/>
          </w:tcPr>
          <w:p w14:paraId="64EB32C5">
            <w:pPr>
              <w:pStyle w:val="6"/>
            </w:pPr>
            <w:r>
              <w:rPr>
                <w:rFonts w:hint="eastAsia"/>
              </w:rPr>
              <w:t>医疗舱内顶应集成照明、储物、杀菌、输液、全方位扶手等功能</w:t>
            </w:r>
          </w:p>
        </w:tc>
      </w:tr>
      <w:tr w14:paraId="7A8D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15FA070D">
            <w:r>
              <w:rPr>
                <w:rFonts w:hint="eastAsia"/>
              </w:rPr>
              <w:t>4</w:t>
            </w:r>
          </w:p>
        </w:tc>
        <w:tc>
          <w:tcPr>
            <w:tcW w:w="8362" w:type="dxa"/>
            <w:gridSpan w:val="2"/>
            <w:vAlign w:val="center"/>
          </w:tcPr>
          <w:p w14:paraId="3236E181">
            <w:pPr>
              <w:pStyle w:val="21"/>
              <w:numPr>
                <w:ilvl w:val="0"/>
                <w:numId w:val="3"/>
              </w:numPr>
              <w:ind w:firstLineChars="0"/>
            </w:pPr>
            <w:r>
              <w:rPr>
                <w:rFonts w:hint="eastAsia"/>
              </w:rPr>
              <w:t>医疗舱左侧氧气瓶柜、仪器柜、医疗舱左上方吊柜；</w:t>
            </w:r>
          </w:p>
          <w:p w14:paraId="7E75D4D8">
            <w:pPr>
              <w:pStyle w:val="21"/>
              <w:numPr>
                <w:ilvl w:val="0"/>
                <w:numId w:val="3"/>
              </w:numPr>
              <w:ind w:firstLineChars="0"/>
            </w:pPr>
            <w:r>
              <w:rPr>
                <w:rFonts w:hint="eastAsia"/>
              </w:rPr>
              <w:t>隔断后多功能柜、急救箱柜(确保在行车过程中，能从急救箱柜内取出急救箱)；</w:t>
            </w:r>
          </w:p>
          <w:p w14:paraId="62A44F8B">
            <w:pPr>
              <w:ind w:firstLine="0" w:firstLineChars="0"/>
            </w:pPr>
            <w:r>
              <w:rPr>
                <w:rFonts w:hint="eastAsia"/>
              </w:rPr>
              <w:t>3、▲左上方吊柜的柜门结构采用外盖式，柜门上带透明材料，医护人员一眼就可以看到耗材存放位置，提高医护人员工作效率，高效救治，提供实车照片说明。</w:t>
            </w:r>
          </w:p>
        </w:tc>
      </w:tr>
      <w:tr w14:paraId="440B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9FEB944">
            <w:r>
              <w:rPr>
                <w:rFonts w:hint="eastAsia"/>
              </w:rPr>
              <w:t>5</w:t>
            </w:r>
          </w:p>
        </w:tc>
        <w:tc>
          <w:tcPr>
            <w:tcW w:w="8362" w:type="dxa"/>
            <w:gridSpan w:val="2"/>
            <w:vAlign w:val="center"/>
          </w:tcPr>
          <w:p w14:paraId="24684482">
            <w:pPr>
              <w:pStyle w:val="6"/>
            </w:pPr>
            <w:r>
              <w:rPr>
                <w:rFonts w:hint="eastAsia"/>
              </w:rPr>
              <w:t>药品仪器柜可分别放置一次性耗材、注射用品、外伤包扎用品、隔离防护用品、插管箱、按压泵、软担架、呼吸机、除颤仪等急救药械，需采用高分子板材制作，不吸水、易清洗，边角均应采用圆角过度，封边及接口处不可有触手感；仪器柜的布置要便于医护人员的操作；应能够放置监护仪、呼吸机、除颤仪等急救设备，便于医护人员的观察和操作。</w:t>
            </w:r>
          </w:p>
        </w:tc>
      </w:tr>
      <w:tr w14:paraId="62A5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51BDFA81">
            <w:r>
              <w:rPr>
                <w:rFonts w:hint="eastAsia"/>
              </w:rPr>
              <w:t>6</w:t>
            </w:r>
          </w:p>
        </w:tc>
        <w:tc>
          <w:tcPr>
            <w:tcW w:w="8362" w:type="dxa"/>
            <w:gridSpan w:val="2"/>
            <w:vAlign w:val="center"/>
          </w:tcPr>
          <w:p w14:paraId="1040B56C">
            <w:r>
              <w:rPr>
                <w:rFonts w:hint="eastAsia"/>
              </w:rPr>
              <w:t>隔断后折叠座椅、右侧中门后单人椅+3人座长排座椅（配三副安全带）：</w:t>
            </w:r>
          </w:p>
          <w:p w14:paraId="1D7CBD43">
            <w:r>
              <w:rPr>
                <w:rFonts w:hint="eastAsia"/>
              </w:rPr>
              <w:t>1、▲座椅采用硅胶复合革面料，环保耐磨，且易清洗易消毒，并提供第三方有资质的检测机构提供的防霉性能检测报告，检验报告上必须有CNAS标记。</w:t>
            </w:r>
          </w:p>
          <w:p w14:paraId="49E878DC">
            <w:r>
              <w:rPr>
                <w:rFonts w:hint="eastAsia"/>
              </w:rPr>
              <w:t>2、自动上车担架及不锈钢担架导板</w:t>
            </w:r>
          </w:p>
        </w:tc>
      </w:tr>
      <w:tr w14:paraId="6443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59AFE161">
            <w:r>
              <w:rPr>
                <w:rFonts w:hint="eastAsia"/>
              </w:rPr>
              <w:t>▲7</w:t>
            </w:r>
          </w:p>
        </w:tc>
        <w:tc>
          <w:tcPr>
            <w:tcW w:w="8362" w:type="dxa"/>
            <w:gridSpan w:val="2"/>
            <w:vAlign w:val="center"/>
          </w:tcPr>
          <w:p w14:paraId="19E872C2">
            <w:r>
              <w:rPr>
                <w:rFonts w:hint="eastAsia"/>
              </w:rPr>
              <w:t>医疗舱地板技术要求：</w:t>
            </w:r>
          </w:p>
          <w:p w14:paraId="05872CF6">
            <w:r>
              <w:t>1</w:t>
            </w:r>
            <w:r>
              <w:rPr>
                <w:rFonts w:hint="eastAsia"/>
              </w:rPr>
              <w:t>、▲地板采用具有阻燃性质竹胶地板，提供国家汽车质量监督检验中心阻燃报告。</w:t>
            </w:r>
          </w:p>
          <w:p w14:paraId="4734E740">
            <w:r>
              <w:t>2</w:t>
            </w:r>
            <w:r>
              <w:rPr>
                <w:rFonts w:hint="eastAsia"/>
              </w:rPr>
              <w:t>、▲医疗舱地板革：采用防水、防腐、耐磨、抗菌、环保材料，便于清洁和整理，且提供CNAS认可的检测机构出具的地板防水、防腐、耐磨、抗菌检验报告。</w:t>
            </w:r>
          </w:p>
        </w:tc>
      </w:tr>
      <w:tr w14:paraId="5546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50BE60BD">
            <w:r>
              <w:rPr>
                <w:rFonts w:hint="eastAsia"/>
              </w:rPr>
              <w:t>E</w:t>
            </w:r>
          </w:p>
        </w:tc>
        <w:tc>
          <w:tcPr>
            <w:tcW w:w="8362" w:type="dxa"/>
            <w:gridSpan w:val="2"/>
            <w:vAlign w:val="center"/>
          </w:tcPr>
          <w:p w14:paraId="1D50371B">
            <w:r>
              <w:rPr>
                <w:rFonts w:hint="eastAsia"/>
              </w:rPr>
              <w:t>照明消毒系统</w:t>
            </w:r>
          </w:p>
        </w:tc>
      </w:tr>
      <w:tr w14:paraId="2BD9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43C6BA8">
            <w:r>
              <w:rPr>
                <w:rFonts w:hint="eastAsia"/>
              </w:rPr>
              <w:t>1</w:t>
            </w:r>
          </w:p>
        </w:tc>
        <w:tc>
          <w:tcPr>
            <w:tcW w:w="8362" w:type="dxa"/>
            <w:gridSpan w:val="2"/>
            <w:vAlign w:val="center"/>
          </w:tcPr>
          <w:p w14:paraId="61FD9DE5">
            <w:r>
              <w:rPr>
                <w:rFonts w:hint="eastAsia"/>
              </w:rPr>
              <w:t>1、车内照明：医疗舱内顶安装LED照明灯≥4盏，光线均匀柔和，照度满足医护人员操作设备及救治患者，并满足救护车行业标准；</w:t>
            </w:r>
          </w:p>
          <w:p w14:paraId="3A662C36">
            <w:r>
              <w:rPr>
                <w:rFonts w:hint="eastAsia"/>
              </w:rPr>
              <w:t>2、输液射灯：医疗舱内顶安装输液射灯≥2盏，冷白6000-6500K ，可调节照射角度，可在实施急救时辅助照明使用；</w:t>
            </w:r>
          </w:p>
        </w:tc>
      </w:tr>
      <w:tr w14:paraId="01BB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0AC5369">
            <w:r>
              <w:rPr>
                <w:rFonts w:hint="eastAsia"/>
              </w:rPr>
              <w:t>2</w:t>
            </w:r>
          </w:p>
        </w:tc>
        <w:tc>
          <w:tcPr>
            <w:tcW w:w="8362" w:type="dxa"/>
            <w:gridSpan w:val="2"/>
            <w:vAlign w:val="center"/>
          </w:tcPr>
          <w:p w14:paraId="59F16AC9">
            <w:r>
              <w:rPr>
                <w:rFonts w:hint="eastAsia"/>
              </w:rPr>
              <w:t>医疗舱内配备专用紫外线消毒灯，具有延时消毒功能，考虑安全可靠，须提供消毒灯电磁兼容报告；</w:t>
            </w:r>
          </w:p>
        </w:tc>
      </w:tr>
      <w:tr w14:paraId="1B7D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66051C00">
            <w:r>
              <w:rPr>
                <w:rFonts w:hint="eastAsia"/>
              </w:rPr>
              <w:t>3</w:t>
            </w:r>
          </w:p>
        </w:tc>
        <w:tc>
          <w:tcPr>
            <w:tcW w:w="8362" w:type="dxa"/>
            <w:gridSpan w:val="2"/>
            <w:vAlign w:val="center"/>
          </w:tcPr>
          <w:p w14:paraId="70E8B0EE">
            <w:r>
              <w:rPr>
                <w:rFonts w:hint="eastAsia"/>
              </w:rPr>
              <w:t>医疗舱尾部安装LED照明灯≥1盏，防护等级≥IP66，冷白光，高亮度≥5000K，光通量≥290lm，功率≥3W，可在担架上下车时辅助照明使用；</w:t>
            </w:r>
          </w:p>
          <w:p w14:paraId="5C101AE5">
            <w:r>
              <w:rPr>
                <w:rFonts w:hint="eastAsia"/>
              </w:rPr>
              <w:t>外场照明灯：车顶左右两侧各安装LED照明灯≥1盏，防护等级≥IP67，高亮度≥6500K，功率≥6W，可辅助照明车辆周围；方便夜间操作。</w:t>
            </w:r>
          </w:p>
        </w:tc>
      </w:tr>
      <w:tr w14:paraId="5127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0BCA0343">
            <w:r>
              <w:rPr>
                <w:rFonts w:hint="eastAsia"/>
              </w:rPr>
              <w:t>F</w:t>
            </w:r>
          </w:p>
        </w:tc>
        <w:tc>
          <w:tcPr>
            <w:tcW w:w="8362" w:type="dxa"/>
            <w:gridSpan w:val="2"/>
            <w:vAlign w:val="center"/>
          </w:tcPr>
          <w:p w14:paraId="690E240E">
            <w:r>
              <w:rPr>
                <w:rFonts w:hint="eastAsia"/>
              </w:rPr>
              <w:t>氧气系统</w:t>
            </w:r>
          </w:p>
        </w:tc>
      </w:tr>
      <w:tr w14:paraId="6638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1D553A0B">
            <w:r>
              <w:rPr>
                <w:rFonts w:hint="eastAsia"/>
              </w:rPr>
              <w:t>1</w:t>
            </w:r>
          </w:p>
        </w:tc>
        <w:tc>
          <w:tcPr>
            <w:tcW w:w="8362" w:type="dxa"/>
            <w:gridSpan w:val="2"/>
            <w:vAlign w:val="center"/>
          </w:tcPr>
          <w:p w14:paraId="08B67E73">
            <w:r>
              <w:rPr>
                <w:rFonts w:hint="eastAsia"/>
              </w:rPr>
              <w:t>医疗舱内2个</w:t>
            </w:r>
            <w:r>
              <w:rPr>
                <w:rFonts w:hint="default"/>
                <w:lang w:val="en-US"/>
              </w:rPr>
              <w:t>2</w:t>
            </w:r>
            <w:r>
              <w:rPr>
                <w:rFonts w:hint="eastAsia"/>
              </w:rPr>
              <w:t>0L氧气柜。</w:t>
            </w:r>
          </w:p>
        </w:tc>
      </w:tr>
      <w:tr w14:paraId="3BA5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739864D2">
            <w:r>
              <w:rPr>
                <w:rFonts w:hint="eastAsia"/>
              </w:rPr>
              <w:t>2</w:t>
            </w:r>
          </w:p>
        </w:tc>
        <w:tc>
          <w:tcPr>
            <w:tcW w:w="8362" w:type="dxa"/>
            <w:gridSpan w:val="2"/>
            <w:vAlign w:val="center"/>
          </w:tcPr>
          <w:p w14:paraId="75906D48">
            <w:r>
              <w:rPr>
                <w:rFonts w:hint="eastAsia"/>
              </w:rPr>
              <w:t>医疗舱配备2个</w:t>
            </w:r>
            <w:r>
              <w:rPr>
                <w:rFonts w:hint="default"/>
                <w:lang w:val="en-US"/>
              </w:rPr>
              <w:t>2</w:t>
            </w:r>
            <w:r>
              <w:rPr>
                <w:rFonts w:hint="eastAsia"/>
              </w:rPr>
              <w:t>0L氧气瓶，氧气瓶切换装置1套</w:t>
            </w:r>
          </w:p>
        </w:tc>
      </w:tr>
      <w:tr w14:paraId="6892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054FF1BD">
            <w:r>
              <w:rPr>
                <w:rFonts w:hint="eastAsia"/>
              </w:rPr>
              <w:t>3</w:t>
            </w:r>
          </w:p>
        </w:tc>
        <w:tc>
          <w:tcPr>
            <w:tcW w:w="8362" w:type="dxa"/>
            <w:gridSpan w:val="2"/>
            <w:vAlign w:val="center"/>
          </w:tcPr>
          <w:p w14:paraId="48C10FA3">
            <w:r>
              <w:rPr>
                <w:rFonts w:hint="eastAsia"/>
              </w:rPr>
              <w:t>医疗舱配备氧气终端2个、刻度式流量湿化瓶1个，呼吸机接口1个。</w:t>
            </w:r>
          </w:p>
        </w:tc>
      </w:tr>
      <w:tr w14:paraId="1866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1D8F6C04">
            <w:r>
              <w:rPr>
                <w:rFonts w:hint="eastAsia"/>
              </w:rPr>
              <w:t>G</w:t>
            </w:r>
          </w:p>
        </w:tc>
        <w:tc>
          <w:tcPr>
            <w:tcW w:w="8362" w:type="dxa"/>
            <w:gridSpan w:val="2"/>
            <w:vAlign w:val="center"/>
          </w:tcPr>
          <w:p w14:paraId="09A19493">
            <w:r>
              <w:rPr>
                <w:rFonts w:hint="eastAsia"/>
              </w:rPr>
              <w:t>车辆电源系统</w:t>
            </w:r>
          </w:p>
        </w:tc>
      </w:tr>
      <w:tr w14:paraId="2ACC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645CDC76">
            <w:r>
              <w:rPr>
                <w:rFonts w:hint="eastAsia"/>
              </w:rPr>
              <w:t>1</w:t>
            </w:r>
          </w:p>
        </w:tc>
        <w:tc>
          <w:tcPr>
            <w:tcW w:w="8362" w:type="dxa"/>
            <w:gridSpan w:val="2"/>
            <w:vAlign w:val="center"/>
          </w:tcPr>
          <w:p w14:paraId="259455E9">
            <w:r>
              <w:rPr>
                <w:rFonts w:hint="eastAsia"/>
              </w:rPr>
              <w:t>车辆综合布线，医疗舱集中控制，医疗舱前部设有集中控制面板，方便医务人员操作。▲改装线束采用汽车用薄壁绝缘低压电线，电线为镀锡铜线，提供检测报告；</w:t>
            </w:r>
          </w:p>
        </w:tc>
      </w:tr>
      <w:tr w14:paraId="2AFB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004866E">
            <w:r>
              <w:rPr>
                <w:rFonts w:hint="eastAsia"/>
              </w:rPr>
              <w:t>▲2</w:t>
            </w:r>
          </w:p>
        </w:tc>
        <w:tc>
          <w:tcPr>
            <w:tcW w:w="8362" w:type="dxa"/>
            <w:gridSpan w:val="2"/>
            <w:vAlign w:val="center"/>
          </w:tcPr>
          <w:p w14:paraId="08550E95">
            <w:pPr>
              <w:pStyle w:val="21"/>
              <w:numPr>
                <w:ilvl w:val="0"/>
                <w:numId w:val="4"/>
              </w:numPr>
              <w:ind w:firstLineChars="0"/>
            </w:pPr>
            <w:r>
              <w:rPr>
                <w:rFonts w:hint="eastAsia"/>
              </w:rPr>
              <w:t>在车辆启动状态下，可实现24小时不间断供电，可输出220V，不小于1000W纯正弦波电源可供医疗设备使用，并在相应的位置安置12V电源插座≥1只、220V电源插座≥4只；</w:t>
            </w:r>
          </w:p>
          <w:p w14:paraId="421D0E9F">
            <w:pPr>
              <w:pStyle w:val="21"/>
              <w:numPr>
                <w:ilvl w:val="0"/>
                <w:numId w:val="4"/>
              </w:numPr>
              <w:ind w:firstLineChars="0"/>
            </w:pPr>
            <w:r>
              <w:rPr>
                <w:rFonts w:hint="eastAsia"/>
              </w:rPr>
              <w:t>在拔掉车辆钥匙后所有用电器应与主、副电瓶断开，防止漏电，以保证蓄电池保存充足电力。</w:t>
            </w:r>
          </w:p>
          <w:p w14:paraId="630AE63E">
            <w:r>
              <w:rPr>
                <w:rFonts w:hint="eastAsia"/>
              </w:rPr>
              <w:t>为保证医疗舱系统稳定可靠，主副电瓶连接只能使用原车信号控制，不允许使用外接双电瓶隔离保护器（增加故障点）。</w:t>
            </w:r>
          </w:p>
          <w:p w14:paraId="66327621">
            <w:pPr>
              <w:pStyle w:val="21"/>
              <w:numPr>
                <w:ilvl w:val="0"/>
                <w:numId w:val="4"/>
              </w:numPr>
              <w:ind w:firstLineChars="0"/>
            </w:pPr>
            <w:r>
              <w:rPr>
                <w:rFonts w:hint="eastAsia"/>
              </w:rPr>
              <w:t>▲应为智能充逆变一体机，12V输入，输出为220V、不小于1000W纯正弦波电源，需保证逆变器不影响原车电路，充逆变一体机必须具有电磁兼容测试报告。</w:t>
            </w:r>
          </w:p>
          <w:p w14:paraId="6A920CB3">
            <w:pPr>
              <w:pStyle w:val="21"/>
              <w:numPr>
                <w:ilvl w:val="0"/>
                <w:numId w:val="4"/>
              </w:numPr>
              <w:ind w:firstLineChars="0"/>
              <w:rPr>
                <w:lang w:bidi="ar"/>
              </w:rPr>
            </w:pPr>
            <w:r>
              <w:rPr>
                <w:rFonts w:hint="eastAsia"/>
              </w:rPr>
              <w:t>每个分电路应设有相应规范的过载保护装置，以确保医疗救护设备的电器正常使用。</w:t>
            </w:r>
          </w:p>
        </w:tc>
      </w:tr>
      <w:tr w14:paraId="6262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57A35C58">
            <w:r>
              <w:rPr>
                <w:rFonts w:hint="eastAsia"/>
              </w:rPr>
              <w:t>3</w:t>
            </w:r>
          </w:p>
        </w:tc>
        <w:tc>
          <w:tcPr>
            <w:tcW w:w="8362" w:type="dxa"/>
            <w:gridSpan w:val="2"/>
            <w:vAlign w:val="center"/>
          </w:tcPr>
          <w:p w14:paraId="79DFAC21">
            <w:pPr>
              <w:pStyle w:val="21"/>
              <w:ind w:firstLine="422"/>
            </w:pPr>
            <w:r>
              <w:rPr>
                <w:rFonts w:hint="eastAsia"/>
              </w:rPr>
              <w:t>附加电瓶应为汽车专用启动电瓶：</w:t>
            </w:r>
          </w:p>
          <w:p w14:paraId="311A8B63">
            <w:pPr>
              <w:pStyle w:val="21"/>
              <w:ind w:firstLine="422"/>
            </w:pPr>
            <w:r>
              <w:rPr>
                <w:rFonts w:hint="eastAsia"/>
              </w:rPr>
              <w:t>容量不小于</w:t>
            </w:r>
            <w:r>
              <w:t>11</w:t>
            </w:r>
            <w:r>
              <w:rPr>
                <w:rFonts w:hint="eastAsia"/>
              </w:rPr>
              <w:t>0AH，与底盘自带电瓶同品牌同</w:t>
            </w:r>
            <w:r>
              <w:t>型号，</w:t>
            </w:r>
            <w:r>
              <w:rPr>
                <w:rFonts w:hint="eastAsia"/>
              </w:rPr>
              <w:t>在驻车时可供医疗器械使用。电瓶应该安装在方便检验的位置。蓄电池安装及其所有连接应防止任何情况下发生短路的可能。在车辆熄火后，附加电瓶和启动电瓶自动断开。车辆启动时自动连接，以保证救护车的正常启动和附加电设备的用电需要。</w:t>
            </w:r>
          </w:p>
        </w:tc>
      </w:tr>
      <w:tr w14:paraId="148F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530B3B24">
            <w:r>
              <w:rPr>
                <w:rFonts w:hint="eastAsia"/>
              </w:rPr>
              <w:t>H</w:t>
            </w:r>
          </w:p>
        </w:tc>
        <w:tc>
          <w:tcPr>
            <w:tcW w:w="8362" w:type="dxa"/>
            <w:gridSpan w:val="2"/>
            <w:vAlign w:val="center"/>
          </w:tcPr>
          <w:p w14:paraId="6A51C45C">
            <w:r>
              <w:rPr>
                <w:rFonts w:hint="eastAsia"/>
              </w:rPr>
              <w:t>其他辅助设备</w:t>
            </w:r>
          </w:p>
        </w:tc>
      </w:tr>
      <w:tr w14:paraId="5C1A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0F085969">
            <w:r>
              <w:rPr>
                <w:rFonts w:hint="eastAsia"/>
              </w:rPr>
              <w:t>1</w:t>
            </w:r>
          </w:p>
        </w:tc>
        <w:tc>
          <w:tcPr>
            <w:tcW w:w="8362" w:type="dxa"/>
            <w:gridSpan w:val="2"/>
            <w:vAlign w:val="center"/>
          </w:tcPr>
          <w:p w14:paraId="40856070">
            <w:r>
              <w:rPr>
                <w:rFonts w:hint="eastAsia"/>
              </w:rPr>
              <w:t>医疗舱配备钢质污物桶。</w:t>
            </w:r>
          </w:p>
        </w:tc>
      </w:tr>
      <w:tr w14:paraId="6EEE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2C833F2">
            <w:r>
              <w:rPr>
                <w:rFonts w:hint="eastAsia"/>
              </w:rPr>
              <w:t>2</w:t>
            </w:r>
          </w:p>
        </w:tc>
        <w:tc>
          <w:tcPr>
            <w:tcW w:w="8362" w:type="dxa"/>
            <w:gridSpan w:val="2"/>
            <w:vAlign w:val="center"/>
          </w:tcPr>
          <w:p w14:paraId="69EE305B">
            <w:r>
              <w:rPr>
                <w:rFonts w:hint="eastAsia"/>
              </w:rPr>
              <w:t>医疗舱配备专用灭火器</w:t>
            </w:r>
          </w:p>
        </w:tc>
      </w:tr>
      <w:tr w14:paraId="3B3B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08749D9">
            <w:r>
              <w:rPr>
                <w:rFonts w:hint="eastAsia"/>
              </w:rPr>
              <w:t>3</w:t>
            </w:r>
          </w:p>
        </w:tc>
        <w:tc>
          <w:tcPr>
            <w:tcW w:w="8362" w:type="dxa"/>
            <w:gridSpan w:val="2"/>
            <w:vAlign w:val="center"/>
          </w:tcPr>
          <w:p w14:paraId="323E8A81">
            <w:r>
              <w:rPr>
                <w:rFonts w:hint="eastAsia"/>
              </w:rPr>
              <w:t>医疗舱配备前后舱对讲机。</w:t>
            </w:r>
          </w:p>
        </w:tc>
      </w:tr>
      <w:tr w14:paraId="077C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1B38EBD2">
            <w:r>
              <w:rPr>
                <w:rFonts w:hint="eastAsia"/>
              </w:rPr>
              <w:t>4</w:t>
            </w:r>
          </w:p>
        </w:tc>
        <w:tc>
          <w:tcPr>
            <w:tcW w:w="8362" w:type="dxa"/>
            <w:gridSpan w:val="2"/>
            <w:vAlign w:val="center"/>
          </w:tcPr>
          <w:p w14:paraId="26B1BD71">
            <w:r>
              <w:rPr>
                <w:rFonts w:hint="eastAsia"/>
              </w:rPr>
              <w:t>医疗舱配备破窗安全锤。</w:t>
            </w:r>
          </w:p>
        </w:tc>
      </w:tr>
      <w:tr w14:paraId="10B2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106F1882">
            <w:r>
              <w:rPr>
                <w:rFonts w:hint="eastAsia"/>
              </w:rPr>
              <w:t>I</w:t>
            </w:r>
          </w:p>
        </w:tc>
        <w:tc>
          <w:tcPr>
            <w:tcW w:w="8362" w:type="dxa"/>
            <w:gridSpan w:val="2"/>
            <w:vAlign w:val="center"/>
          </w:tcPr>
          <w:p w14:paraId="110BE73B">
            <w:r>
              <w:rPr>
                <w:rFonts w:hint="eastAsia"/>
              </w:rPr>
              <w:t>车辆管理系统</w:t>
            </w:r>
          </w:p>
        </w:tc>
      </w:tr>
      <w:tr w14:paraId="34AD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072B37C0"/>
        </w:tc>
        <w:tc>
          <w:tcPr>
            <w:tcW w:w="8362" w:type="dxa"/>
            <w:gridSpan w:val="2"/>
            <w:vAlign w:val="center"/>
          </w:tcPr>
          <w:p w14:paraId="0FC37EA0">
            <w:pPr>
              <w:pStyle w:val="21"/>
              <w:numPr>
                <w:ilvl w:val="0"/>
                <w:numId w:val="5"/>
              </w:numPr>
              <w:ind w:firstLineChars="0"/>
            </w:pPr>
            <w:r>
              <w:rPr>
                <w:rFonts w:hint="eastAsia"/>
              </w:rPr>
              <w:t>▲提供1套硬件终端，可以采集车内底盘车速、油量、发动机转速、位置、DPF、尿素等信息；该终端需要通过叠加交流电性能、辐射发射、传导发射、射频抗扰（自由场/天线注入）、射频抗扰（大电流注入）、电源线瞬态抗干扰等验证，确保可靠性。提供远程排放管理车载终端，提供远程排放管理车载终端，第三方EMC检测报告。</w:t>
            </w:r>
          </w:p>
          <w:p w14:paraId="59DD856F">
            <w:pPr>
              <w:pStyle w:val="21"/>
              <w:numPr>
                <w:ilvl w:val="0"/>
                <w:numId w:val="5"/>
              </w:numPr>
              <w:ind w:firstLineChars="0"/>
            </w:pPr>
            <w:r>
              <w:t>提供一套车辆管理系统</w:t>
            </w:r>
            <w:r>
              <w:rPr>
                <w:rFonts w:hint="eastAsia"/>
              </w:rPr>
              <w:t>，该系统需要包括Web端应用和移动端应用，并为客户的不同管理层级、不同使用场景提供了丰富的角色和对应权限，该系统可以实现以下功能：</w:t>
            </w:r>
          </w:p>
          <w:p w14:paraId="4117E701">
            <w:pPr>
              <w:pStyle w:val="21"/>
              <w:ind w:firstLine="422"/>
            </w:pPr>
          </w:p>
          <w:p w14:paraId="2254CDD7">
            <w:pPr>
              <w:pStyle w:val="21"/>
              <w:ind w:firstLine="422"/>
            </w:pPr>
            <w:r>
              <w:rPr>
                <w:rFonts w:hint="eastAsia"/>
              </w:rPr>
              <w:t>移动端：</w:t>
            </w:r>
          </w:p>
          <w:p w14:paraId="2A6974C4">
            <w:pPr>
              <w:pStyle w:val="21"/>
              <w:ind w:firstLine="422"/>
            </w:pPr>
            <w:r>
              <w:rPr>
                <w:rFonts w:hint="eastAsia"/>
              </w:rPr>
              <w:t>（1）</w:t>
            </w:r>
            <w:r>
              <w:rPr>
                <w:rFonts w:hint="eastAsia"/>
              </w:rPr>
              <w:tab/>
            </w:r>
            <w:r>
              <w:rPr>
                <w:rFonts w:hint="eastAsia"/>
              </w:rPr>
              <w:t>可以监控车辆使用里程、车速、发动机转速、百公里油耗、位置、剩余油量等信息；</w:t>
            </w:r>
          </w:p>
          <w:p w14:paraId="2AB15DDE">
            <w:pPr>
              <w:pStyle w:val="21"/>
              <w:ind w:firstLine="422"/>
            </w:pPr>
            <w:r>
              <w:rPr>
                <w:rFonts w:hint="eastAsia"/>
              </w:rPr>
              <w:t>（2）</w:t>
            </w:r>
            <w:r>
              <w:rPr>
                <w:rFonts w:hint="eastAsia"/>
              </w:rPr>
              <w:tab/>
            </w:r>
            <w:r>
              <w:rPr>
                <w:rFonts w:hint="eastAsia"/>
              </w:rPr>
              <w:t>可以查询当地服务网点、服务经理；</w:t>
            </w:r>
          </w:p>
          <w:p w14:paraId="716ADF3E">
            <w:pPr>
              <w:pStyle w:val="21"/>
              <w:ind w:firstLine="422"/>
            </w:pPr>
            <w:r>
              <w:rPr>
                <w:rFonts w:hint="eastAsia"/>
              </w:rPr>
              <w:t>（3）</w:t>
            </w:r>
            <w:r>
              <w:rPr>
                <w:rFonts w:hint="eastAsia"/>
              </w:rPr>
              <w:tab/>
            </w:r>
            <w:r>
              <w:rPr>
                <w:rFonts w:hint="eastAsia"/>
              </w:rPr>
              <w:t>可以查看车辆巡检情况；</w:t>
            </w:r>
          </w:p>
          <w:p w14:paraId="2C03464F">
            <w:pPr>
              <w:pStyle w:val="21"/>
              <w:ind w:firstLine="422"/>
            </w:pPr>
            <w:r>
              <w:rPr>
                <w:rFonts w:hint="eastAsia"/>
              </w:rPr>
              <w:t>（4）</w:t>
            </w:r>
            <w:r>
              <w:rPr>
                <w:rFonts w:hint="eastAsia"/>
              </w:rPr>
              <w:tab/>
            </w:r>
            <w:r>
              <w:rPr>
                <w:rFonts w:hint="eastAsia"/>
              </w:rPr>
              <w:t>可以监控车辆DPF、尿素状态；</w:t>
            </w:r>
          </w:p>
          <w:p w14:paraId="14AD170C">
            <w:pPr>
              <w:pStyle w:val="21"/>
              <w:ind w:firstLine="422"/>
            </w:pPr>
            <w:r>
              <w:rPr>
                <w:rFonts w:hint="eastAsia"/>
              </w:rPr>
              <w:t>（5）</w:t>
            </w:r>
            <w:r>
              <w:rPr>
                <w:rFonts w:hint="eastAsia"/>
              </w:rPr>
              <w:tab/>
            </w:r>
            <w:r>
              <w:rPr>
                <w:rFonts w:hint="eastAsia"/>
              </w:rPr>
              <w:t>可以预约维护保养；</w:t>
            </w:r>
          </w:p>
          <w:p w14:paraId="4F59F2BD">
            <w:pPr>
              <w:pStyle w:val="21"/>
              <w:ind w:firstLine="422"/>
            </w:pPr>
            <w:r>
              <w:rPr>
                <w:rFonts w:hint="eastAsia"/>
              </w:rPr>
              <w:t>（6）</w:t>
            </w:r>
            <w:r>
              <w:rPr>
                <w:rFonts w:hint="eastAsia"/>
              </w:rPr>
              <w:tab/>
            </w:r>
            <w:r>
              <w:rPr>
                <w:rFonts w:hint="eastAsia"/>
              </w:rPr>
              <w:t>当车辆特定时间未归时候，可以进行提醒；</w:t>
            </w:r>
          </w:p>
          <w:p w14:paraId="48C20C29">
            <w:pPr>
              <w:pStyle w:val="21"/>
              <w:ind w:firstLine="422"/>
            </w:pPr>
            <w:r>
              <w:rPr>
                <w:rFonts w:hint="eastAsia"/>
              </w:rPr>
              <w:t>（7）</w:t>
            </w:r>
            <w:r>
              <w:rPr>
                <w:rFonts w:hint="eastAsia"/>
              </w:rPr>
              <w:tab/>
            </w:r>
            <w:r>
              <w:rPr>
                <w:rFonts w:hint="eastAsia"/>
              </w:rPr>
              <w:t>当车辆长时间停滞时候，可以进行提醒；</w:t>
            </w:r>
          </w:p>
          <w:p w14:paraId="57595005">
            <w:pPr>
              <w:pStyle w:val="21"/>
              <w:ind w:firstLine="422"/>
            </w:pPr>
            <w:r>
              <w:rPr>
                <w:rFonts w:hint="eastAsia"/>
              </w:rPr>
              <w:t>（8）</w:t>
            </w:r>
            <w:r>
              <w:rPr>
                <w:rFonts w:hint="eastAsia"/>
              </w:rPr>
              <w:tab/>
            </w:r>
            <w:r>
              <w:rPr>
                <w:rFonts w:hint="eastAsia"/>
              </w:rPr>
              <w:t>年检提醒。</w:t>
            </w:r>
          </w:p>
          <w:p w14:paraId="185FA277">
            <w:r>
              <w:rPr>
                <w:rFonts w:hint="eastAsia"/>
              </w:rPr>
              <w:t>Web端：</w:t>
            </w:r>
          </w:p>
          <w:p w14:paraId="27E8701F">
            <w:pPr>
              <w:pStyle w:val="21"/>
              <w:numPr>
                <w:ilvl w:val="0"/>
                <w:numId w:val="6"/>
              </w:numPr>
              <w:ind w:firstLineChars="0"/>
            </w:pPr>
            <w:r>
              <w:rPr>
                <w:rFonts w:hint="eastAsia"/>
              </w:rPr>
              <w:t>可以监控车辆使用里程、车速、发动机转速、百公里油耗、位置、剩余油量等信息；</w:t>
            </w:r>
          </w:p>
          <w:p w14:paraId="1B221447">
            <w:r>
              <w:rPr>
                <w:rFonts w:hint="eastAsia"/>
              </w:rPr>
              <w:t>2、可以查询当地服务网点、服务经理；</w:t>
            </w:r>
          </w:p>
          <w:p w14:paraId="0570B86B">
            <w:r>
              <w:rPr>
                <w:rFonts w:hint="eastAsia"/>
              </w:rPr>
              <w:t>3、可以查看车辆巡检情况；</w:t>
            </w:r>
          </w:p>
          <w:p w14:paraId="505FA56E">
            <w:r>
              <w:rPr>
                <w:rFonts w:hint="eastAsia"/>
              </w:rPr>
              <w:t>4、可以监控车辆DPF、尿素状态；</w:t>
            </w:r>
          </w:p>
          <w:p w14:paraId="005A4E86">
            <w:r>
              <w:rPr>
                <w:rFonts w:hint="eastAsia"/>
              </w:rPr>
              <w:t>5、可以预约维护保养；</w:t>
            </w:r>
          </w:p>
          <w:p w14:paraId="23830AD3">
            <w:r>
              <w:rPr>
                <w:rFonts w:hint="eastAsia"/>
              </w:rPr>
              <w:t>6、当车辆特定时间未归时候，可以进行提醒；</w:t>
            </w:r>
          </w:p>
          <w:p w14:paraId="5341D80E">
            <w:r>
              <w:rPr>
                <w:rFonts w:hint="eastAsia"/>
              </w:rPr>
              <w:t>7、当车辆长时间停滞时候，可以进行提醒；</w:t>
            </w:r>
          </w:p>
          <w:p w14:paraId="75431791">
            <w:r>
              <w:rPr>
                <w:rFonts w:hint="eastAsia"/>
              </w:rPr>
              <w:t>8、年检提醒。</w:t>
            </w:r>
          </w:p>
          <w:p w14:paraId="200681CA"/>
        </w:tc>
      </w:tr>
      <w:tr w14:paraId="2F1B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121A49EB">
            <w:r>
              <w:t>备注</w:t>
            </w:r>
          </w:p>
        </w:tc>
        <w:tc>
          <w:tcPr>
            <w:tcW w:w="8362" w:type="dxa"/>
            <w:gridSpan w:val="2"/>
            <w:vAlign w:val="center"/>
          </w:tcPr>
          <w:p w14:paraId="1592783E">
            <w:pPr>
              <w:ind w:left="210" w:firstLine="0" w:firstLineChars="0"/>
              <w:rPr>
                <w:rFonts w:hint="eastAsia"/>
              </w:rPr>
            </w:pPr>
            <w:r>
              <w:rPr>
                <w:rFonts w:hint="eastAsia"/>
              </w:rPr>
              <w:t>▲标注信息为扣分项，不作为废标项。</w:t>
            </w:r>
          </w:p>
        </w:tc>
      </w:tr>
    </w:tbl>
    <w:p w14:paraId="0CF031DC">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Cs/>
          <w:color w:val="auto"/>
          <w:sz w:val="24"/>
          <w:szCs w:val="24"/>
        </w:rPr>
      </w:pPr>
    </w:p>
    <w:p w14:paraId="4EBB12AA">
      <w:pPr>
        <w:keepNext w:val="0"/>
        <w:keepLines w:val="0"/>
        <w:pageBreakBefore w:val="0"/>
        <w:widowControl w:val="0"/>
        <w:kinsoku/>
        <w:wordWrap/>
        <w:overflowPunct/>
        <w:topLinePunct w:val="0"/>
        <w:autoSpaceDE/>
        <w:autoSpaceDN/>
        <w:bidi w:val="0"/>
        <w:spacing w:line="336"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Cs/>
          <w:color w:val="auto"/>
          <w:sz w:val="24"/>
          <w:szCs w:val="24"/>
        </w:rPr>
        <w:t>注：</w:t>
      </w:r>
      <w:r>
        <w:rPr>
          <w:rFonts w:hint="eastAsia" w:ascii="仿宋" w:hAnsi="仿宋" w:eastAsia="仿宋" w:cs="仿宋"/>
          <w:b w:val="0"/>
          <w:bCs w:val="0"/>
          <w:color w:val="auto"/>
          <w:sz w:val="24"/>
          <w:szCs w:val="24"/>
          <w:highlight w:val="none"/>
        </w:rPr>
        <w:t>1.下表中的品牌型号（如有）、技术参数仅起参考作用，</w:t>
      </w:r>
      <w:r>
        <w:rPr>
          <w:rFonts w:hint="eastAsia" w:ascii="仿宋" w:hAnsi="仿宋" w:eastAsia="仿宋" w:cs="仿宋"/>
          <w:b w:val="0"/>
          <w:bCs w:val="0"/>
          <w:color w:val="auto"/>
          <w:sz w:val="24"/>
          <w:szCs w:val="24"/>
          <w:highlight w:val="none"/>
          <w:lang w:val="en-US" w:eastAsia="zh-CN"/>
        </w:rPr>
        <w:t>资格预审供应商</w:t>
      </w:r>
      <w:r>
        <w:rPr>
          <w:rFonts w:hint="eastAsia" w:ascii="仿宋" w:hAnsi="仿宋" w:eastAsia="仿宋" w:cs="仿宋"/>
          <w:b w:val="0"/>
          <w:bCs w:val="0"/>
          <w:color w:val="auto"/>
          <w:sz w:val="24"/>
          <w:szCs w:val="24"/>
          <w:highlight w:val="none"/>
        </w:rPr>
        <w:t>可选用其他品牌型号替代，但这些替代的产品要实质上相当于或优于参考品牌型号及其技术参数性能（配置）要求。</w:t>
      </w:r>
    </w:p>
    <w:p w14:paraId="19A50DA0">
      <w:pPr>
        <w:pStyle w:val="7"/>
        <w:keepNext w:val="0"/>
        <w:keepLines w:val="0"/>
        <w:pageBreakBefore w:val="0"/>
        <w:widowControl w:val="0"/>
        <w:kinsoku/>
        <w:wordWrap/>
        <w:overflowPunct/>
        <w:topLinePunct w:val="0"/>
        <w:autoSpaceDE/>
        <w:autoSpaceDN/>
        <w:bidi w:val="0"/>
        <w:spacing w:line="336" w:lineRule="auto"/>
        <w:ind w:right="-27" w:rightChars="-13" w:firstLine="465" w:firstLineChars="194"/>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2、本一览表中</w:t>
      </w:r>
      <w:r>
        <w:rPr>
          <w:rFonts w:hint="eastAsia" w:ascii="仿宋" w:hAnsi="仿宋" w:eastAsia="仿宋" w:cs="仿宋"/>
          <w:bCs/>
          <w:color w:val="auto"/>
          <w:sz w:val="24"/>
          <w:szCs w:val="24"/>
        </w:rPr>
        <w:t>技术参数性能（配置）</w:t>
      </w:r>
      <w:r>
        <w:rPr>
          <w:rFonts w:hint="eastAsia" w:ascii="仿宋" w:hAnsi="仿宋" w:eastAsia="仿宋" w:cs="仿宋"/>
          <w:color w:val="auto"/>
          <w:sz w:val="24"/>
          <w:szCs w:val="24"/>
        </w:rPr>
        <w:t>不明确或有误的，请说明详细、正确的技术参数性能（配置）同时填写报价表和商务及技术条款偏离表；</w:t>
      </w:r>
    </w:p>
    <w:p w14:paraId="4CC72C62">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kern w:val="2"/>
          <w:sz w:val="24"/>
          <w:szCs w:val="24"/>
          <w:lang w:val="en-US" w:eastAsia="zh-CN" w:bidi="ar-SA"/>
        </w:rPr>
        <w:t>3、本一览表中带“</w:t>
      </w:r>
      <w:r>
        <w:rPr>
          <w:rFonts w:hint="eastAsia"/>
        </w:rPr>
        <w:t>▲</w:t>
      </w:r>
      <w:r>
        <w:rPr>
          <w:rFonts w:hint="eastAsia" w:ascii="仿宋" w:hAnsi="仿宋" w:eastAsia="仿宋" w:cs="仿宋"/>
          <w:color w:val="auto"/>
          <w:kern w:val="2"/>
          <w:sz w:val="24"/>
          <w:szCs w:val="24"/>
          <w:lang w:val="en-US" w:eastAsia="zh-CN" w:bidi="ar-SA"/>
        </w:rPr>
        <w:t>”项为重要参数，需提供相应的证明材料，包括厂商公开发布的彩页资料或具有合法资质的检测机构出具的相关检测报告或其他类似能够证明投标产品符合招标要求的证明材料复印件，并加盖产品生产厂家公章；不满足要求或未提供的，按评分办法扣分处理。</w:t>
      </w:r>
    </w:p>
    <w:p w14:paraId="35A0F39D">
      <w:pPr>
        <w:keepNext w:val="0"/>
        <w:keepLines w:val="0"/>
        <w:pageBreakBefore w:val="0"/>
        <w:widowControl w:val="0"/>
        <w:kinsoku/>
        <w:wordWrap/>
        <w:overflowPunct/>
        <w:topLinePunct w:val="0"/>
        <w:autoSpaceDE/>
        <w:autoSpaceDN/>
        <w:bidi w:val="0"/>
        <w:adjustRightInd w:val="0"/>
        <w:snapToGrid w:val="0"/>
        <w:spacing w:line="336" w:lineRule="auto"/>
        <w:ind w:firstLine="470" w:firstLineChars="196"/>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报价</w:t>
      </w:r>
      <w:r>
        <w:rPr>
          <w:rFonts w:hint="eastAsia" w:ascii="仿宋" w:hAnsi="仿宋" w:eastAsia="仿宋" w:cs="仿宋"/>
          <w:b w:val="0"/>
          <w:bCs w:val="0"/>
          <w:color w:val="auto"/>
          <w:sz w:val="24"/>
          <w:szCs w:val="24"/>
          <w:highlight w:val="none"/>
          <w:lang w:eastAsia="zh-CN"/>
        </w:rPr>
        <w:t>包括</w:t>
      </w:r>
      <w:r>
        <w:rPr>
          <w:rFonts w:hint="eastAsia" w:ascii="仿宋" w:hAnsi="仿宋" w:eastAsia="仿宋" w:cs="仿宋"/>
          <w:b w:val="0"/>
          <w:bCs w:val="0"/>
          <w:color w:val="auto"/>
          <w:sz w:val="24"/>
          <w:szCs w:val="24"/>
          <w:highlight w:val="none"/>
        </w:rPr>
        <w:t>本项目货物、服务、随配附件、备品备件、工具、货物运抵指定交货地点、安装、调试、验收、培训的各种费用和售后服务、税金及其它所有成本、费用、采购代理服务费和项目利润的总和</w:t>
      </w:r>
      <w:r>
        <w:rPr>
          <w:rFonts w:hint="eastAsia" w:ascii="仿宋" w:hAnsi="仿宋" w:eastAsia="仿宋" w:cs="仿宋"/>
          <w:b w:val="0"/>
          <w:bCs w:val="0"/>
          <w:color w:val="auto"/>
          <w:sz w:val="24"/>
          <w:szCs w:val="24"/>
          <w:highlight w:val="none"/>
          <w:lang w:eastAsia="zh-CN"/>
        </w:rPr>
        <w:t>。</w:t>
      </w:r>
    </w:p>
    <w:p w14:paraId="08AC26D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、招标要求</w:t>
      </w:r>
    </w:p>
    <w:p w14:paraId="31C6DA01">
      <w:pPr>
        <w:keepNext w:val="0"/>
        <w:keepLines w:val="0"/>
        <w:pageBreakBefore w:val="0"/>
        <w:widowControl w:val="0"/>
        <w:numPr>
          <w:ilvl w:val="0"/>
          <w:numId w:val="7"/>
        </w:numPr>
        <w:kinsoku/>
        <w:wordWrap/>
        <w:overflowPunct/>
        <w:topLinePunct w:val="0"/>
        <w:autoSpaceDE/>
        <w:autoSpaceDN/>
        <w:bidi w:val="0"/>
        <w:adjustRightInd/>
        <w:snapToGrid/>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中标人提供给采购人的货物必须是原装</w:t>
      </w:r>
      <w:r>
        <w:rPr>
          <w:rFonts w:hint="eastAsia" w:ascii="仿宋" w:hAnsi="仿宋" w:eastAsia="仿宋" w:cs="仿宋"/>
          <w:color w:val="auto"/>
          <w:sz w:val="24"/>
          <w:szCs w:val="24"/>
          <w:lang w:eastAsia="zh-CN"/>
        </w:rPr>
        <w:t>正</w:t>
      </w:r>
      <w:r>
        <w:rPr>
          <w:rFonts w:hint="eastAsia" w:ascii="仿宋" w:hAnsi="仿宋" w:eastAsia="仿宋" w:cs="仿宋"/>
          <w:color w:val="auto"/>
          <w:sz w:val="24"/>
          <w:szCs w:val="24"/>
        </w:rPr>
        <w:t>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内外包装均需完好</w:t>
      </w:r>
      <w:r>
        <w:rPr>
          <w:rFonts w:hint="eastAsia" w:ascii="仿宋" w:hAnsi="仿宋" w:eastAsia="仿宋" w:cs="仿宋"/>
          <w:color w:val="auto"/>
          <w:sz w:val="24"/>
          <w:szCs w:val="24"/>
          <w:lang w:eastAsia="zh-CN"/>
        </w:rPr>
        <w:t>。</w:t>
      </w:r>
    </w:p>
    <w:p w14:paraId="6F48AAA0">
      <w:pPr>
        <w:keepNext w:val="0"/>
        <w:keepLines w:val="0"/>
        <w:pageBreakBefore w:val="0"/>
        <w:widowControl w:val="0"/>
        <w:numPr>
          <w:ilvl w:val="0"/>
          <w:numId w:val="7"/>
        </w:numPr>
        <w:kinsoku/>
        <w:wordWrap/>
        <w:overflowPunct/>
        <w:topLinePunct w:val="0"/>
        <w:autoSpaceDE/>
        <w:autoSpaceDN/>
        <w:bidi w:val="0"/>
        <w:adjustRightInd/>
        <w:snapToGrid/>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中</w:t>
      </w:r>
      <w:r>
        <w:rPr>
          <w:rFonts w:hint="eastAsia" w:ascii="仿宋" w:hAnsi="仿宋" w:eastAsia="仿宋" w:cs="仿宋"/>
          <w:color w:val="auto"/>
          <w:sz w:val="24"/>
          <w:szCs w:val="24"/>
        </w:rPr>
        <w:t>标方负责项目</w:t>
      </w:r>
      <w:r>
        <w:rPr>
          <w:rFonts w:hint="eastAsia" w:ascii="仿宋" w:hAnsi="仿宋" w:eastAsia="仿宋" w:cs="仿宋"/>
          <w:color w:val="auto"/>
          <w:sz w:val="24"/>
          <w:szCs w:val="24"/>
          <w:lang w:eastAsia="zh-CN"/>
        </w:rPr>
        <w:t>车辆</w:t>
      </w:r>
      <w:r>
        <w:rPr>
          <w:rFonts w:hint="eastAsia" w:ascii="仿宋" w:hAnsi="仿宋" w:eastAsia="仿宋" w:cs="仿宋"/>
          <w:color w:val="auto"/>
          <w:sz w:val="24"/>
          <w:szCs w:val="24"/>
        </w:rPr>
        <w:t>的采购及</w:t>
      </w:r>
      <w:r>
        <w:rPr>
          <w:rFonts w:hint="eastAsia" w:ascii="仿宋" w:hAnsi="仿宋" w:eastAsia="仿宋" w:cs="仿宋"/>
          <w:color w:val="auto"/>
          <w:sz w:val="24"/>
          <w:szCs w:val="24"/>
          <w:lang w:eastAsia="zh-CN"/>
        </w:rPr>
        <w:t>上牌等事宜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中标价不包含购置税、保险</w:t>
      </w:r>
      <w:r>
        <w:rPr>
          <w:rFonts w:hint="eastAsia" w:ascii="仿宋" w:hAnsi="仿宋" w:eastAsia="仿宋" w:cs="仿宋"/>
          <w:color w:val="auto"/>
          <w:sz w:val="24"/>
          <w:szCs w:val="24"/>
          <w:lang w:eastAsia="zh-CN"/>
        </w:rPr>
        <w:t>）</w:t>
      </w:r>
    </w:p>
    <w:p w14:paraId="48BC911D">
      <w:pPr>
        <w:keepNext w:val="0"/>
        <w:keepLines w:val="0"/>
        <w:pageBreakBefore w:val="0"/>
        <w:widowControl w:val="0"/>
        <w:numPr>
          <w:ilvl w:val="0"/>
          <w:numId w:val="7"/>
        </w:numPr>
        <w:kinsoku/>
        <w:wordWrap/>
        <w:overflowPunct/>
        <w:topLinePunct w:val="0"/>
        <w:autoSpaceDE/>
        <w:autoSpaceDN/>
        <w:bidi w:val="0"/>
        <w:adjustRightInd/>
        <w:snapToGrid/>
        <w:spacing w:line="336"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质量保证期</w:t>
      </w:r>
      <w:r>
        <w:rPr>
          <w:rFonts w:hint="eastAsia" w:ascii="仿宋" w:hAnsi="仿宋" w:eastAsia="仿宋" w:cs="仿宋"/>
          <w:color w:val="auto"/>
          <w:sz w:val="24"/>
          <w:szCs w:val="24"/>
          <w:lang w:eastAsia="zh-CN"/>
        </w:rPr>
        <w:t>：整车</w:t>
      </w:r>
      <w:r>
        <w:rPr>
          <w:rFonts w:hint="eastAsia" w:ascii="仿宋" w:hAnsi="仿宋" w:eastAsia="仿宋" w:cs="仿宋"/>
          <w:color w:val="auto"/>
          <w:sz w:val="24"/>
          <w:szCs w:val="24"/>
          <w:lang w:val="en-US" w:eastAsia="zh-CN"/>
        </w:rPr>
        <w:t>至少3年或6万公里，改装部分至少1年或2万公里。（严格按国家执行标准及生产厂家标准执行，时间与公里数按以先完成的计算）</w:t>
      </w:r>
    </w:p>
    <w:p w14:paraId="1146DC9D">
      <w:pPr>
        <w:keepNext w:val="0"/>
        <w:keepLines w:val="0"/>
        <w:pageBreakBefore w:val="0"/>
        <w:widowControl w:val="0"/>
        <w:numPr>
          <w:ilvl w:val="0"/>
          <w:numId w:val="7"/>
        </w:numPr>
        <w:kinsoku/>
        <w:wordWrap/>
        <w:overflowPunct/>
        <w:topLinePunct w:val="0"/>
        <w:autoSpaceDE/>
        <w:autoSpaceDN/>
        <w:bidi w:val="0"/>
        <w:adjustRightInd/>
        <w:snapToGrid/>
        <w:spacing w:line="336"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交货时如出现质量、型号、参数与招投标文件不符的情况，报价人应无条件给予更换。</w:t>
      </w:r>
    </w:p>
    <w:p w14:paraId="33D47F34">
      <w:pPr>
        <w:keepNext w:val="0"/>
        <w:keepLines w:val="0"/>
        <w:pageBreakBefore w:val="0"/>
        <w:widowControl w:val="0"/>
        <w:numPr>
          <w:ilvl w:val="0"/>
          <w:numId w:val="7"/>
        </w:numPr>
        <w:kinsoku/>
        <w:wordWrap/>
        <w:overflowPunct/>
        <w:topLinePunct w:val="0"/>
        <w:autoSpaceDE/>
        <w:autoSpaceDN/>
        <w:bidi w:val="0"/>
        <w:adjustRightInd/>
        <w:snapToGrid/>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报价人注明质保内容：重要部件保修期、大型零件保修期、综合保修和全面保修等不同的范围。</w:t>
      </w:r>
    </w:p>
    <w:p w14:paraId="4CAE184D">
      <w:pPr>
        <w:keepNext w:val="0"/>
        <w:keepLines w:val="0"/>
        <w:pageBreakBefore w:val="0"/>
        <w:widowControl w:val="0"/>
        <w:numPr>
          <w:ilvl w:val="0"/>
          <w:numId w:val="7"/>
        </w:numPr>
        <w:kinsoku/>
        <w:wordWrap/>
        <w:overflowPunct/>
        <w:topLinePunct w:val="0"/>
        <w:autoSpaceDE/>
        <w:autoSpaceDN/>
        <w:bidi w:val="0"/>
        <w:adjustRightInd/>
        <w:snapToGrid/>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报价人注明车辆免费常规保养的具体内容。</w:t>
      </w:r>
    </w:p>
    <w:p w14:paraId="10710E85">
      <w:pPr>
        <w:keepNext w:val="0"/>
        <w:keepLines w:val="0"/>
        <w:pageBreakBefore w:val="0"/>
        <w:widowControl w:val="0"/>
        <w:numPr>
          <w:ilvl w:val="0"/>
          <w:numId w:val="7"/>
        </w:numPr>
        <w:kinsoku/>
        <w:wordWrap/>
        <w:overflowPunct/>
        <w:topLinePunct w:val="0"/>
        <w:autoSpaceDE/>
        <w:autoSpaceDN/>
        <w:bidi w:val="0"/>
        <w:adjustRightInd/>
        <w:snapToGrid/>
        <w:spacing w:line="336" w:lineRule="auto"/>
        <w:textAlignment w:val="auto"/>
        <w:rPr>
          <w:rFonts w:hint="eastAsia" w:ascii="仿宋" w:hAnsi="仿宋" w:eastAsia="仿宋" w:cs="仿宋"/>
          <w:sz w:val="24"/>
          <w:szCs w:val="24"/>
          <w:lang w:val="en-US" w:eastAsia="zh-CN"/>
        </w:rPr>
      </w:pPr>
      <w:r>
        <w:rPr>
          <w:rFonts w:hint="eastAsia"/>
        </w:rPr>
        <w:t>▲</w:t>
      </w:r>
      <w:r>
        <w:rPr>
          <w:rFonts w:hint="eastAsia" w:ascii="仿宋" w:hAnsi="仿宋" w:eastAsia="仿宋" w:cs="仿宋"/>
          <w:color w:val="auto"/>
          <w:sz w:val="24"/>
          <w:szCs w:val="24"/>
          <w:lang w:val="en-US" w:eastAsia="zh-CN"/>
        </w:rPr>
        <w:t>供应商具有所投产品制造厂家出具的2025年度的经销授权书，投标人在响应文件中提供证明复印件（授权范围须在广西区域以内，供</w:t>
      </w:r>
      <w:r>
        <w:rPr>
          <w:rFonts w:hint="eastAsia" w:ascii="仿宋" w:hAnsi="仿宋" w:eastAsia="仿宋" w:cs="仿宋"/>
          <w:sz w:val="24"/>
          <w:szCs w:val="24"/>
          <w:lang w:val="en-US" w:eastAsia="zh-CN"/>
        </w:rPr>
        <w:t>货时须提供原件进行核验，扣分项）</w:t>
      </w:r>
    </w:p>
    <w:p w14:paraId="5C324268">
      <w:pPr>
        <w:keepNext w:val="0"/>
        <w:keepLines w:val="0"/>
        <w:pageBreakBefore w:val="0"/>
        <w:widowControl w:val="0"/>
        <w:numPr>
          <w:ilvl w:val="0"/>
          <w:numId w:val="7"/>
        </w:numPr>
        <w:kinsoku/>
        <w:wordWrap/>
        <w:overflowPunct/>
        <w:topLinePunct w:val="0"/>
        <w:autoSpaceDE/>
        <w:autoSpaceDN/>
        <w:bidi w:val="0"/>
        <w:adjustRightInd/>
        <w:snapToGrid/>
        <w:spacing w:line="336" w:lineRule="auto"/>
        <w:textAlignment w:val="auto"/>
        <w:rPr>
          <w:rFonts w:hint="eastAsia" w:ascii="仿宋" w:hAnsi="仿宋" w:eastAsia="仿宋" w:cs="仿宋"/>
          <w:sz w:val="24"/>
          <w:szCs w:val="24"/>
          <w:lang w:val="en-US" w:eastAsia="zh-CN"/>
        </w:rPr>
      </w:pPr>
      <w:r>
        <w:rPr>
          <w:rFonts w:hint="eastAsia"/>
        </w:rPr>
        <w:t>▲</w:t>
      </w:r>
      <w:r>
        <w:rPr>
          <w:rFonts w:hint="eastAsia" w:ascii="仿宋" w:hAnsi="仿宋" w:eastAsia="仿宋" w:cs="仿宋"/>
          <w:sz w:val="24"/>
          <w:szCs w:val="24"/>
          <w:lang w:val="en-US" w:eastAsia="zh-CN"/>
        </w:rPr>
        <w:t>因采购车辆使用的特殊性，为确保采购人采购的车辆后期服务得到保障，供应商在广西区内须设有售后服务站。</w:t>
      </w:r>
    </w:p>
    <w:p w14:paraId="0ED72D93">
      <w:pPr>
        <w:keepNext w:val="0"/>
        <w:keepLines w:val="0"/>
        <w:pageBreakBefore w:val="0"/>
        <w:widowControl w:val="0"/>
        <w:numPr>
          <w:ilvl w:val="0"/>
          <w:numId w:val="7"/>
        </w:numPr>
        <w:kinsoku/>
        <w:wordWrap/>
        <w:overflowPunct/>
        <w:topLinePunct w:val="0"/>
        <w:autoSpaceDE/>
        <w:autoSpaceDN/>
        <w:bidi w:val="0"/>
        <w:adjustRightInd/>
        <w:snapToGrid/>
        <w:spacing w:line="336"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使用过程中若产品发生质量问题或故障，接到采购人报修通知后，立即响应并在0.5小时内采取相应措施，在收到采购人要求服务通知的1小时内，服务人员到达现场，对设备出现的较大问题，解决时间不超过3个工作日。</w:t>
      </w:r>
    </w:p>
    <w:p w14:paraId="2AC5235F">
      <w:pPr>
        <w:keepNext w:val="0"/>
        <w:keepLines w:val="0"/>
        <w:pageBreakBefore w:val="0"/>
        <w:widowControl w:val="0"/>
        <w:numPr>
          <w:ilvl w:val="0"/>
          <w:numId w:val="7"/>
        </w:numPr>
        <w:kinsoku/>
        <w:wordWrap/>
        <w:overflowPunct/>
        <w:topLinePunct w:val="0"/>
        <w:autoSpaceDE/>
        <w:autoSpaceDN/>
        <w:bidi w:val="0"/>
        <w:adjustRightInd/>
        <w:snapToGrid/>
        <w:spacing w:line="336"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验收过程中所产生的一切费用均由中标人承担。报价时应考虑相关费用。</w:t>
      </w:r>
    </w:p>
    <w:p w14:paraId="3455A35A">
      <w:pPr>
        <w:keepNext w:val="0"/>
        <w:keepLines w:val="0"/>
        <w:pageBreakBefore w:val="0"/>
        <w:widowControl w:val="0"/>
        <w:numPr>
          <w:ilvl w:val="0"/>
          <w:numId w:val="7"/>
        </w:numPr>
        <w:kinsoku/>
        <w:wordWrap/>
        <w:overflowPunct/>
        <w:topLinePunct w:val="0"/>
        <w:autoSpaceDE/>
        <w:autoSpaceDN/>
        <w:bidi w:val="0"/>
        <w:adjustRightInd/>
        <w:snapToGrid/>
        <w:spacing w:line="336" w:lineRule="auto"/>
        <w:textAlignment w:val="auto"/>
        <w:rPr>
          <w:rFonts w:hint="eastAsia" w:ascii="仿宋" w:hAnsi="仿宋" w:eastAsia="仿宋" w:cs="仿宋"/>
          <w:sz w:val="24"/>
          <w:szCs w:val="24"/>
          <w:lang w:val="en-US" w:eastAsia="zh-CN"/>
        </w:rPr>
      </w:pPr>
      <w:r>
        <w:rPr>
          <w:rFonts w:hint="eastAsia"/>
        </w:rPr>
        <w:t>▲</w:t>
      </w:r>
      <w:r>
        <w:rPr>
          <w:rFonts w:hint="eastAsia" w:ascii="仿宋" w:hAnsi="仿宋" w:eastAsia="仿宋" w:cs="仿宋"/>
          <w:sz w:val="24"/>
          <w:szCs w:val="24"/>
          <w:lang w:val="en-US" w:eastAsia="zh-CN"/>
        </w:rPr>
        <w:t>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 采购人保留进一步追究责任的权利。</w:t>
      </w:r>
    </w:p>
    <w:p w14:paraId="29AD3330">
      <w:pPr>
        <w:keepNext w:val="0"/>
        <w:keepLines w:val="0"/>
        <w:pageBreakBefore w:val="0"/>
        <w:widowControl w:val="0"/>
        <w:numPr>
          <w:ilvl w:val="0"/>
          <w:numId w:val="7"/>
        </w:numPr>
        <w:kinsoku/>
        <w:wordWrap/>
        <w:overflowPunct/>
        <w:topLinePunct w:val="0"/>
        <w:autoSpaceDE/>
        <w:autoSpaceDN/>
        <w:bidi w:val="0"/>
        <w:adjustRightInd/>
        <w:snapToGrid/>
        <w:spacing w:line="336"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安装标准：符合我国国家有关技术规范和技术标准。</w:t>
      </w:r>
    </w:p>
    <w:p w14:paraId="1E227C37">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、合同工期及报价方式</w:t>
      </w:r>
    </w:p>
    <w:p w14:paraId="3DC5BCAD">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400"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1.签订合同后，45个工作日内完成车辆供货；</w:t>
      </w:r>
    </w:p>
    <w:p w14:paraId="5CF9ECEB">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400"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2.报价为总价包干报价形式。（中标价不包含购置税、保险） </w:t>
      </w:r>
    </w:p>
    <w:p w14:paraId="73FF61C5">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420" w:firstLineChars="175"/>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3.签订合同后，车辆验收合格，乙方开具全额发票，甲方收到发票后，按甲方财务流程以银行转账方式向乙方支付本次采购款。</w:t>
      </w:r>
    </w:p>
    <w:p w14:paraId="2B25C119">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lang w:eastAsia="zh-CN"/>
        </w:rPr>
      </w:pPr>
    </w:p>
    <w:p w14:paraId="356DCC71">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14:paraId="1C199AF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bookmarkStart w:id="0" w:name="_GoBack"/>
      <w:bookmarkEnd w:id="0"/>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D7737"/>
    <w:multiLevelType w:val="multilevel"/>
    <w:tmpl w:val="00BD77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A850428"/>
    <w:multiLevelType w:val="multilevel"/>
    <w:tmpl w:val="1A8504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3DB7950"/>
    <w:multiLevelType w:val="multilevel"/>
    <w:tmpl w:val="43DB7950"/>
    <w:lvl w:ilvl="0" w:tentative="0">
      <w:start w:val="1"/>
      <w:numFmt w:val="decimal"/>
      <w:lvlText w:val="%1、"/>
      <w:lvlJc w:val="left"/>
      <w:pPr>
        <w:ind w:left="360" w:hanging="360"/>
      </w:pPr>
      <w:rPr>
        <w:rFonts w:asciiTheme="minorEastAsia" w:hAnsiTheme="minorEastAsia"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A93AF5"/>
    <w:multiLevelType w:val="singleLevel"/>
    <w:tmpl w:val="4CA93AF5"/>
    <w:lvl w:ilvl="0" w:tentative="0">
      <w:start w:val="1"/>
      <w:numFmt w:val="decimal"/>
      <w:suff w:val="nothing"/>
      <w:lvlText w:val="%1．"/>
      <w:lvlJc w:val="left"/>
      <w:pPr>
        <w:ind w:left="0" w:firstLine="400"/>
      </w:pPr>
      <w:rPr>
        <w:rFonts w:hint="default"/>
      </w:rPr>
    </w:lvl>
  </w:abstractNum>
  <w:abstractNum w:abstractNumId="4">
    <w:nsid w:val="50B86354"/>
    <w:multiLevelType w:val="multilevel"/>
    <w:tmpl w:val="50B86354"/>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53CA44EC"/>
    <w:multiLevelType w:val="multilevel"/>
    <w:tmpl w:val="53CA44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3045D1"/>
    <w:multiLevelType w:val="multilevel"/>
    <w:tmpl w:val="643045D1"/>
    <w:lvl w:ilvl="0" w:tentative="0">
      <w:start w:val="1"/>
      <w:numFmt w:val="decimal"/>
      <w:lvlText w:val="（%1）"/>
      <w:lvlJc w:val="left"/>
      <w:pPr>
        <w:ind w:left="930" w:hanging="720"/>
      </w:pPr>
      <w:rPr>
        <w:rFonts w:hint="default"/>
        <w:lang w:val="en-US"/>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294195"/>
    <w:rsid w:val="004E3DD1"/>
    <w:rsid w:val="009300F8"/>
    <w:rsid w:val="00B4760B"/>
    <w:rsid w:val="010951A7"/>
    <w:rsid w:val="029006F1"/>
    <w:rsid w:val="030A15F1"/>
    <w:rsid w:val="03435C52"/>
    <w:rsid w:val="03F0437C"/>
    <w:rsid w:val="041744FB"/>
    <w:rsid w:val="042621F8"/>
    <w:rsid w:val="047E1FB9"/>
    <w:rsid w:val="04A84C48"/>
    <w:rsid w:val="05B0028B"/>
    <w:rsid w:val="05C74289"/>
    <w:rsid w:val="06D663A6"/>
    <w:rsid w:val="07664AA9"/>
    <w:rsid w:val="0A551E52"/>
    <w:rsid w:val="0AD409A0"/>
    <w:rsid w:val="0BD94FD3"/>
    <w:rsid w:val="0C29450A"/>
    <w:rsid w:val="0C431C71"/>
    <w:rsid w:val="0CF90920"/>
    <w:rsid w:val="0D052F8B"/>
    <w:rsid w:val="0DEC388F"/>
    <w:rsid w:val="0DFB3956"/>
    <w:rsid w:val="0E1F0604"/>
    <w:rsid w:val="0ED9696C"/>
    <w:rsid w:val="0FAB74CA"/>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BA849FE"/>
    <w:rsid w:val="1C52663A"/>
    <w:rsid w:val="1DC51825"/>
    <w:rsid w:val="1E1D2544"/>
    <w:rsid w:val="1E6F799D"/>
    <w:rsid w:val="1F241CD1"/>
    <w:rsid w:val="1F7B2D1C"/>
    <w:rsid w:val="1FBD62B1"/>
    <w:rsid w:val="20B16B03"/>
    <w:rsid w:val="219B01F8"/>
    <w:rsid w:val="21A07DC1"/>
    <w:rsid w:val="22843D61"/>
    <w:rsid w:val="22E362D2"/>
    <w:rsid w:val="244D32ED"/>
    <w:rsid w:val="24BB5C18"/>
    <w:rsid w:val="25333665"/>
    <w:rsid w:val="25902C01"/>
    <w:rsid w:val="26963B9B"/>
    <w:rsid w:val="26B77FA8"/>
    <w:rsid w:val="26D52249"/>
    <w:rsid w:val="28865645"/>
    <w:rsid w:val="29EB6A59"/>
    <w:rsid w:val="2A191EB5"/>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83C7DCF"/>
    <w:rsid w:val="39B90520"/>
    <w:rsid w:val="3A1D70AA"/>
    <w:rsid w:val="3A875A71"/>
    <w:rsid w:val="3B866CAE"/>
    <w:rsid w:val="3D387733"/>
    <w:rsid w:val="3E2C4BB7"/>
    <w:rsid w:val="3F2B5630"/>
    <w:rsid w:val="3F640D97"/>
    <w:rsid w:val="3F664045"/>
    <w:rsid w:val="40012417"/>
    <w:rsid w:val="40D46D12"/>
    <w:rsid w:val="4172433C"/>
    <w:rsid w:val="417D3E89"/>
    <w:rsid w:val="419A0FA7"/>
    <w:rsid w:val="41B74C86"/>
    <w:rsid w:val="421C47E7"/>
    <w:rsid w:val="4254042E"/>
    <w:rsid w:val="42872172"/>
    <w:rsid w:val="42B208A8"/>
    <w:rsid w:val="446B68C4"/>
    <w:rsid w:val="45960004"/>
    <w:rsid w:val="474B7CC8"/>
    <w:rsid w:val="47A37881"/>
    <w:rsid w:val="47F24951"/>
    <w:rsid w:val="481370C4"/>
    <w:rsid w:val="485C4F2C"/>
    <w:rsid w:val="4896298D"/>
    <w:rsid w:val="489B4B75"/>
    <w:rsid w:val="49634BF7"/>
    <w:rsid w:val="4B95142D"/>
    <w:rsid w:val="4D1B00DF"/>
    <w:rsid w:val="4FF57096"/>
    <w:rsid w:val="50E85F0B"/>
    <w:rsid w:val="52F3051F"/>
    <w:rsid w:val="53C91D89"/>
    <w:rsid w:val="546C53B3"/>
    <w:rsid w:val="55617B80"/>
    <w:rsid w:val="561D501A"/>
    <w:rsid w:val="56515FE9"/>
    <w:rsid w:val="568D4870"/>
    <w:rsid w:val="578A126C"/>
    <w:rsid w:val="5A447D2A"/>
    <w:rsid w:val="5A7A7DD3"/>
    <w:rsid w:val="5CB3223D"/>
    <w:rsid w:val="5CC55041"/>
    <w:rsid w:val="5CEF488A"/>
    <w:rsid w:val="5D3C00C7"/>
    <w:rsid w:val="5DF64A8D"/>
    <w:rsid w:val="5E40418F"/>
    <w:rsid w:val="5E7A75D8"/>
    <w:rsid w:val="5F1324D4"/>
    <w:rsid w:val="5F442227"/>
    <w:rsid w:val="5FD111D8"/>
    <w:rsid w:val="61526439"/>
    <w:rsid w:val="623A7395"/>
    <w:rsid w:val="627438C2"/>
    <w:rsid w:val="62B13734"/>
    <w:rsid w:val="63814B5D"/>
    <w:rsid w:val="64C96A6A"/>
    <w:rsid w:val="680C7FB1"/>
    <w:rsid w:val="6A9B7D71"/>
    <w:rsid w:val="6AE954B5"/>
    <w:rsid w:val="6BA044C1"/>
    <w:rsid w:val="6C775AF2"/>
    <w:rsid w:val="6DAB4ECF"/>
    <w:rsid w:val="6E5E469C"/>
    <w:rsid w:val="6F0453DE"/>
    <w:rsid w:val="6F250725"/>
    <w:rsid w:val="6F395FEB"/>
    <w:rsid w:val="6F444E08"/>
    <w:rsid w:val="71212378"/>
    <w:rsid w:val="717766ED"/>
    <w:rsid w:val="72625B8C"/>
    <w:rsid w:val="72F50D26"/>
    <w:rsid w:val="73BB4BC8"/>
    <w:rsid w:val="74607426"/>
    <w:rsid w:val="74C13C0D"/>
    <w:rsid w:val="76C91732"/>
    <w:rsid w:val="77DD02F3"/>
    <w:rsid w:val="79562EED"/>
    <w:rsid w:val="7AC124B5"/>
    <w:rsid w:val="7AF9322A"/>
    <w:rsid w:val="7B161079"/>
    <w:rsid w:val="7B6660C0"/>
    <w:rsid w:val="7CAF0D43"/>
    <w:rsid w:val="7CC12FE9"/>
    <w:rsid w:val="7D0A0C4E"/>
    <w:rsid w:val="7D773B51"/>
    <w:rsid w:val="7DBC3A33"/>
    <w:rsid w:val="7DFD69D9"/>
    <w:rsid w:val="7FBE1A7E"/>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rPr>
      <w:rFonts w:ascii="Calibri"/>
      <w:szCs w:val="22"/>
    </w:rPr>
  </w:style>
  <w:style w:type="paragraph" w:styleId="4">
    <w:name w:val="index 8"/>
    <w:basedOn w:val="1"/>
    <w:next w:val="1"/>
    <w:autoRedefine/>
    <w:qFormat/>
    <w:uiPriority w:val="0"/>
    <w:pPr>
      <w:jc w:val="left"/>
    </w:pPr>
    <w:rPr>
      <w:rFonts w:ascii="Times New Roman" w:hAnsi="Times New Roman"/>
    </w:rPr>
  </w:style>
  <w:style w:type="paragraph" w:styleId="5">
    <w:name w:val="annotation text"/>
    <w:basedOn w:val="1"/>
    <w:autoRedefine/>
    <w:unhideWhenUsed/>
    <w:qFormat/>
    <w:uiPriority w:val="0"/>
    <w:pPr>
      <w:jc w:val="left"/>
    </w:pPr>
  </w:style>
  <w:style w:type="paragraph" w:styleId="6">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7">
    <w:name w:val="Plain Text"/>
    <w:basedOn w:val="1"/>
    <w:qFormat/>
    <w:uiPriority w:val="0"/>
    <w:rPr>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pPr>
      <w:tabs>
        <w:tab w:val="left" w:pos="851"/>
        <w:tab w:val="right" w:leader="dot" w:pos="8931"/>
      </w:tabs>
      <w:spacing w:line="360" w:lineRule="auto"/>
      <w:jc w:val="distribute"/>
    </w:pPr>
    <w:rPr>
      <w:b/>
      <w:szCs w:val="24"/>
    </w:rPr>
  </w:style>
  <w:style w:type="paragraph" w:styleId="11">
    <w:name w:val="Title"/>
    <w:basedOn w:val="1"/>
    <w:next w:val="1"/>
    <w:qFormat/>
    <w:uiPriority w:val="10"/>
    <w:pPr>
      <w:spacing w:before="240" w:after="60"/>
      <w:jc w:val="center"/>
      <w:outlineLvl w:val="0"/>
    </w:pPr>
    <w:rPr>
      <w:rFonts w:ascii="Cambria" w:hAnsi="Cambria"/>
      <w:b/>
      <w:bCs/>
      <w:kern w:val="0"/>
      <w:sz w:val="32"/>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Char Char Char Char Char1 Char"/>
    <w:basedOn w:val="1"/>
    <w:qFormat/>
    <w:uiPriority w:val="0"/>
    <w:rPr>
      <w:sz w:val="24"/>
      <w:szCs w:val="24"/>
    </w:rPr>
  </w:style>
  <w:style w:type="character" w:customStyle="1" w:styleId="16">
    <w:name w:val="font21"/>
    <w:basedOn w:val="14"/>
    <w:autoRedefine/>
    <w:qFormat/>
    <w:uiPriority w:val="0"/>
    <w:rPr>
      <w:rFonts w:hint="eastAsia" w:ascii="宋体" w:hAnsi="宋体" w:eastAsia="宋体" w:cs="宋体"/>
      <w:color w:val="000000"/>
      <w:sz w:val="24"/>
      <w:szCs w:val="24"/>
      <w:u w:val="none"/>
    </w:rPr>
  </w:style>
  <w:style w:type="character" w:customStyle="1" w:styleId="17">
    <w:name w:val="font31"/>
    <w:basedOn w:val="14"/>
    <w:autoRedefine/>
    <w:qFormat/>
    <w:uiPriority w:val="0"/>
    <w:rPr>
      <w:rFonts w:hint="default" w:ascii="Times New Roman" w:hAnsi="Times New Roman" w:cs="Times New Roman"/>
      <w:color w:val="000000"/>
      <w:sz w:val="22"/>
      <w:szCs w:val="22"/>
      <w:u w:val="none"/>
    </w:rPr>
  </w:style>
  <w:style w:type="character" w:customStyle="1" w:styleId="18">
    <w:name w:val="font41"/>
    <w:basedOn w:val="14"/>
    <w:autoRedefine/>
    <w:qFormat/>
    <w:uiPriority w:val="0"/>
    <w:rPr>
      <w:rFonts w:hint="eastAsia" w:ascii="宋体" w:hAnsi="宋体" w:eastAsia="宋体" w:cs="宋体"/>
      <w:color w:val="000000"/>
      <w:sz w:val="22"/>
      <w:szCs w:val="22"/>
      <w:u w:val="none"/>
    </w:rPr>
  </w:style>
  <w:style w:type="paragraph" w:customStyle="1" w:styleId="19">
    <w:name w:val="正文2"/>
    <w:basedOn w:val="1"/>
    <w:autoRedefine/>
    <w:qFormat/>
    <w:uiPriority w:val="0"/>
    <w:pPr>
      <w:spacing w:before="156" w:line="360" w:lineRule="auto"/>
      <w:ind w:firstLine="510" w:firstLineChars="200"/>
    </w:pPr>
    <w:rPr>
      <w:sz w:val="24"/>
    </w:rPr>
  </w:style>
  <w:style w:type="character" w:customStyle="1" w:styleId="20">
    <w:name w:val="font11"/>
    <w:basedOn w:val="14"/>
    <w:autoRedefine/>
    <w:qFormat/>
    <w:uiPriority w:val="0"/>
    <w:rPr>
      <w:rFonts w:hint="eastAsia" w:ascii="宋体" w:hAnsi="宋体" w:eastAsia="宋体" w:cs="宋体"/>
      <w:color w:val="000000"/>
      <w:sz w:val="22"/>
      <w:szCs w:val="22"/>
      <w:u w:val="none"/>
    </w:rPr>
  </w:style>
  <w:style w:type="paragraph" w:styleId="21">
    <w:name w:val="List Paragraph"/>
    <w:basedOn w:val="1"/>
    <w:autoRedefine/>
    <w:qFormat/>
    <w:uiPriority w:val="34"/>
    <w:pPr>
      <w:ind w:firstLine="420" w:firstLineChars="200"/>
    </w:pPr>
    <w:rPr>
      <w:rFonts w:asciiTheme="minorHAnsi" w:hAnsiTheme="minorHAnsi"/>
    </w:rPr>
  </w:style>
  <w:style w:type="paragraph" w:customStyle="1" w:styleId="22">
    <w:name w:val="Table Text"/>
    <w:basedOn w:val="1"/>
    <w:semiHidden/>
    <w:qFormat/>
    <w:uiPriority w:val="0"/>
    <w:rPr>
      <w:rFonts w:ascii="宋体" w:hAnsi="宋体" w:eastAsia="宋体" w:cs="宋体"/>
      <w:sz w:val="20"/>
      <w:szCs w:val="20"/>
      <w:lang w:val="en-US" w:eastAsia="en-US"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4495</Words>
  <Characters>4735</Characters>
  <Lines>13</Lines>
  <Paragraphs>3</Paragraphs>
  <TotalTime>1</TotalTime>
  <ScaleCrop>false</ScaleCrop>
  <LinksUpToDate>false</LinksUpToDate>
  <CharactersWithSpaces>4871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2025-08-28T02:19:00Z</cp:lastPrinted>
  <dcterms:modified xsi:type="dcterms:W3CDTF">2025-09-05T07:12:05Z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7699F67A2F71447FB02D3B58AB75FC18_13</vt:lpwstr>
  </property>
  <property fmtid="{D5CDD505-2E9C-101B-9397-08002B2CF9AE}" pid="4" name="KSOTemplateDocerSaveRecord">
    <vt:lpwstr>eyJoZGlkIjoiNmFkNzM0MjEyYTJlMGViYTU0N2EyNjMzYjM3OTNmZjIiLCJ1c2VySWQiOiIzNTY0MzY5ODAifQ==</vt:lpwstr>
  </property>
</Properties>
</file>