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F0B5D">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医学检验科台式通风柜基建采购安装项目</w:t>
      </w:r>
      <w:r>
        <w:rPr>
          <w:rFonts w:hint="eastAsia" w:ascii="黑体" w:hAnsi="黑体" w:eastAsia="黑体" w:cs="黑体"/>
          <w:b/>
          <w:sz w:val="36"/>
          <w:szCs w:val="36"/>
          <w:lang w:eastAsia="zh-CN"/>
        </w:rPr>
        <w:t>需求</w:t>
      </w:r>
    </w:p>
    <w:p w14:paraId="22EB51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3284E8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 xml:space="preserve"> </w:t>
      </w:r>
      <w:r>
        <w:rPr>
          <w:rFonts w:hint="eastAsia" w:asciiTheme="minorEastAsia" w:hAnsiTheme="minorEastAsia" w:cstheme="minorEastAsia"/>
          <w:sz w:val="28"/>
          <w:szCs w:val="28"/>
          <w:vertAlign w:val="baseline"/>
          <w:lang w:val="en-US" w:eastAsia="zh-CN"/>
        </w:rPr>
        <w:t>医学检验科台式通风柜基建采购安装</w:t>
      </w:r>
      <w:r>
        <w:rPr>
          <w:rFonts w:hint="eastAsia" w:asciiTheme="minorEastAsia" w:hAnsiTheme="minorEastAsia" w:eastAsiaTheme="minorEastAsia" w:cstheme="minorEastAsia"/>
          <w:sz w:val="28"/>
          <w:szCs w:val="28"/>
          <w:vertAlign w:val="baseline"/>
          <w:lang w:val="en-US" w:eastAsia="zh-CN"/>
        </w:rPr>
        <w:t>项目</w:t>
      </w:r>
      <w:r>
        <w:rPr>
          <w:rFonts w:hint="eastAsia" w:asciiTheme="minorEastAsia" w:hAnsiTheme="minorEastAsia" w:eastAsiaTheme="minorEastAsia" w:cstheme="minorEastAsia"/>
          <w:sz w:val="28"/>
          <w:szCs w:val="28"/>
        </w:rPr>
        <w:t>。</w:t>
      </w:r>
    </w:p>
    <w:p w14:paraId="2E56DF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330E52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cstheme="minorEastAsia"/>
          <w:sz w:val="28"/>
          <w:szCs w:val="28"/>
          <w:vertAlign w:val="baseline"/>
          <w:lang w:val="en-US" w:eastAsia="zh-CN"/>
        </w:rPr>
        <w:t>医学检验科台式通风柜基建采购安装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vertAlign w:val="baseline"/>
          <w:lang w:val="en-US" w:eastAsia="zh-CN"/>
        </w:rPr>
        <w:t>总院</w:t>
      </w:r>
      <w:r>
        <w:rPr>
          <w:rFonts w:hint="eastAsia" w:asciiTheme="minorEastAsia" w:hAnsiTheme="minorEastAsia" w:cstheme="minorEastAsia"/>
          <w:sz w:val="28"/>
          <w:szCs w:val="28"/>
          <w:vertAlign w:val="baseline"/>
          <w:lang w:val="en-US" w:eastAsia="zh-CN"/>
        </w:rPr>
        <w:t>门诊楼2楼</w:t>
      </w:r>
      <w:r>
        <w:rPr>
          <w:rFonts w:hint="eastAsia" w:asciiTheme="minorEastAsia" w:hAnsiTheme="minorEastAsia" w:eastAsiaTheme="minorEastAsia" w:cstheme="minorEastAsia"/>
          <w:sz w:val="28"/>
          <w:szCs w:val="28"/>
          <w:vertAlign w:val="baseline"/>
          <w:lang w:val="en-US" w:eastAsia="zh-CN"/>
        </w:rPr>
        <w:t>，该项目包</w:t>
      </w:r>
      <w:r>
        <w:rPr>
          <w:rFonts w:hint="eastAsia" w:asciiTheme="minorEastAsia" w:hAnsiTheme="minorEastAsia" w:cstheme="minorEastAsia"/>
          <w:sz w:val="28"/>
          <w:szCs w:val="28"/>
          <w:vertAlign w:val="baseline"/>
          <w:lang w:val="en-US" w:eastAsia="zh-CN"/>
        </w:rPr>
        <w:t>含：采购安装2台台式通风柜和万向罩以及管线等</w:t>
      </w:r>
      <w:r>
        <w:rPr>
          <w:rFonts w:hint="eastAsia" w:asciiTheme="minorEastAsia" w:hAnsiTheme="minorEastAsia" w:eastAsiaTheme="minorEastAsia" w:cstheme="minorEastAsia"/>
          <w:sz w:val="28"/>
          <w:szCs w:val="28"/>
          <w:vertAlign w:val="baseline"/>
          <w:lang w:val="en-US" w:eastAsia="zh-CN"/>
        </w:rPr>
        <w:t>。</w:t>
      </w:r>
    </w:p>
    <w:p w14:paraId="036E2E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01E812F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14:paraId="6F45091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14:paraId="3040BFC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14:paraId="727FAE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14:paraId="200A49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14:paraId="5AAAA5E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2FDFEF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4C2C90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val="0"/>
          <w:bCs w:val="0"/>
          <w:sz w:val="28"/>
          <w:szCs w:val="28"/>
          <w:lang w:val="en-US" w:eastAsia="zh-CN"/>
        </w:rPr>
      </w:pPr>
      <w:r>
        <w:rPr>
          <w:rFonts w:hint="eastAsia" w:asciiTheme="minorEastAsia" w:hAnsiTheme="minorEastAsia" w:eastAsiaTheme="minorEastAsia" w:cstheme="minorEastAsia"/>
          <w:sz w:val="28"/>
          <w:szCs w:val="28"/>
          <w:lang w:val="en-US" w:eastAsia="zh-CN"/>
        </w:rPr>
        <w:t>项目为</w:t>
      </w:r>
      <w:r>
        <w:rPr>
          <w:rFonts w:hint="eastAsia" w:asciiTheme="minorEastAsia" w:hAnsiTheme="minorEastAsia" w:cstheme="minorEastAsia"/>
          <w:sz w:val="28"/>
          <w:szCs w:val="28"/>
          <w:vertAlign w:val="baseline"/>
          <w:lang w:val="en-US" w:eastAsia="zh-CN"/>
        </w:rPr>
        <w:t>医学检验科台式通风柜基建采购安装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vertAlign w:val="baseline"/>
          <w:lang w:val="en-US" w:eastAsia="zh-CN"/>
        </w:rPr>
        <w:t>总院</w:t>
      </w:r>
      <w:r>
        <w:rPr>
          <w:rFonts w:hint="eastAsia" w:asciiTheme="minorEastAsia" w:hAnsiTheme="minorEastAsia" w:cstheme="minorEastAsia"/>
          <w:sz w:val="28"/>
          <w:szCs w:val="28"/>
          <w:vertAlign w:val="baseline"/>
          <w:lang w:val="en-US" w:eastAsia="zh-CN"/>
        </w:rPr>
        <w:t>门诊楼2楼</w:t>
      </w:r>
      <w:r>
        <w:rPr>
          <w:rFonts w:hint="eastAsia" w:asciiTheme="minorEastAsia" w:hAnsiTheme="minorEastAsia" w:eastAsiaTheme="minorEastAsia" w:cstheme="minorEastAsia"/>
          <w:sz w:val="28"/>
          <w:szCs w:val="28"/>
          <w:vertAlign w:val="baseline"/>
          <w:lang w:val="en-US" w:eastAsia="zh-CN"/>
        </w:rPr>
        <w:t>，该项目包</w:t>
      </w:r>
      <w:r>
        <w:rPr>
          <w:rFonts w:hint="eastAsia" w:asciiTheme="minorEastAsia" w:hAnsiTheme="minorEastAsia" w:cstheme="minorEastAsia"/>
          <w:sz w:val="28"/>
          <w:szCs w:val="28"/>
          <w:vertAlign w:val="baseline"/>
          <w:lang w:val="en-US" w:eastAsia="zh-CN"/>
        </w:rPr>
        <w:t>含：采购安装2台台式通风柜和万向罩以及管线等，具体工程量清单如下</w:t>
      </w:r>
      <w:r>
        <w:rPr>
          <w:rFonts w:hint="eastAsia" w:hAnsi="宋体" w:eastAsia="宋体" w:cs="宋体"/>
          <w:b w:val="0"/>
          <w:bCs w:val="0"/>
          <w:sz w:val="28"/>
          <w:szCs w:val="28"/>
          <w:lang w:val="en-US" w:eastAsia="zh-CN"/>
        </w:rPr>
        <w:t>：</w:t>
      </w:r>
    </w:p>
    <w:p w14:paraId="3CF10276">
      <w:pPr>
        <w:pStyle w:val="2"/>
        <w:rPr>
          <w:rFonts w:hint="eastAsia" w:ascii="宋体" w:hAnsi="宋体" w:eastAsia="宋体" w:cs="宋体"/>
          <w:b w:val="0"/>
          <w:bCs w:val="0"/>
          <w:sz w:val="28"/>
          <w:szCs w:val="28"/>
          <w:lang w:val="en-US" w:eastAsia="zh-CN"/>
        </w:rPr>
      </w:pPr>
    </w:p>
    <w:p w14:paraId="79CFE518">
      <w:pPr>
        <w:pStyle w:val="2"/>
        <w:rPr>
          <w:rFonts w:hint="default"/>
          <w:lang w:val="en-US" w:eastAsia="zh-CN"/>
        </w:rPr>
      </w:pPr>
      <w:r>
        <w:rPr>
          <w:rFonts w:hint="eastAsia" w:ascii="宋体" w:hAnsi="宋体" w:eastAsia="宋体" w:cs="宋体"/>
          <w:b w:val="0"/>
          <w:bCs w:val="0"/>
          <w:sz w:val="28"/>
          <w:szCs w:val="28"/>
          <w:lang w:val="en-US" w:eastAsia="zh-CN"/>
        </w:rPr>
        <w:t>工程量清单</w:t>
      </w:r>
    </w:p>
    <w:tbl>
      <w:tblPr>
        <w:tblStyle w:val="6"/>
        <w:tblW w:w="9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799"/>
        <w:gridCol w:w="5025"/>
        <w:gridCol w:w="854"/>
        <w:gridCol w:w="916"/>
      </w:tblGrid>
      <w:tr w14:paraId="698E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3D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80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48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49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E18B">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数量</w:t>
            </w:r>
          </w:p>
        </w:tc>
      </w:tr>
      <w:tr w14:paraId="72C4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479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F793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台式通风柜</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DD16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1、规格尺寸：1500*750*1500</w:t>
            </w:r>
            <w:r>
              <w:rPr>
                <w:rFonts w:hint="eastAsia" w:hAnsi="宋体" w:eastAsia="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 xml:space="preserve">                                       2、主体：框架采用1.2mm优质冷轧钢板，柜体及柜门、隔板采用0.8mm优质冷轧钢板，钢板表面磷化、酸洗、环氧树脂喷塑处理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3、内衬板及导流板：5mm厚实验室专用抗倍特板，导流板三段可拆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4、视窗：5mm厚钢化玻璃，可在任意高度停留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5、照明：30W日光灯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6、电源：三孔插座，标配4个/台，2.5平方电线</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D8B7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FF5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1EB6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90C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573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万向罩</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D5BD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1、PP材质耐酸碱、防腐蚀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高密度PP材质，                                      2、可360度旋转调节方向，易拆卸、组装及清洗。                                                               3、含吊架</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4FB6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2BFD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293A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CE5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71E2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铝玻试剂架</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CBD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1、尺寸：1200*180mm   2、铝玻结构、10mm白玻璃。</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6973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24F0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14:paraId="240E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5BA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2106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原铝玻试剂架</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607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1、尺寸：1200*360mm  2、铝玻结构、10mm白玻璃。</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3EBC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1C68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14:paraId="649A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A6B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91DE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静音排风机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77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1、风量1500m³/h；静压300Pa</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446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94BB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5D9B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8F6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6C77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静音排风机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DB4E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1、风量1000m³/h；静压300Pa</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952E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24DC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6240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337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366B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排风百叶</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E62B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1000*500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4694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989A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769B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AC1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88B9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F8C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PVC-Ø250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18E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4019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55.00</w:t>
            </w:r>
          </w:p>
        </w:tc>
      </w:tr>
      <w:tr w14:paraId="2A6D8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985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FE37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C77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PVC-Ø160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241F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C1BA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r>
      <w:tr w14:paraId="4703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EE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4B4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6592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PVC-Ø110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ED12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FAD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14:paraId="59E7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E0A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9B49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90°PVC排风管弯头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6F40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PVC-Ø250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3E15C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F918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r>
      <w:tr w14:paraId="4CE3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01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5282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90°PVC排风管弯头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229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PVC-Ø160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861C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001D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5702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6B7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356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90°PVC排风管弯头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45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PVC-Ø110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764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566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1C69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97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1E76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45°PVC排风管弯头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C8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PVC-Ø250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482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001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14:paraId="09B4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FFB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895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45°PVC排风管弯头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EB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PVC-Ø160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98D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B1F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1391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25B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CD68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PVC排风管调节阀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0E3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PVC-Ø250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64C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8753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0F02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946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5F98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PVC排风管调节阀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994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PVC-Ø160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0EC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25A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0F55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CB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2032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PVC排风管调节阀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A9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PVC-Ø110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1C009">
            <w:pPr>
              <w:jc w:val="center"/>
              <w:rPr>
                <w:rFonts w:hint="eastAsia" w:ascii="宋体" w:hAnsi="宋体" w:eastAsia="宋体" w:cs="宋体"/>
                <w:i w:val="0"/>
                <w:color w:val="000000"/>
                <w:kern w:val="0"/>
                <w:sz w:val="22"/>
                <w:szCs w:val="22"/>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538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74A6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E1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AE9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PVC排风管止回阀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F4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PVC-Ø250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FD1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4295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5F7B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CE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F4C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PVC排风管止回阀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29E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PVC-Ø160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7A13E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6FF0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30B7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219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3281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PVC排风管止回阀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948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PVC-Ø110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C1232">
            <w:pPr>
              <w:jc w:val="center"/>
              <w:rPr>
                <w:rFonts w:hint="eastAsia" w:ascii="宋体" w:hAnsi="宋体" w:eastAsia="宋体" w:cs="宋体"/>
                <w:i w:val="0"/>
                <w:color w:val="000000"/>
                <w:kern w:val="0"/>
                <w:sz w:val="22"/>
                <w:szCs w:val="22"/>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4D1D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16A9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17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AA0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软接头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2E6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金属-Ø250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ACB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2B9A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14:paraId="346E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E5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05B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软接头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644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金属-Ø160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1D2F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A5F1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3353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111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4C8A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软接头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83F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金属-Ø110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209D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D3F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5BBD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53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824F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集风箱</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11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1000*500*500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4488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AE92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5A91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FA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E78A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1E52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WDZ-RYY-3*2.5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E03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87E5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6FFA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28F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6E7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线管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48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线管-Ø20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0E17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F8C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14:paraId="2145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5FC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A8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开关</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10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单联双控</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A1D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1274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3CDA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89A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963C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PP水槽</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BC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1、300*200*200                   2、采用实验室专用PP 5mm厚高密度环保型黑色PP材料一体成型耐酸碱、防腐蚀</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25A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5808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1039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15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A2FC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全铜单联水龙头</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8B7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全铜结构、360°旋转，采用纯铜制作，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经耐酸碱粉末涂料热固处理，防酸碱、耐腐蚀</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6DDA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1752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560C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60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2825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PPR水管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22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DN20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638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7E1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14:paraId="017A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B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34A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角阀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A6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6A2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85A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59F6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A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63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PVC排水管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349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F4F6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D81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r>
      <w:tr w14:paraId="7727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7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93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理化板开孔</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DB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300*200*200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6694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472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r>
      <w:tr w14:paraId="3880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D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0DA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辅材及吊顶开孔恢复</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564A2">
            <w:pPr>
              <w:jc w:val="center"/>
              <w:rPr>
                <w:rFonts w:hint="eastAsia" w:ascii="宋体" w:hAnsi="宋体" w:eastAsia="宋体" w:cs="宋体"/>
                <w:i w:val="0"/>
                <w:iCs w:val="0"/>
                <w:color w:val="000000"/>
                <w:kern w:val="0"/>
                <w:sz w:val="20"/>
                <w:szCs w:val="20"/>
                <w:u w:val="none"/>
                <w:lang w:val="en-US" w:eastAsia="zh-CN"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82F7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1545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bl>
    <w:p w14:paraId="628FC8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12F3EB5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1.应标方负责项目所有材料和辅材的采购、运输及安装；</w:t>
      </w:r>
    </w:p>
    <w:p w14:paraId="5D0EA23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2.要求所有材料质量保证期至少1年； </w:t>
      </w:r>
    </w:p>
    <w:p w14:paraId="1A61261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14:paraId="1CFAC74B">
      <w:pPr>
        <w:keepNext w:val="0"/>
        <w:keepLines w:val="0"/>
        <w:pageBreakBefore w:val="0"/>
        <w:widowControl w:val="0"/>
        <w:kinsoku/>
        <w:wordWrap/>
        <w:overflowPunct/>
        <w:topLinePunct w:val="0"/>
        <w:autoSpaceDE/>
        <w:autoSpaceDN/>
        <w:bidi w:val="0"/>
        <w:adjustRightInd/>
        <w:snapToGrid/>
        <w:spacing w:line="20" w:lineRule="atLeas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14:paraId="633B4EAD">
      <w:pPr>
        <w:pStyle w:val="3"/>
        <w:keepNext w:val="0"/>
        <w:keepLines w:val="0"/>
        <w:pageBreakBefore w:val="0"/>
        <w:widowControl w:val="0"/>
        <w:kinsoku/>
        <w:wordWrap/>
        <w:overflowPunct/>
        <w:topLinePunct w:val="0"/>
        <w:autoSpaceDE/>
        <w:autoSpaceDN/>
        <w:bidi w:val="0"/>
        <w:adjustRightInd/>
        <w:snapToGrid/>
        <w:spacing w:line="20" w:lineRule="atLeas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14:paraId="2E1536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14:paraId="0306516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1.签订合同后，10天内完成货物采购及安装；</w:t>
      </w:r>
    </w:p>
    <w:p w14:paraId="26A5B5D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14:paraId="5CCA5788">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93A4EED"/>
    <w:rsid w:val="0D052F8B"/>
    <w:rsid w:val="0D2E2451"/>
    <w:rsid w:val="0DB17419"/>
    <w:rsid w:val="0DB7333A"/>
    <w:rsid w:val="0DEC388F"/>
    <w:rsid w:val="0E1F0604"/>
    <w:rsid w:val="0EE94CA5"/>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D492FF0"/>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025C86"/>
    <w:rsid w:val="4CB6510B"/>
    <w:rsid w:val="4D1B00DF"/>
    <w:rsid w:val="4FF57096"/>
    <w:rsid w:val="50E85F0B"/>
    <w:rsid w:val="52F3051F"/>
    <w:rsid w:val="53605111"/>
    <w:rsid w:val="53C91D89"/>
    <w:rsid w:val="54E754EA"/>
    <w:rsid w:val="55617B80"/>
    <w:rsid w:val="561D501A"/>
    <w:rsid w:val="56515FE9"/>
    <w:rsid w:val="56E60238"/>
    <w:rsid w:val="57CE683B"/>
    <w:rsid w:val="5A447D2A"/>
    <w:rsid w:val="5ACD240B"/>
    <w:rsid w:val="5CB3223D"/>
    <w:rsid w:val="5E40418F"/>
    <w:rsid w:val="5F442227"/>
    <w:rsid w:val="5F491309"/>
    <w:rsid w:val="623A7395"/>
    <w:rsid w:val="627438C2"/>
    <w:rsid w:val="628574E6"/>
    <w:rsid w:val="63814B5D"/>
    <w:rsid w:val="680C7FB1"/>
    <w:rsid w:val="6A6A12A2"/>
    <w:rsid w:val="6A9B7D71"/>
    <w:rsid w:val="6AE954B5"/>
    <w:rsid w:val="6BA044C1"/>
    <w:rsid w:val="6C775AF2"/>
    <w:rsid w:val="6D8B2FAD"/>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1260</Words>
  <Characters>1701</Characters>
  <Lines>0</Lines>
  <Paragraphs>0</Paragraphs>
  <TotalTime>2</TotalTime>
  <ScaleCrop>false</ScaleCrop>
  <LinksUpToDate>false</LinksUpToDate>
  <CharactersWithSpaces>1981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2025-09-02T02:44:00Z</cp:lastPrinted>
  <dcterms:modified xsi:type="dcterms:W3CDTF">2025-09-02T09:28:56Z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676BB8C8E330493DB527A03640A94E19</vt:lpwstr>
  </property>
  <property fmtid="{D5CDD505-2E9C-101B-9397-08002B2CF9AE}" pid="4" name="KSOTemplateDocerSaveRecord">
    <vt:lpwstr>eyJoZGlkIjoiNmFkNzM0MjEyYTJlMGViYTU0N2EyNjMzYjM3OTNmZjIiLCJ1c2VySWQiOiIzNTY0MzY5ODAifQ==</vt:lpwstr>
  </property>
</Properties>
</file>