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099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pPr>
      <w:r>
        <w:rPr>
          <w:rFonts w:hint="eastAsia" w:cs="宋体"/>
          <w:sz w:val="32"/>
          <w:szCs w:val="32"/>
          <w:lang w:val="en-US" w:eastAsia="zh-CN"/>
        </w:rPr>
        <w:t>柳州市工人医院建设项目职业病危害放射防护预、控评价服务采购项目需求</w:t>
      </w:r>
    </w:p>
    <w:p w14:paraId="0EE88C26">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项目名称 </w:t>
      </w:r>
    </w:p>
    <w:p w14:paraId="5BFAB8D7">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480"/>
        <w:jc w:val="both"/>
        <w:textAlignment w:val="auto"/>
        <w:rPr>
          <w:rFonts w:hint="eastAsia" w:ascii="仿宋" w:hAnsi="仿宋" w:eastAsia="仿宋" w:cs="仿宋"/>
          <w:b w:val="0"/>
          <w:i w:val="0"/>
          <w:kern w:val="0"/>
          <w:sz w:val="28"/>
          <w:szCs w:val="28"/>
          <w:lang w:val="en-US" w:eastAsia="zh-CN" w:bidi="ar"/>
        </w:rPr>
      </w:pPr>
      <w:r>
        <w:rPr>
          <w:rFonts w:hint="eastAsia" w:ascii="仿宋" w:hAnsi="仿宋" w:eastAsia="仿宋" w:cs="仿宋"/>
          <w:b w:val="0"/>
          <w:i w:val="0"/>
          <w:kern w:val="0"/>
          <w:sz w:val="28"/>
          <w:szCs w:val="28"/>
          <w:lang w:val="en-US" w:eastAsia="zh-CN" w:bidi="ar"/>
        </w:rPr>
        <w:t>柳州市工人医院建设项目职业病危害放射防护预、控评价服务采购项目</w:t>
      </w:r>
    </w:p>
    <w:p w14:paraId="5478796E">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项目概况</w:t>
      </w:r>
    </w:p>
    <w:p w14:paraId="79364668">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依据《放射诊疗管理规定》要求：1.医院新建、扩建、改建放射诊疗建设项目，医疗机构应当在建设项目施工前向相应的卫生行政部门提交职业病危害放射防护预评价报告，申请进行建设项目卫生审查；2.医疗机构在放射诊疗建设项目竣工验收前，应当进行职业病危害控制效果评价。根据公共卫生科提出申请，依据《放射诊疗管理规定》要求：1.医院新建、扩建、改建放射诊疗建设项目，医疗机构应当在建设项目施工前向相应的卫生行政部门提交职业病危害放射防护预评价报告，申请进行建设项目卫生审查；2.医疗机构在放射诊疗建设项目竣工验收前，应当进行职业病危害控制效果评价。</w:t>
      </w:r>
    </w:p>
    <w:p w14:paraId="6B2B1DE9">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因此，我院有新建、扩建、改建放射诊疗建设项目的，必须进行“建设项目职业病危害放射防护评价”，包括：建设项目职业病危害预评价、建设项目职业病危害控制效果评价（以下简称预评、控评），现需采购一家具备检测资质的放射卫生技术服务机构对我院相关建设项目进行职业病危害放射防护评价并编制职业病危害预评、控评报告书。</w:t>
      </w:r>
    </w:p>
    <w:p w14:paraId="067619EA">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服务商资质条件</w:t>
      </w:r>
    </w:p>
    <w:p w14:paraId="65CB41D4">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rPr>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含放射卫生技术服务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，（提供企业法人营业执照、组织机构代码证、税务登记证或三证合一的复印件）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或事业单位法人证书。</w:t>
      </w:r>
    </w:p>
    <w:p w14:paraId="659B1C57">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具备《放射卫生技术服务机构资质证书》（甲级或乙级，覆盖医用辐射防护领域）。</w:t>
      </w:r>
    </w:p>
    <w:p w14:paraId="70D246BB">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CMA认证（检测项目需在认证范围内）。</w:t>
      </w:r>
    </w:p>
    <w:bookmarkEnd w:id="0"/>
    <w:p w14:paraId="7CF76DEE">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14:paraId="4C8E226A">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项目服务内容</w:t>
      </w:r>
    </w:p>
    <w:p w14:paraId="62F15A1E">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评价目的</w:t>
      </w:r>
    </w:p>
    <w:p w14:paraId="24111BEB">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预评价：从源头控制放射职业病危害，确保防护设施“三同时”（同时设计、同时施工、同时投产）。</w:t>
      </w:r>
    </w:p>
    <w:p w14:paraId="5A13674F">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控制效果评价：验证防护设施的有效性，保障医务人员、患者及公众的放射安全。</w:t>
      </w:r>
    </w:p>
    <w:p w14:paraId="2D03043B">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Style w:val="10"/>
          <w:rFonts w:hint="eastAsia" w:ascii="仿宋" w:hAnsi="仿宋" w:eastAsia="仿宋" w:cs="仿宋"/>
          <w:b/>
          <w:bCs/>
          <w:i w:val="0"/>
          <w:iCs w:val="0"/>
          <w:caps w:val="0"/>
          <w:color w:val="404040"/>
          <w:spacing w:val="0"/>
          <w:sz w:val="28"/>
          <w:szCs w:val="28"/>
          <w:shd w:val="clear" w:fill="FFFFFF"/>
        </w:rPr>
      </w:pPr>
      <w:r>
        <w:rPr>
          <w:rStyle w:val="10"/>
          <w:rFonts w:hint="eastAsia" w:ascii="仿宋" w:hAnsi="仿宋" w:eastAsia="仿宋" w:cs="仿宋"/>
          <w:b/>
          <w:bCs/>
          <w:i w:val="0"/>
          <w:iCs w:val="0"/>
          <w:caps w:val="0"/>
          <w:color w:val="404040"/>
          <w:spacing w:val="0"/>
          <w:sz w:val="28"/>
          <w:szCs w:val="28"/>
          <w:shd w:val="clear" w:fill="FFFFFF"/>
        </w:rPr>
        <w:t>职业病危害放射防护预评价</w:t>
      </w:r>
    </w:p>
    <w:p w14:paraId="5EA64000">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bCs/>
          <w:color w:val="auto"/>
          <w:sz w:val="28"/>
          <w:szCs w:val="28"/>
          <w:lang w:val="en-US" w:eastAsia="zh-CN"/>
        </w:rPr>
      </w:pPr>
      <w:r>
        <w:rPr>
          <w:rStyle w:val="10"/>
          <w:rFonts w:hint="eastAsia" w:ascii="仿宋" w:hAnsi="仿宋" w:eastAsia="仿宋" w:cs="仿宋"/>
          <w:b/>
          <w:bCs/>
          <w:i w:val="0"/>
          <w:iCs w:val="0"/>
          <w:caps w:val="0"/>
          <w:color w:val="404040"/>
          <w:spacing w:val="0"/>
          <w:sz w:val="28"/>
          <w:szCs w:val="28"/>
          <w:shd w:val="clear" w:fill="FFFFFF"/>
        </w:rPr>
        <w:t>评价范围</w:t>
      </w:r>
      <w:r>
        <w:rPr>
          <w:rStyle w:val="10"/>
          <w:rFonts w:hint="eastAsia" w:ascii="仿宋" w:hAnsi="仿宋" w:eastAsia="仿宋" w:cs="仿宋"/>
          <w:b/>
          <w:bCs/>
          <w:i w:val="0"/>
          <w:iCs w:val="0"/>
          <w:caps w:val="0"/>
          <w:color w:val="404040"/>
          <w:spacing w:val="0"/>
          <w:sz w:val="28"/>
          <w:szCs w:val="28"/>
          <w:shd w:val="clear" w:fill="FFFFFF"/>
          <w:lang w:eastAsia="zh-CN"/>
        </w:rPr>
        <w:t>：</w:t>
      </w:r>
      <w:r>
        <w:rPr>
          <w:rFonts w:hint="eastAsia" w:ascii="仿宋" w:hAnsi="仿宋" w:eastAsia="仿宋" w:cs="仿宋"/>
          <w:bCs/>
          <w:color w:val="auto"/>
          <w:sz w:val="28"/>
          <w:szCs w:val="28"/>
          <w:lang w:val="en-US" w:eastAsia="zh-CN"/>
        </w:rPr>
        <w:t>医院规划建设的放射诊疗场所（详见附件）及配套防护设施。</w:t>
      </w:r>
    </w:p>
    <w:p w14:paraId="2A782EA0">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工作内容</w:t>
      </w:r>
    </w:p>
    <w:p w14:paraId="6960FBB1">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分析放射源项（设备类型、射线能量、使用频率等）。</w:t>
      </w:r>
    </w:p>
    <w:p w14:paraId="27EB5A3C">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预测辐射剂量分布（周围人员可能受照剂量）。</w:t>
      </w:r>
    </w:p>
    <w:p w14:paraId="3FCA0231">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评估防护设计（屏蔽厚度、分区布局、警示系统等）是否符合国家标准（GBZ 130-2020、GB 18871-2002等）。</w:t>
      </w:r>
    </w:p>
    <w:p w14:paraId="03152EEE">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提出改进建议（如屏蔽材料优化、工作流程调整）。</w:t>
      </w:r>
    </w:p>
    <w:p w14:paraId="1CDACE25">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bCs/>
          <w:color w:val="auto"/>
          <w:sz w:val="28"/>
          <w:szCs w:val="28"/>
          <w:lang w:val="en-US" w:eastAsia="zh-CN"/>
        </w:rPr>
      </w:pPr>
      <w:r>
        <w:rPr>
          <w:rStyle w:val="10"/>
          <w:rFonts w:hint="eastAsia" w:ascii="仿宋" w:hAnsi="仿宋" w:eastAsia="仿宋" w:cs="仿宋"/>
          <w:b/>
          <w:bCs/>
          <w:i w:val="0"/>
          <w:iCs w:val="0"/>
          <w:caps w:val="0"/>
          <w:color w:val="404040"/>
          <w:spacing w:val="0"/>
          <w:sz w:val="28"/>
          <w:szCs w:val="28"/>
          <w:shd w:val="clear" w:fill="FFFFFF"/>
        </w:rPr>
        <w:t>交付成果</w:t>
      </w:r>
      <w:r>
        <w:rPr>
          <w:rStyle w:val="10"/>
          <w:rFonts w:hint="eastAsia" w:ascii="仿宋" w:hAnsi="仿宋" w:eastAsia="仿宋" w:cs="仿宋"/>
          <w:b/>
          <w:bCs/>
          <w:i w:val="0"/>
          <w:iCs w:val="0"/>
          <w:caps w:val="0"/>
          <w:color w:val="404040"/>
          <w:spacing w:val="0"/>
          <w:sz w:val="28"/>
          <w:szCs w:val="28"/>
          <w:shd w:val="clear" w:fill="FFFFFF"/>
          <w:lang w:eastAsia="zh-CN"/>
        </w:rPr>
        <w:t>：</w:t>
      </w:r>
      <w:r>
        <w:rPr>
          <w:rFonts w:hint="eastAsia" w:ascii="仿宋" w:hAnsi="仿宋" w:eastAsia="仿宋" w:cs="仿宋"/>
          <w:bCs/>
          <w:color w:val="auto"/>
          <w:sz w:val="28"/>
          <w:szCs w:val="28"/>
          <w:lang w:val="en-US" w:eastAsia="zh-CN"/>
        </w:rPr>
        <w:t>《职业病危害放射防护预评价报告书》（需通过卫生行政部门评审）。</w:t>
      </w:r>
    </w:p>
    <w:p w14:paraId="7AC56813">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Style w:val="10"/>
          <w:rFonts w:hint="eastAsia" w:ascii="仿宋" w:hAnsi="仿宋" w:eastAsia="仿宋" w:cs="仿宋"/>
          <w:b/>
          <w:bCs/>
          <w:i w:val="0"/>
          <w:iCs w:val="0"/>
          <w:caps w:val="0"/>
          <w:color w:val="404040"/>
          <w:spacing w:val="0"/>
          <w:sz w:val="28"/>
          <w:szCs w:val="28"/>
          <w:shd w:val="clear" w:fill="FFFFFF"/>
        </w:rPr>
      </w:pPr>
      <w:r>
        <w:rPr>
          <w:rStyle w:val="10"/>
          <w:rFonts w:hint="eastAsia" w:ascii="仿宋" w:hAnsi="仿宋" w:eastAsia="仿宋" w:cs="仿宋"/>
          <w:b/>
          <w:bCs/>
          <w:i w:val="0"/>
          <w:iCs w:val="0"/>
          <w:caps w:val="0"/>
          <w:color w:val="404040"/>
          <w:spacing w:val="0"/>
          <w:sz w:val="28"/>
          <w:szCs w:val="28"/>
          <w:shd w:val="clear" w:fill="FFFFFF"/>
        </w:rPr>
        <w:t>职业病危害放射防护控制效果评价</w:t>
      </w:r>
    </w:p>
    <w:p w14:paraId="5C02FFC2">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bCs/>
          <w:color w:val="auto"/>
          <w:sz w:val="28"/>
          <w:szCs w:val="28"/>
          <w:lang w:val="en-US" w:eastAsia="zh-CN"/>
        </w:rPr>
      </w:pPr>
      <w:r>
        <w:rPr>
          <w:rStyle w:val="10"/>
          <w:rFonts w:hint="eastAsia" w:ascii="仿宋" w:hAnsi="仿宋" w:eastAsia="仿宋" w:cs="仿宋"/>
          <w:b/>
          <w:bCs/>
          <w:i w:val="0"/>
          <w:iCs w:val="0"/>
          <w:caps w:val="0"/>
          <w:color w:val="404040"/>
          <w:spacing w:val="0"/>
          <w:sz w:val="28"/>
          <w:szCs w:val="28"/>
          <w:shd w:val="clear" w:fill="FFFFFF"/>
        </w:rPr>
        <w:t>评价范围</w:t>
      </w:r>
      <w:r>
        <w:rPr>
          <w:rStyle w:val="10"/>
          <w:rFonts w:hint="eastAsia" w:ascii="仿宋" w:hAnsi="仿宋" w:eastAsia="仿宋" w:cs="仿宋"/>
          <w:b/>
          <w:bCs/>
          <w:i w:val="0"/>
          <w:iCs w:val="0"/>
          <w:caps w:val="0"/>
          <w:color w:val="404040"/>
          <w:spacing w:val="0"/>
          <w:sz w:val="28"/>
          <w:szCs w:val="28"/>
          <w:shd w:val="clear" w:fill="FFFFFF"/>
          <w:lang w:eastAsia="zh-CN"/>
        </w:rPr>
        <w:t>：</w:t>
      </w:r>
      <w:r>
        <w:rPr>
          <w:rFonts w:hint="eastAsia" w:ascii="仿宋" w:hAnsi="仿宋" w:eastAsia="仿宋" w:cs="仿宋"/>
          <w:bCs/>
          <w:color w:val="auto"/>
          <w:sz w:val="28"/>
          <w:szCs w:val="28"/>
          <w:lang w:val="en-US" w:eastAsia="zh-CN"/>
        </w:rPr>
        <w:t>已建成的放射诊疗场所及防护设施的实际运行情况。</w:t>
      </w:r>
    </w:p>
    <w:p w14:paraId="1F038DEE">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sz w:val="28"/>
          <w:szCs w:val="28"/>
          <w:lang w:eastAsia="zh-CN"/>
        </w:rPr>
      </w:pPr>
      <w:r>
        <w:rPr>
          <w:rStyle w:val="10"/>
          <w:rFonts w:hint="eastAsia" w:ascii="仿宋" w:hAnsi="仿宋" w:eastAsia="仿宋" w:cs="仿宋"/>
          <w:b/>
          <w:bCs/>
          <w:i w:val="0"/>
          <w:iCs w:val="0"/>
          <w:caps w:val="0"/>
          <w:color w:val="404040"/>
          <w:spacing w:val="0"/>
          <w:sz w:val="28"/>
          <w:szCs w:val="28"/>
          <w:shd w:val="clear" w:fill="FFFFFF"/>
        </w:rPr>
        <w:t>工作内容</w:t>
      </w:r>
      <w:r>
        <w:rPr>
          <w:rStyle w:val="10"/>
          <w:rFonts w:hint="eastAsia" w:ascii="仿宋" w:hAnsi="仿宋" w:eastAsia="仿宋" w:cs="仿宋"/>
          <w:b/>
          <w:bCs/>
          <w:i w:val="0"/>
          <w:iCs w:val="0"/>
          <w:caps w:val="0"/>
          <w:color w:val="404040"/>
          <w:spacing w:val="0"/>
          <w:sz w:val="28"/>
          <w:szCs w:val="28"/>
          <w:shd w:val="clear" w:fill="FFFFFF"/>
          <w:lang w:eastAsia="zh-CN"/>
        </w:rPr>
        <w:t>：</w:t>
      </w:r>
    </w:p>
    <w:p w14:paraId="3C65B2E9">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现场检测辐射水平（周围环境、操作位、公众区域的剂量率）。</w:t>
      </w:r>
    </w:p>
    <w:p w14:paraId="668D9F28">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核查防护设施与设计的符合性（如铅门、铅玻璃、通风系统）。</w:t>
      </w:r>
    </w:p>
    <w:p w14:paraId="4CF24F2F">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评估放射工作人员职业健康管理（个人剂量监测、培训档案等）。</w:t>
      </w:r>
    </w:p>
    <w:p w14:paraId="7D8F5A3E">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提出整改建议（如防护用品补充、应急预案完善）。</w:t>
      </w:r>
    </w:p>
    <w:p w14:paraId="257C4A64">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Fonts w:hint="eastAsia" w:ascii="仿宋" w:hAnsi="仿宋" w:eastAsia="仿宋" w:cs="仿宋"/>
          <w:bCs/>
          <w:color w:val="auto"/>
          <w:sz w:val="28"/>
          <w:szCs w:val="28"/>
          <w:lang w:val="en-US" w:eastAsia="zh-CN"/>
        </w:rPr>
      </w:pPr>
      <w:r>
        <w:rPr>
          <w:rStyle w:val="10"/>
          <w:rFonts w:hint="eastAsia" w:ascii="仿宋" w:hAnsi="仿宋" w:eastAsia="仿宋" w:cs="仿宋"/>
          <w:b/>
          <w:bCs/>
          <w:i w:val="0"/>
          <w:iCs w:val="0"/>
          <w:caps w:val="0"/>
          <w:color w:val="404040"/>
          <w:spacing w:val="0"/>
          <w:sz w:val="28"/>
          <w:szCs w:val="28"/>
          <w:shd w:val="clear" w:fill="FFFFFF"/>
        </w:rPr>
        <w:t>交付成果</w:t>
      </w:r>
      <w:r>
        <w:rPr>
          <w:rStyle w:val="10"/>
          <w:rFonts w:hint="eastAsia" w:ascii="仿宋" w:hAnsi="仿宋" w:eastAsia="仿宋" w:cs="仿宋"/>
          <w:b/>
          <w:bCs/>
          <w:i w:val="0"/>
          <w:iCs w:val="0"/>
          <w:caps w:val="0"/>
          <w:color w:val="404040"/>
          <w:spacing w:val="0"/>
          <w:sz w:val="28"/>
          <w:szCs w:val="28"/>
          <w:shd w:val="clear" w:fill="FFFFFF"/>
          <w:lang w:eastAsia="zh-CN"/>
        </w:rPr>
        <w:t>：</w:t>
      </w:r>
      <w:r>
        <w:rPr>
          <w:rFonts w:hint="eastAsia" w:ascii="仿宋" w:hAnsi="仿宋" w:eastAsia="仿宋" w:cs="仿宋"/>
          <w:bCs/>
          <w:color w:val="auto"/>
          <w:sz w:val="28"/>
          <w:szCs w:val="28"/>
          <w:lang w:val="en-US" w:eastAsia="zh-CN"/>
        </w:rPr>
        <w:t>《职业病危害放射防护控制效果评价报告书》，检验/检测报告(设备质量控制检测、放射工作场所防护检测)（需通过卫生行政部门验收）</w:t>
      </w:r>
    </w:p>
    <w:p w14:paraId="2A423530">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pPr>
      <w:r>
        <w:rPr>
          <w:rStyle w:val="10"/>
          <w:rFonts w:hint="eastAsia" w:ascii="仿宋" w:hAnsi="仿宋" w:eastAsia="仿宋" w:cs="仿宋"/>
          <w:b/>
          <w:bCs/>
          <w:i w:val="0"/>
          <w:iCs w:val="0"/>
          <w:caps w:val="0"/>
          <w:color w:val="404040"/>
          <w:spacing w:val="0"/>
          <w:sz w:val="28"/>
          <w:szCs w:val="28"/>
          <w:shd w:val="clear" w:fill="FFFFFF"/>
        </w:rPr>
        <w:t>设备更换主要零部件</w:t>
      </w:r>
      <w:r>
        <w:rPr>
          <w:rStyle w:val="10"/>
          <w:rFonts w:hint="eastAsia" w:ascii="仿宋" w:hAnsi="仿宋" w:eastAsia="仿宋" w:cs="仿宋"/>
          <w:b/>
          <w:bCs/>
          <w:i w:val="0"/>
          <w:iCs w:val="0"/>
          <w:caps w:val="0"/>
          <w:color w:val="404040"/>
          <w:spacing w:val="0"/>
          <w:sz w:val="28"/>
          <w:szCs w:val="28"/>
          <w:shd w:val="clear" w:fill="FFFFFF"/>
          <w:lang w:val="en-US" w:eastAsia="zh-CN"/>
        </w:rPr>
        <w:t>进行质量控制检测</w:t>
      </w:r>
    </w:p>
    <w:p w14:paraId="667E2A72">
      <w:pPr>
        <w:pStyle w:val="6"/>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60" w:afterAutospacing="0" w:line="500" w:lineRule="exact"/>
        <w:ind w:right="0" w:rightChars="0" w:firstLine="560" w:firstLineChars="200"/>
        <w:textAlignment w:val="auto"/>
        <w:rPr>
          <w:rFonts w:hint="default"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根据《职业病防治法》《放射诊疗管理规定》（GBZ 120-2020）及《医用X射线诊断设备质量控制检测规范》（WS 76-2020），更换关键零部件（如X射线管、高压发生器、探测器等）可能影响设备性能，需强制进行质量控制检测，以确保：辐射输出稳定性</w:t>
      </w:r>
      <w:r>
        <w:rPr>
          <w:rFonts w:hint="eastAsia" w:ascii="仿宋" w:hAnsi="仿宋" w:eastAsia="仿宋" w:cs="仿宋"/>
          <w:bCs/>
          <w:color w:val="auto"/>
          <w:kern w:val="2"/>
          <w:sz w:val="28"/>
          <w:szCs w:val="28"/>
          <w:lang w:val="en-US" w:eastAsia="zh-CN" w:bidi="ar-SA"/>
        </w:rPr>
        <w:t>、</w:t>
      </w:r>
      <w:r>
        <w:rPr>
          <w:rFonts w:hint="default" w:ascii="仿宋" w:hAnsi="仿宋" w:eastAsia="仿宋" w:cs="仿宋"/>
          <w:bCs/>
          <w:color w:val="auto"/>
          <w:kern w:val="2"/>
          <w:sz w:val="28"/>
          <w:szCs w:val="28"/>
          <w:lang w:val="en-US" w:eastAsia="zh-CN" w:bidi="ar-SA"/>
        </w:rPr>
        <w:t>防护屏蔽有效性</w:t>
      </w:r>
      <w:r>
        <w:rPr>
          <w:rFonts w:hint="eastAsia" w:ascii="仿宋" w:hAnsi="仿宋" w:eastAsia="仿宋" w:cs="仿宋"/>
          <w:bCs/>
          <w:color w:val="auto"/>
          <w:kern w:val="2"/>
          <w:sz w:val="28"/>
          <w:szCs w:val="28"/>
          <w:lang w:val="en-US" w:eastAsia="zh-CN" w:bidi="ar-SA"/>
        </w:rPr>
        <w:t>、</w:t>
      </w:r>
      <w:r>
        <w:rPr>
          <w:rFonts w:hint="default" w:ascii="仿宋" w:hAnsi="仿宋" w:eastAsia="仿宋" w:cs="仿宋"/>
          <w:bCs/>
          <w:color w:val="auto"/>
          <w:kern w:val="2"/>
          <w:sz w:val="28"/>
          <w:szCs w:val="28"/>
          <w:lang w:val="en-US" w:eastAsia="zh-CN" w:bidi="ar-SA"/>
        </w:rPr>
        <w:t>剂量控制合规性（如泄漏射线≤1mGy/h）</w:t>
      </w:r>
      <w:r>
        <w:rPr>
          <w:rFonts w:hint="eastAsia" w:ascii="仿宋" w:hAnsi="仿宋" w:eastAsia="仿宋" w:cs="仿宋"/>
          <w:bCs/>
          <w:color w:val="auto"/>
          <w:kern w:val="2"/>
          <w:sz w:val="28"/>
          <w:szCs w:val="28"/>
          <w:lang w:val="en-US" w:eastAsia="zh-CN" w:bidi="ar-SA"/>
        </w:rPr>
        <w:t>、</w:t>
      </w:r>
      <w:r>
        <w:rPr>
          <w:rFonts w:hint="default" w:ascii="仿宋" w:hAnsi="仿宋" w:eastAsia="仿宋" w:cs="仿宋"/>
          <w:bCs/>
          <w:color w:val="auto"/>
          <w:kern w:val="2"/>
          <w:sz w:val="28"/>
          <w:szCs w:val="28"/>
          <w:lang w:val="en-US" w:eastAsia="zh-CN" w:bidi="ar-SA"/>
        </w:rPr>
        <w:t>影像质量达标（如空间分辨率、对比度噪声比）</w:t>
      </w:r>
      <w:r>
        <w:rPr>
          <w:rFonts w:hint="eastAsia" w:ascii="仿宋" w:hAnsi="仿宋" w:eastAsia="仿宋" w:cs="仿宋"/>
          <w:bCs/>
          <w:color w:val="auto"/>
          <w:kern w:val="2"/>
          <w:sz w:val="28"/>
          <w:szCs w:val="28"/>
          <w:lang w:val="en-US" w:eastAsia="zh-CN" w:bidi="ar-SA"/>
        </w:rPr>
        <w:t>等。</w:t>
      </w:r>
    </w:p>
    <w:p w14:paraId="5BEF0EC6">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right="0" w:firstLine="562" w:firstLineChars="200"/>
        <w:textAlignment w:val="auto"/>
        <w:rPr>
          <w:rStyle w:val="10"/>
          <w:rFonts w:hint="eastAsia" w:ascii="仿宋" w:hAnsi="仿宋" w:eastAsia="仿宋" w:cs="仿宋"/>
          <w:b/>
          <w:bCs/>
          <w:i w:val="0"/>
          <w:iCs w:val="0"/>
          <w:caps w:val="0"/>
          <w:color w:val="404040"/>
          <w:spacing w:val="0"/>
          <w:sz w:val="28"/>
          <w:szCs w:val="28"/>
          <w:shd w:val="clear" w:fill="FFFFFF"/>
        </w:rPr>
      </w:pPr>
      <w:r>
        <w:rPr>
          <w:rStyle w:val="10"/>
          <w:rFonts w:hint="default" w:ascii="仿宋" w:hAnsi="仿宋" w:eastAsia="仿宋" w:cs="仿宋"/>
          <w:b/>
          <w:bCs/>
          <w:i w:val="0"/>
          <w:iCs w:val="0"/>
          <w:caps w:val="0"/>
          <w:color w:val="404040"/>
          <w:spacing w:val="0"/>
          <w:sz w:val="28"/>
          <w:szCs w:val="28"/>
          <w:shd w:val="clear" w:fill="FFFFFF"/>
        </w:rPr>
        <w:t>检测流程</w:t>
      </w:r>
    </w:p>
    <w:p w14:paraId="419F1803">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default"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审查零部件更换记录（型号、批次、兼容性认证）</w:t>
      </w:r>
    </w:p>
    <w:p w14:paraId="181887A5">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default"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检查设备机械/电气安全（如接地电阻≤0.5Ω）</w:t>
      </w:r>
    </w:p>
    <w:p w14:paraId="690B01EE">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default"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使用经检定的仪器（如UNFORS Raysafe X2剂量仪、Barracuda X射线质量分析仪）</w:t>
      </w:r>
    </w:p>
    <w:p w14:paraId="02006D74">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default"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按GBZ 130-2020进行验收检测（新部件运行后24小时内）</w:t>
      </w:r>
    </w:p>
    <w:p w14:paraId="38B21DF0">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eastAsia"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对比更换前后参数</w:t>
      </w:r>
    </w:p>
    <w:p w14:paraId="73EFB73D">
      <w:pPr>
        <w:pStyle w:val="6"/>
        <w:keepNext w:val="0"/>
        <w:keepLines w:val="0"/>
        <w:pageBreakBefore w:val="0"/>
        <w:widowControl/>
        <w:numPr>
          <w:ilvl w:val="0"/>
          <w:numId w:val="8"/>
        </w:numPr>
        <w:suppressLineNumbers w:val="0"/>
        <w:kinsoku/>
        <w:wordWrap/>
        <w:overflowPunct/>
        <w:topLinePunct w:val="0"/>
        <w:autoSpaceDE/>
        <w:autoSpaceDN/>
        <w:bidi w:val="0"/>
        <w:snapToGrid/>
        <w:spacing w:before="0" w:beforeAutospacing="0" w:after="60" w:afterAutospacing="0" w:line="500" w:lineRule="exact"/>
        <w:ind w:left="0" w:leftChars="0" w:right="0" w:rightChars="0" w:firstLine="560" w:firstLineChars="200"/>
        <w:textAlignment w:val="auto"/>
        <w:rPr>
          <w:rFonts w:hint="eastAsia" w:ascii="仿宋" w:hAnsi="仿宋" w:eastAsia="仿宋" w:cs="仿宋"/>
          <w:bCs/>
          <w:color w:val="auto"/>
          <w:kern w:val="2"/>
          <w:sz w:val="28"/>
          <w:szCs w:val="28"/>
          <w:lang w:val="en-US" w:eastAsia="zh-CN" w:bidi="ar-SA"/>
        </w:rPr>
      </w:pPr>
      <w:r>
        <w:rPr>
          <w:rFonts w:hint="default" w:ascii="仿宋" w:hAnsi="仿宋" w:eastAsia="仿宋" w:cs="仿宋"/>
          <w:bCs/>
          <w:color w:val="auto"/>
          <w:kern w:val="2"/>
          <w:sz w:val="28"/>
          <w:szCs w:val="28"/>
          <w:lang w:val="en-US" w:eastAsia="zh-CN" w:bidi="ar-SA"/>
        </w:rPr>
        <w:t>签发CMA或CNAS认证的检测报告（含设备状态评级：A/B/C级）</w:t>
      </w:r>
    </w:p>
    <w:p w14:paraId="3A711BAA">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技术服务标准</w:t>
      </w:r>
    </w:p>
    <w:p w14:paraId="7D5FE0AF">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法规依据</w:t>
      </w:r>
    </w:p>
    <w:p w14:paraId="71DAF6E7">
      <w:pPr>
        <w:keepNext w:val="0"/>
        <w:keepLines w:val="0"/>
        <w:pageBreakBefore w:val="0"/>
        <w:widowControl w:val="0"/>
        <w:numPr>
          <w:ilvl w:val="0"/>
          <w:numId w:val="9"/>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《中华人民共和国职业病防治法》《放射诊疗管理规定》等。</w:t>
      </w:r>
    </w:p>
    <w:p w14:paraId="4AF53A4B">
      <w:pPr>
        <w:keepNext w:val="0"/>
        <w:keepLines w:val="0"/>
        <w:pageBreakBefore w:val="0"/>
        <w:widowControl w:val="0"/>
        <w:numPr>
          <w:ilvl w:val="0"/>
          <w:numId w:val="9"/>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国家标准（GBZ 120-2020、GBZ 130-2020等）。</w:t>
      </w:r>
    </w:p>
    <w:p w14:paraId="66935E65">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质量控制</w:t>
      </w:r>
    </w:p>
    <w:p w14:paraId="64F64918">
      <w:pPr>
        <w:keepNext w:val="0"/>
        <w:keepLines w:val="0"/>
        <w:pageBreakBefore w:val="0"/>
        <w:widowControl w:val="0"/>
        <w:numPr>
          <w:ilvl w:val="0"/>
          <w:numId w:val="10"/>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检测仪器需定期检定，数据真实可追溯。</w:t>
      </w:r>
    </w:p>
    <w:p w14:paraId="02083B1F">
      <w:pPr>
        <w:keepNext w:val="0"/>
        <w:keepLines w:val="0"/>
        <w:pageBreakBefore w:val="0"/>
        <w:widowControl w:val="0"/>
        <w:numPr>
          <w:ilvl w:val="0"/>
          <w:numId w:val="10"/>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报告需经内部三级审核，确保结论科学严谨。</w:t>
      </w:r>
    </w:p>
    <w:p w14:paraId="1C3320FD">
      <w:pPr>
        <w:keepNext w:val="0"/>
        <w:keepLines w:val="0"/>
        <w:pageBreakBefore w:val="0"/>
        <w:widowControl w:val="0"/>
        <w:numPr>
          <w:ilvl w:val="0"/>
          <w:numId w:val="10"/>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项目负责人需具备放射防护相关专业高级职称，并持有放射卫生评价培训合格证书。</w:t>
      </w:r>
    </w:p>
    <w:p w14:paraId="21C4F857">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合同期、报价和结算方式</w:t>
      </w:r>
    </w:p>
    <w:p w14:paraId="01021083">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合同期：2年</w:t>
      </w:r>
    </w:p>
    <w:p w14:paraId="6781C93E">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报价方式：按附件所提供项目类别进行单价报价，报价不仅限于报告编制、专家评审、差旅等全部费用。</w:t>
      </w:r>
    </w:p>
    <w:p w14:paraId="7CD37444">
      <w:pPr>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结算方式：每季度按实际量支付。</w:t>
      </w:r>
    </w:p>
    <w:p w14:paraId="791011E8">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rPr>
          <w:rFonts w:hint="eastAsia" w:ascii="仿宋" w:hAnsi="仿宋" w:eastAsia="仿宋" w:cs="仿宋"/>
          <w:b w:val="0"/>
          <w:i w:val="0"/>
          <w:kern w:val="0"/>
          <w:sz w:val="28"/>
          <w:szCs w:val="28"/>
          <w:lang w:val="en-US" w:eastAsia="zh-CN" w:bidi="ar"/>
        </w:rPr>
      </w:pPr>
    </w:p>
    <w:p w14:paraId="736C264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2283DDE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6CCE64E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06F493C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3384B9A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bookmarkStart w:id="1" w:name="_GoBack"/>
      <w:bookmarkEnd w:id="1"/>
    </w:p>
    <w:p w14:paraId="5E27851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 w:hAnsi="仿宋" w:eastAsia="仿宋" w:cs="仿宋"/>
          <w:b w:val="0"/>
          <w:i w:val="0"/>
          <w:kern w:val="0"/>
          <w:sz w:val="28"/>
          <w:szCs w:val="28"/>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875"/>
        <w:gridCol w:w="1530"/>
        <w:gridCol w:w="1567"/>
        <w:gridCol w:w="2473"/>
      </w:tblGrid>
      <w:tr w14:paraId="1815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380" w:type="dxa"/>
            <w:gridSpan w:val="5"/>
          </w:tcPr>
          <w:p w14:paraId="5A0E2C8E">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报价清单</w:t>
            </w:r>
          </w:p>
        </w:tc>
      </w:tr>
      <w:tr w14:paraId="66EB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935" w:type="dxa"/>
          </w:tcPr>
          <w:p w14:paraId="0759B402">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项目名称</w:t>
            </w:r>
          </w:p>
        </w:tc>
        <w:tc>
          <w:tcPr>
            <w:tcW w:w="1875" w:type="dxa"/>
          </w:tcPr>
          <w:p w14:paraId="03C063B6">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评价内容</w:t>
            </w:r>
          </w:p>
        </w:tc>
        <w:tc>
          <w:tcPr>
            <w:tcW w:w="1530" w:type="dxa"/>
          </w:tcPr>
          <w:p w14:paraId="12B1A213">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预评单价</w:t>
            </w:r>
          </w:p>
        </w:tc>
        <w:tc>
          <w:tcPr>
            <w:tcW w:w="1567" w:type="dxa"/>
          </w:tcPr>
          <w:p w14:paraId="275272F1">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控评单价</w:t>
            </w:r>
          </w:p>
        </w:tc>
        <w:tc>
          <w:tcPr>
            <w:tcW w:w="2473" w:type="dxa"/>
          </w:tcPr>
          <w:p w14:paraId="4138AD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设备质量控制检测单价</w:t>
            </w:r>
          </w:p>
        </w:tc>
      </w:tr>
      <w:tr w14:paraId="3B51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tcPr>
          <w:p w14:paraId="40365748">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DR</w:t>
            </w:r>
          </w:p>
        </w:tc>
        <w:tc>
          <w:tcPr>
            <w:tcW w:w="1875" w:type="dxa"/>
          </w:tcPr>
          <w:p w14:paraId="1C87E9C1">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627138E2">
            <w:pPr>
              <w:jc w:val="center"/>
              <w:rPr>
                <w:rFonts w:hint="default" w:ascii="仿宋_GB2312" w:hAnsi="Times New Roman" w:eastAsia="仿宋_GB2312" w:cs="Times New Roman"/>
                <w:sz w:val="30"/>
                <w:szCs w:val="30"/>
                <w:vertAlign w:val="baseline"/>
                <w:lang w:val="en-US" w:eastAsia="zh-CN"/>
              </w:rPr>
            </w:pPr>
          </w:p>
        </w:tc>
        <w:tc>
          <w:tcPr>
            <w:tcW w:w="1567" w:type="dxa"/>
          </w:tcPr>
          <w:p w14:paraId="5E1F1887">
            <w:pPr>
              <w:jc w:val="center"/>
              <w:rPr>
                <w:rFonts w:hint="default" w:ascii="仿宋_GB2312" w:hAnsi="Times New Roman" w:eastAsia="仿宋_GB2312" w:cs="Times New Roman"/>
                <w:sz w:val="30"/>
                <w:szCs w:val="30"/>
                <w:vertAlign w:val="baseline"/>
                <w:lang w:val="en-US" w:eastAsia="zh-CN"/>
              </w:rPr>
            </w:pPr>
          </w:p>
        </w:tc>
        <w:tc>
          <w:tcPr>
            <w:tcW w:w="2473" w:type="dxa"/>
          </w:tcPr>
          <w:p w14:paraId="2B694A71">
            <w:pPr>
              <w:jc w:val="center"/>
              <w:rPr>
                <w:rFonts w:hint="default" w:ascii="仿宋_GB2312" w:hAnsi="Times New Roman" w:eastAsia="仿宋_GB2312" w:cs="Times New Roman"/>
                <w:sz w:val="30"/>
                <w:szCs w:val="30"/>
                <w:vertAlign w:val="baseline"/>
                <w:lang w:val="en-US" w:eastAsia="zh-CN"/>
              </w:rPr>
            </w:pPr>
          </w:p>
        </w:tc>
      </w:tr>
      <w:tr w14:paraId="35D0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tcPr>
          <w:p w14:paraId="593C8330">
            <w:pPr>
              <w:jc w:val="center"/>
              <w:rPr>
                <w:rFonts w:hint="default" w:ascii="仿宋_GB2312" w:hAnsi="Times New Roman" w:eastAsia="仿宋_GB2312" w:cs="Times New Roman"/>
                <w:sz w:val="30"/>
                <w:szCs w:val="30"/>
                <w:vertAlign w:val="baseline"/>
                <w:lang w:val="en-US" w:eastAsia="zh-CN"/>
              </w:rPr>
            </w:pPr>
            <w:r>
              <w:rPr>
                <w:rFonts w:hint="default" w:ascii="仿宋_GB2312" w:hAnsi="Times New Roman" w:eastAsia="仿宋_GB2312" w:cs="Times New Roman"/>
                <w:sz w:val="30"/>
                <w:szCs w:val="30"/>
                <w:vertAlign w:val="baseline"/>
                <w:lang w:val="en-US" w:eastAsia="zh-CN"/>
              </w:rPr>
              <w:t>CT</w:t>
            </w:r>
          </w:p>
        </w:tc>
        <w:tc>
          <w:tcPr>
            <w:tcW w:w="1875" w:type="dxa"/>
          </w:tcPr>
          <w:p w14:paraId="5A55642A">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3F9C53F4">
            <w:pPr>
              <w:jc w:val="center"/>
              <w:rPr>
                <w:rFonts w:hint="default" w:ascii="仿宋_GB2312" w:hAnsi="Times New Roman" w:eastAsia="仿宋_GB2312" w:cs="Times New Roman"/>
                <w:sz w:val="30"/>
                <w:szCs w:val="30"/>
                <w:vertAlign w:val="baseline"/>
                <w:lang w:val="en-US" w:eastAsia="zh-CN"/>
              </w:rPr>
            </w:pPr>
          </w:p>
        </w:tc>
        <w:tc>
          <w:tcPr>
            <w:tcW w:w="1567" w:type="dxa"/>
          </w:tcPr>
          <w:p w14:paraId="598F904B">
            <w:pPr>
              <w:jc w:val="center"/>
              <w:rPr>
                <w:rFonts w:hint="default" w:ascii="仿宋_GB2312" w:hAnsi="Times New Roman" w:eastAsia="仿宋_GB2312" w:cs="Times New Roman"/>
                <w:sz w:val="30"/>
                <w:szCs w:val="30"/>
                <w:vertAlign w:val="baseline"/>
                <w:lang w:val="en-US" w:eastAsia="zh-CN"/>
              </w:rPr>
            </w:pPr>
          </w:p>
        </w:tc>
        <w:tc>
          <w:tcPr>
            <w:tcW w:w="2473" w:type="dxa"/>
          </w:tcPr>
          <w:p w14:paraId="7E4C08EF">
            <w:pPr>
              <w:jc w:val="center"/>
              <w:rPr>
                <w:rFonts w:hint="default" w:ascii="仿宋_GB2312" w:hAnsi="Times New Roman" w:eastAsia="仿宋_GB2312" w:cs="Times New Roman"/>
                <w:sz w:val="30"/>
                <w:szCs w:val="30"/>
                <w:vertAlign w:val="baseline"/>
                <w:lang w:val="en-US" w:eastAsia="zh-CN"/>
              </w:rPr>
            </w:pPr>
          </w:p>
        </w:tc>
      </w:tr>
      <w:tr w14:paraId="5473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tcPr>
          <w:p w14:paraId="67BB9189">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模拟CT定位机</w:t>
            </w:r>
          </w:p>
        </w:tc>
        <w:tc>
          <w:tcPr>
            <w:tcW w:w="1875" w:type="dxa"/>
            <w:vAlign w:val="top"/>
          </w:tcPr>
          <w:p w14:paraId="3EC6B2FD">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72C75CD7">
            <w:pPr>
              <w:jc w:val="center"/>
              <w:rPr>
                <w:rFonts w:hint="default" w:ascii="仿宋_GB2312" w:hAnsi="Times New Roman" w:eastAsia="仿宋_GB2312" w:cs="Times New Roman"/>
                <w:sz w:val="30"/>
                <w:szCs w:val="30"/>
                <w:vertAlign w:val="baseline"/>
                <w:lang w:val="en-US" w:eastAsia="zh-CN"/>
              </w:rPr>
            </w:pPr>
          </w:p>
        </w:tc>
        <w:tc>
          <w:tcPr>
            <w:tcW w:w="1567" w:type="dxa"/>
          </w:tcPr>
          <w:p w14:paraId="35F65A68">
            <w:pPr>
              <w:jc w:val="center"/>
              <w:rPr>
                <w:rFonts w:hint="default" w:ascii="仿宋_GB2312" w:hAnsi="Times New Roman" w:eastAsia="仿宋_GB2312" w:cs="Times New Roman"/>
                <w:sz w:val="30"/>
                <w:szCs w:val="30"/>
                <w:vertAlign w:val="baseline"/>
                <w:lang w:val="en-US" w:eastAsia="zh-CN"/>
              </w:rPr>
            </w:pPr>
          </w:p>
        </w:tc>
        <w:tc>
          <w:tcPr>
            <w:tcW w:w="2473" w:type="dxa"/>
          </w:tcPr>
          <w:p w14:paraId="7D5F6E53">
            <w:pPr>
              <w:jc w:val="center"/>
              <w:rPr>
                <w:rFonts w:hint="default" w:ascii="仿宋_GB2312" w:hAnsi="Times New Roman" w:eastAsia="仿宋_GB2312" w:cs="Times New Roman"/>
                <w:sz w:val="30"/>
                <w:szCs w:val="30"/>
                <w:vertAlign w:val="baseline"/>
                <w:lang w:val="en-US" w:eastAsia="zh-CN"/>
              </w:rPr>
            </w:pPr>
          </w:p>
        </w:tc>
      </w:tr>
      <w:tr w14:paraId="065E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433ABC4C">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小型C臂机</w:t>
            </w:r>
          </w:p>
        </w:tc>
        <w:tc>
          <w:tcPr>
            <w:tcW w:w="1875" w:type="dxa"/>
            <w:vAlign w:val="top"/>
          </w:tcPr>
          <w:p w14:paraId="12ADDD26">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4A93F449">
            <w:pPr>
              <w:jc w:val="center"/>
              <w:rPr>
                <w:rFonts w:hint="default" w:ascii="仿宋_GB2312" w:hAnsi="Times New Roman" w:eastAsia="仿宋_GB2312" w:cs="Times New Roman"/>
                <w:sz w:val="30"/>
                <w:szCs w:val="30"/>
                <w:vertAlign w:val="baseline"/>
                <w:lang w:val="en-US" w:eastAsia="zh-CN"/>
              </w:rPr>
            </w:pPr>
          </w:p>
        </w:tc>
        <w:tc>
          <w:tcPr>
            <w:tcW w:w="1567" w:type="dxa"/>
          </w:tcPr>
          <w:p w14:paraId="4F17D1F0">
            <w:pPr>
              <w:jc w:val="center"/>
              <w:rPr>
                <w:rFonts w:hint="default" w:ascii="仿宋_GB2312" w:hAnsi="Times New Roman" w:eastAsia="仿宋_GB2312" w:cs="Times New Roman"/>
                <w:sz w:val="30"/>
                <w:szCs w:val="30"/>
                <w:vertAlign w:val="baseline"/>
                <w:lang w:val="en-US" w:eastAsia="zh-CN"/>
              </w:rPr>
            </w:pPr>
          </w:p>
        </w:tc>
        <w:tc>
          <w:tcPr>
            <w:tcW w:w="2473" w:type="dxa"/>
          </w:tcPr>
          <w:p w14:paraId="48FBF8CB">
            <w:pPr>
              <w:jc w:val="center"/>
              <w:rPr>
                <w:rFonts w:hint="default" w:ascii="仿宋_GB2312" w:hAnsi="Times New Roman" w:eastAsia="仿宋_GB2312" w:cs="Times New Roman"/>
                <w:sz w:val="30"/>
                <w:szCs w:val="30"/>
                <w:vertAlign w:val="baseline"/>
                <w:lang w:val="en-US" w:eastAsia="zh-CN"/>
              </w:rPr>
            </w:pPr>
          </w:p>
        </w:tc>
      </w:tr>
      <w:tr w14:paraId="5715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1000CA1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中型C臂机</w:t>
            </w:r>
          </w:p>
        </w:tc>
        <w:tc>
          <w:tcPr>
            <w:tcW w:w="1875" w:type="dxa"/>
            <w:vAlign w:val="top"/>
          </w:tcPr>
          <w:p w14:paraId="6A973186">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36257739">
            <w:pPr>
              <w:jc w:val="center"/>
              <w:rPr>
                <w:rFonts w:hint="default" w:ascii="仿宋_GB2312" w:hAnsi="Times New Roman" w:eastAsia="仿宋_GB2312" w:cs="Times New Roman"/>
                <w:sz w:val="30"/>
                <w:szCs w:val="30"/>
                <w:vertAlign w:val="baseline"/>
                <w:lang w:val="en-US" w:eastAsia="zh-CN"/>
              </w:rPr>
            </w:pPr>
          </w:p>
        </w:tc>
        <w:tc>
          <w:tcPr>
            <w:tcW w:w="1567" w:type="dxa"/>
          </w:tcPr>
          <w:p w14:paraId="35C8EB66">
            <w:pPr>
              <w:jc w:val="center"/>
              <w:rPr>
                <w:rFonts w:hint="default" w:ascii="仿宋_GB2312" w:hAnsi="Times New Roman" w:eastAsia="仿宋_GB2312" w:cs="Times New Roman"/>
                <w:sz w:val="30"/>
                <w:szCs w:val="30"/>
                <w:vertAlign w:val="baseline"/>
                <w:lang w:val="en-US" w:eastAsia="zh-CN"/>
              </w:rPr>
            </w:pPr>
          </w:p>
        </w:tc>
        <w:tc>
          <w:tcPr>
            <w:tcW w:w="2473" w:type="dxa"/>
          </w:tcPr>
          <w:p w14:paraId="719D2B81">
            <w:pPr>
              <w:jc w:val="center"/>
              <w:rPr>
                <w:rFonts w:hint="default" w:ascii="仿宋_GB2312" w:hAnsi="Times New Roman" w:eastAsia="仿宋_GB2312" w:cs="Times New Roman"/>
                <w:sz w:val="30"/>
                <w:szCs w:val="30"/>
                <w:vertAlign w:val="baseline"/>
                <w:lang w:val="en-US" w:eastAsia="zh-CN"/>
              </w:rPr>
            </w:pPr>
          </w:p>
        </w:tc>
      </w:tr>
      <w:tr w14:paraId="61C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23BE49F8">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钼靶机</w:t>
            </w:r>
          </w:p>
        </w:tc>
        <w:tc>
          <w:tcPr>
            <w:tcW w:w="1875" w:type="dxa"/>
            <w:vAlign w:val="top"/>
          </w:tcPr>
          <w:p w14:paraId="460FC4D0">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5B4619EB">
            <w:pPr>
              <w:jc w:val="center"/>
              <w:rPr>
                <w:rFonts w:hint="default" w:ascii="仿宋_GB2312" w:hAnsi="Times New Roman" w:eastAsia="仿宋_GB2312" w:cs="Times New Roman"/>
                <w:sz w:val="30"/>
                <w:szCs w:val="30"/>
                <w:vertAlign w:val="baseline"/>
                <w:lang w:val="en-US" w:eastAsia="zh-CN"/>
              </w:rPr>
            </w:pPr>
          </w:p>
        </w:tc>
        <w:tc>
          <w:tcPr>
            <w:tcW w:w="1567" w:type="dxa"/>
          </w:tcPr>
          <w:p w14:paraId="793163E3">
            <w:pPr>
              <w:jc w:val="center"/>
              <w:rPr>
                <w:rFonts w:hint="default" w:ascii="仿宋_GB2312" w:hAnsi="Times New Roman" w:eastAsia="仿宋_GB2312" w:cs="Times New Roman"/>
                <w:sz w:val="30"/>
                <w:szCs w:val="30"/>
                <w:vertAlign w:val="baseline"/>
                <w:lang w:val="en-US" w:eastAsia="zh-CN"/>
              </w:rPr>
            </w:pPr>
          </w:p>
        </w:tc>
        <w:tc>
          <w:tcPr>
            <w:tcW w:w="2473" w:type="dxa"/>
          </w:tcPr>
          <w:p w14:paraId="50BE3F1F">
            <w:pPr>
              <w:jc w:val="center"/>
              <w:rPr>
                <w:rFonts w:hint="default" w:ascii="仿宋_GB2312" w:hAnsi="Times New Roman" w:eastAsia="仿宋_GB2312" w:cs="Times New Roman"/>
                <w:sz w:val="30"/>
                <w:szCs w:val="30"/>
                <w:vertAlign w:val="baseline"/>
                <w:lang w:val="en-US" w:eastAsia="zh-CN"/>
              </w:rPr>
            </w:pPr>
          </w:p>
        </w:tc>
      </w:tr>
      <w:tr w14:paraId="1FAB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19C5F825">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骨密度仪</w:t>
            </w:r>
          </w:p>
        </w:tc>
        <w:tc>
          <w:tcPr>
            <w:tcW w:w="1875" w:type="dxa"/>
            <w:vAlign w:val="top"/>
          </w:tcPr>
          <w:p w14:paraId="7E56187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679866C7">
            <w:pPr>
              <w:jc w:val="center"/>
              <w:rPr>
                <w:rFonts w:hint="default" w:ascii="仿宋_GB2312" w:hAnsi="Times New Roman" w:eastAsia="仿宋_GB2312" w:cs="Times New Roman"/>
                <w:sz w:val="30"/>
                <w:szCs w:val="30"/>
                <w:vertAlign w:val="baseline"/>
                <w:lang w:val="en-US" w:eastAsia="zh-CN"/>
              </w:rPr>
            </w:pPr>
          </w:p>
        </w:tc>
        <w:tc>
          <w:tcPr>
            <w:tcW w:w="1567" w:type="dxa"/>
          </w:tcPr>
          <w:p w14:paraId="4005D9C3">
            <w:pPr>
              <w:jc w:val="center"/>
              <w:rPr>
                <w:rFonts w:hint="default" w:ascii="仿宋_GB2312" w:hAnsi="Times New Roman" w:eastAsia="仿宋_GB2312" w:cs="Times New Roman"/>
                <w:sz w:val="30"/>
                <w:szCs w:val="30"/>
                <w:vertAlign w:val="baseline"/>
                <w:lang w:val="en-US" w:eastAsia="zh-CN"/>
              </w:rPr>
            </w:pPr>
          </w:p>
        </w:tc>
        <w:tc>
          <w:tcPr>
            <w:tcW w:w="2473" w:type="dxa"/>
          </w:tcPr>
          <w:p w14:paraId="2003CF07">
            <w:pPr>
              <w:jc w:val="center"/>
              <w:rPr>
                <w:rFonts w:hint="default" w:ascii="仿宋_GB2312" w:hAnsi="Times New Roman" w:eastAsia="仿宋_GB2312" w:cs="Times New Roman"/>
                <w:sz w:val="30"/>
                <w:szCs w:val="30"/>
                <w:vertAlign w:val="baseline"/>
                <w:lang w:val="en-US" w:eastAsia="zh-CN"/>
              </w:rPr>
            </w:pPr>
          </w:p>
        </w:tc>
      </w:tr>
      <w:tr w14:paraId="5B9F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46B4B3A0">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胃肠机</w:t>
            </w:r>
          </w:p>
        </w:tc>
        <w:tc>
          <w:tcPr>
            <w:tcW w:w="1875" w:type="dxa"/>
            <w:vAlign w:val="top"/>
          </w:tcPr>
          <w:p w14:paraId="5C4AECA7">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69DE252C">
            <w:pPr>
              <w:jc w:val="center"/>
              <w:rPr>
                <w:rFonts w:hint="default" w:ascii="仿宋_GB2312" w:hAnsi="Times New Roman" w:eastAsia="仿宋_GB2312" w:cs="Times New Roman"/>
                <w:sz w:val="30"/>
                <w:szCs w:val="30"/>
                <w:vertAlign w:val="baseline"/>
                <w:lang w:val="en-US" w:eastAsia="zh-CN"/>
              </w:rPr>
            </w:pPr>
          </w:p>
        </w:tc>
        <w:tc>
          <w:tcPr>
            <w:tcW w:w="1567" w:type="dxa"/>
          </w:tcPr>
          <w:p w14:paraId="52429F3E">
            <w:pPr>
              <w:jc w:val="center"/>
              <w:rPr>
                <w:rFonts w:hint="default" w:ascii="仿宋_GB2312" w:hAnsi="Times New Roman" w:eastAsia="仿宋_GB2312" w:cs="Times New Roman"/>
                <w:sz w:val="30"/>
                <w:szCs w:val="30"/>
                <w:vertAlign w:val="baseline"/>
                <w:lang w:val="en-US" w:eastAsia="zh-CN"/>
              </w:rPr>
            </w:pPr>
          </w:p>
        </w:tc>
        <w:tc>
          <w:tcPr>
            <w:tcW w:w="2473" w:type="dxa"/>
          </w:tcPr>
          <w:p w14:paraId="0164DB9C">
            <w:pPr>
              <w:jc w:val="center"/>
              <w:rPr>
                <w:rFonts w:hint="default" w:ascii="仿宋_GB2312" w:hAnsi="Times New Roman" w:eastAsia="仿宋_GB2312" w:cs="Times New Roman"/>
                <w:sz w:val="30"/>
                <w:szCs w:val="30"/>
                <w:vertAlign w:val="baseline"/>
                <w:lang w:val="en-US" w:eastAsia="zh-CN"/>
              </w:rPr>
            </w:pPr>
          </w:p>
        </w:tc>
      </w:tr>
      <w:tr w14:paraId="0479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2903A30F">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碎石机</w:t>
            </w:r>
          </w:p>
        </w:tc>
        <w:tc>
          <w:tcPr>
            <w:tcW w:w="1875" w:type="dxa"/>
            <w:vAlign w:val="top"/>
          </w:tcPr>
          <w:p w14:paraId="6A93B1C5">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6968A8F6">
            <w:pPr>
              <w:jc w:val="center"/>
              <w:rPr>
                <w:rFonts w:hint="default" w:ascii="仿宋_GB2312" w:hAnsi="Times New Roman" w:eastAsia="仿宋_GB2312" w:cs="Times New Roman"/>
                <w:sz w:val="30"/>
                <w:szCs w:val="30"/>
                <w:vertAlign w:val="baseline"/>
                <w:lang w:val="en-US" w:eastAsia="zh-CN"/>
              </w:rPr>
            </w:pPr>
          </w:p>
        </w:tc>
        <w:tc>
          <w:tcPr>
            <w:tcW w:w="1567" w:type="dxa"/>
          </w:tcPr>
          <w:p w14:paraId="4FC40E74">
            <w:pPr>
              <w:jc w:val="center"/>
              <w:rPr>
                <w:rFonts w:hint="default" w:ascii="仿宋_GB2312" w:hAnsi="Times New Roman" w:eastAsia="仿宋_GB2312" w:cs="Times New Roman"/>
                <w:sz w:val="30"/>
                <w:szCs w:val="30"/>
                <w:vertAlign w:val="baseline"/>
                <w:lang w:val="en-US" w:eastAsia="zh-CN"/>
              </w:rPr>
            </w:pPr>
          </w:p>
        </w:tc>
        <w:tc>
          <w:tcPr>
            <w:tcW w:w="2473" w:type="dxa"/>
          </w:tcPr>
          <w:p w14:paraId="7C34DE6C">
            <w:pPr>
              <w:jc w:val="center"/>
              <w:rPr>
                <w:rFonts w:hint="default" w:ascii="仿宋_GB2312" w:hAnsi="Times New Roman" w:eastAsia="仿宋_GB2312" w:cs="Times New Roman"/>
                <w:sz w:val="30"/>
                <w:szCs w:val="30"/>
                <w:vertAlign w:val="baseline"/>
                <w:lang w:val="en-US" w:eastAsia="zh-CN"/>
              </w:rPr>
            </w:pPr>
          </w:p>
        </w:tc>
      </w:tr>
      <w:tr w14:paraId="3B5F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126DE85B">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其他Ⅲ类射线装置</w:t>
            </w:r>
          </w:p>
        </w:tc>
        <w:tc>
          <w:tcPr>
            <w:tcW w:w="1875" w:type="dxa"/>
            <w:vAlign w:val="top"/>
          </w:tcPr>
          <w:p w14:paraId="4D0C50B3">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08A45772">
            <w:pPr>
              <w:jc w:val="center"/>
              <w:rPr>
                <w:rFonts w:hint="default" w:ascii="仿宋_GB2312" w:hAnsi="Times New Roman" w:eastAsia="仿宋_GB2312" w:cs="Times New Roman"/>
                <w:sz w:val="30"/>
                <w:szCs w:val="30"/>
                <w:vertAlign w:val="baseline"/>
                <w:lang w:val="en-US" w:eastAsia="zh-CN"/>
              </w:rPr>
            </w:pPr>
          </w:p>
        </w:tc>
        <w:tc>
          <w:tcPr>
            <w:tcW w:w="1567" w:type="dxa"/>
          </w:tcPr>
          <w:p w14:paraId="26162790">
            <w:pPr>
              <w:jc w:val="center"/>
              <w:rPr>
                <w:rFonts w:hint="default" w:ascii="仿宋_GB2312" w:hAnsi="Times New Roman" w:eastAsia="仿宋_GB2312" w:cs="Times New Roman"/>
                <w:sz w:val="30"/>
                <w:szCs w:val="30"/>
                <w:vertAlign w:val="baseline"/>
                <w:lang w:val="en-US" w:eastAsia="zh-CN"/>
              </w:rPr>
            </w:pPr>
          </w:p>
        </w:tc>
        <w:tc>
          <w:tcPr>
            <w:tcW w:w="2473" w:type="dxa"/>
          </w:tcPr>
          <w:p w14:paraId="45680C3E">
            <w:pPr>
              <w:jc w:val="center"/>
              <w:rPr>
                <w:rFonts w:hint="default" w:ascii="仿宋_GB2312" w:hAnsi="Times New Roman" w:eastAsia="仿宋_GB2312" w:cs="Times New Roman"/>
                <w:sz w:val="30"/>
                <w:szCs w:val="30"/>
                <w:vertAlign w:val="baseline"/>
                <w:lang w:val="en-US" w:eastAsia="zh-CN"/>
              </w:rPr>
            </w:pPr>
          </w:p>
        </w:tc>
      </w:tr>
      <w:tr w14:paraId="2581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259AC0DE">
            <w:pPr>
              <w:jc w:val="center"/>
              <w:rPr>
                <w:rFonts w:hint="default" w:ascii="仿宋_GB2312" w:hAnsi="Times New Roman" w:eastAsia="仿宋_GB2312" w:cs="Times New Roman"/>
                <w:kern w:val="2"/>
                <w:sz w:val="30"/>
                <w:szCs w:val="30"/>
                <w:vertAlign w:val="baseline"/>
                <w:lang w:val="en-US" w:eastAsia="zh-CN" w:bidi="ar-SA"/>
              </w:rPr>
            </w:pPr>
            <w:r>
              <w:rPr>
                <w:rFonts w:hint="default" w:ascii="仿宋_GB2312" w:hAnsi="Times New Roman" w:eastAsia="仿宋_GB2312" w:cs="Times New Roman"/>
                <w:sz w:val="30"/>
                <w:szCs w:val="30"/>
                <w:vertAlign w:val="baseline"/>
                <w:lang w:val="en-US" w:eastAsia="zh-CN"/>
              </w:rPr>
              <w:t>DSA</w:t>
            </w:r>
          </w:p>
        </w:tc>
        <w:tc>
          <w:tcPr>
            <w:tcW w:w="1875" w:type="dxa"/>
            <w:vAlign w:val="top"/>
          </w:tcPr>
          <w:p w14:paraId="2682E654">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5B8107E8">
            <w:pPr>
              <w:jc w:val="center"/>
              <w:rPr>
                <w:rFonts w:hint="default" w:ascii="仿宋_GB2312" w:hAnsi="Times New Roman" w:eastAsia="仿宋_GB2312" w:cs="Times New Roman"/>
                <w:sz w:val="30"/>
                <w:szCs w:val="30"/>
                <w:vertAlign w:val="baseline"/>
                <w:lang w:val="en-US" w:eastAsia="zh-CN"/>
              </w:rPr>
            </w:pPr>
          </w:p>
        </w:tc>
        <w:tc>
          <w:tcPr>
            <w:tcW w:w="1567" w:type="dxa"/>
          </w:tcPr>
          <w:p w14:paraId="0D62A065">
            <w:pPr>
              <w:jc w:val="center"/>
              <w:rPr>
                <w:rFonts w:hint="default" w:ascii="仿宋_GB2312" w:hAnsi="Times New Roman" w:eastAsia="仿宋_GB2312" w:cs="Times New Roman"/>
                <w:sz w:val="30"/>
                <w:szCs w:val="30"/>
                <w:vertAlign w:val="baseline"/>
                <w:lang w:val="en-US" w:eastAsia="zh-CN"/>
              </w:rPr>
            </w:pPr>
          </w:p>
        </w:tc>
        <w:tc>
          <w:tcPr>
            <w:tcW w:w="2473" w:type="dxa"/>
          </w:tcPr>
          <w:p w14:paraId="63F0A744">
            <w:pPr>
              <w:jc w:val="center"/>
              <w:rPr>
                <w:rFonts w:hint="default" w:ascii="仿宋_GB2312" w:hAnsi="Times New Roman" w:eastAsia="仿宋_GB2312" w:cs="Times New Roman"/>
                <w:sz w:val="30"/>
                <w:szCs w:val="30"/>
                <w:vertAlign w:val="baseline"/>
                <w:lang w:val="en-US" w:eastAsia="zh-CN"/>
              </w:rPr>
            </w:pPr>
          </w:p>
        </w:tc>
      </w:tr>
      <w:tr w14:paraId="0FD9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7C00E2F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回旋加速器</w:t>
            </w:r>
          </w:p>
        </w:tc>
        <w:tc>
          <w:tcPr>
            <w:tcW w:w="1875" w:type="dxa"/>
            <w:vAlign w:val="top"/>
          </w:tcPr>
          <w:p w14:paraId="329BF154">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139BA88F">
            <w:pPr>
              <w:jc w:val="center"/>
              <w:rPr>
                <w:rFonts w:hint="default" w:ascii="仿宋_GB2312" w:hAnsi="Times New Roman" w:eastAsia="仿宋_GB2312" w:cs="Times New Roman"/>
                <w:sz w:val="30"/>
                <w:szCs w:val="30"/>
                <w:vertAlign w:val="baseline"/>
                <w:lang w:val="en-US" w:eastAsia="zh-CN"/>
              </w:rPr>
            </w:pPr>
          </w:p>
        </w:tc>
        <w:tc>
          <w:tcPr>
            <w:tcW w:w="1567" w:type="dxa"/>
          </w:tcPr>
          <w:p w14:paraId="73BD0816">
            <w:pPr>
              <w:jc w:val="center"/>
              <w:rPr>
                <w:rFonts w:hint="default" w:ascii="仿宋_GB2312" w:hAnsi="Times New Roman" w:eastAsia="仿宋_GB2312" w:cs="Times New Roman"/>
                <w:sz w:val="30"/>
                <w:szCs w:val="30"/>
                <w:vertAlign w:val="baseline"/>
                <w:lang w:val="en-US" w:eastAsia="zh-CN"/>
              </w:rPr>
            </w:pPr>
          </w:p>
        </w:tc>
        <w:tc>
          <w:tcPr>
            <w:tcW w:w="2473" w:type="dxa"/>
          </w:tcPr>
          <w:p w14:paraId="316BB765">
            <w:pPr>
              <w:jc w:val="center"/>
              <w:rPr>
                <w:rFonts w:hint="default" w:ascii="仿宋_GB2312" w:hAnsi="Times New Roman" w:eastAsia="仿宋_GB2312" w:cs="Times New Roman"/>
                <w:sz w:val="30"/>
                <w:szCs w:val="30"/>
                <w:vertAlign w:val="baseline"/>
                <w:lang w:val="en-US" w:eastAsia="zh-CN"/>
              </w:rPr>
            </w:pPr>
          </w:p>
        </w:tc>
      </w:tr>
      <w:tr w14:paraId="59C9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2F8C7A5F">
            <w:pPr>
              <w:jc w:val="center"/>
              <w:rPr>
                <w:rFonts w:hint="eastAsia"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ECT</w:t>
            </w:r>
          </w:p>
        </w:tc>
        <w:tc>
          <w:tcPr>
            <w:tcW w:w="1875" w:type="dxa"/>
            <w:vAlign w:val="top"/>
          </w:tcPr>
          <w:p w14:paraId="318C9776">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20E52A5E">
            <w:pPr>
              <w:jc w:val="center"/>
              <w:rPr>
                <w:rFonts w:hint="default" w:ascii="仿宋_GB2312" w:hAnsi="Times New Roman" w:eastAsia="仿宋_GB2312" w:cs="Times New Roman"/>
                <w:sz w:val="30"/>
                <w:szCs w:val="30"/>
                <w:vertAlign w:val="baseline"/>
                <w:lang w:val="en-US" w:eastAsia="zh-CN"/>
              </w:rPr>
            </w:pPr>
          </w:p>
        </w:tc>
        <w:tc>
          <w:tcPr>
            <w:tcW w:w="1567" w:type="dxa"/>
          </w:tcPr>
          <w:p w14:paraId="7AE786C7">
            <w:pPr>
              <w:jc w:val="center"/>
              <w:rPr>
                <w:rFonts w:hint="default" w:ascii="仿宋_GB2312" w:hAnsi="Times New Roman" w:eastAsia="仿宋_GB2312" w:cs="Times New Roman"/>
                <w:sz w:val="30"/>
                <w:szCs w:val="30"/>
                <w:vertAlign w:val="baseline"/>
                <w:lang w:val="en-US" w:eastAsia="zh-CN"/>
              </w:rPr>
            </w:pPr>
          </w:p>
        </w:tc>
        <w:tc>
          <w:tcPr>
            <w:tcW w:w="2473" w:type="dxa"/>
          </w:tcPr>
          <w:p w14:paraId="6440CB25">
            <w:pPr>
              <w:jc w:val="center"/>
              <w:rPr>
                <w:rFonts w:hint="default" w:ascii="仿宋_GB2312" w:hAnsi="Times New Roman" w:eastAsia="仿宋_GB2312" w:cs="Times New Roman"/>
                <w:sz w:val="30"/>
                <w:szCs w:val="30"/>
                <w:vertAlign w:val="baseline"/>
                <w:lang w:val="en-US" w:eastAsia="zh-CN"/>
              </w:rPr>
            </w:pPr>
          </w:p>
        </w:tc>
      </w:tr>
      <w:tr w14:paraId="4C15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71FA8A61">
            <w:pPr>
              <w:jc w:val="center"/>
              <w:rPr>
                <w:rFonts w:hint="eastAsia"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PET-CT</w:t>
            </w:r>
          </w:p>
        </w:tc>
        <w:tc>
          <w:tcPr>
            <w:tcW w:w="1875" w:type="dxa"/>
            <w:vAlign w:val="top"/>
          </w:tcPr>
          <w:p w14:paraId="4BDF4C14">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364B5CC8">
            <w:pPr>
              <w:jc w:val="center"/>
              <w:rPr>
                <w:rFonts w:hint="default" w:ascii="仿宋_GB2312" w:hAnsi="Times New Roman" w:eastAsia="仿宋_GB2312" w:cs="Times New Roman"/>
                <w:sz w:val="30"/>
                <w:szCs w:val="30"/>
                <w:vertAlign w:val="baseline"/>
                <w:lang w:val="en-US" w:eastAsia="zh-CN"/>
              </w:rPr>
            </w:pPr>
          </w:p>
        </w:tc>
        <w:tc>
          <w:tcPr>
            <w:tcW w:w="1567" w:type="dxa"/>
          </w:tcPr>
          <w:p w14:paraId="45CC3DF9">
            <w:pPr>
              <w:jc w:val="center"/>
              <w:rPr>
                <w:rFonts w:hint="default" w:ascii="仿宋_GB2312" w:hAnsi="Times New Roman" w:eastAsia="仿宋_GB2312" w:cs="Times New Roman"/>
                <w:sz w:val="30"/>
                <w:szCs w:val="30"/>
                <w:vertAlign w:val="baseline"/>
                <w:lang w:val="en-US" w:eastAsia="zh-CN"/>
              </w:rPr>
            </w:pPr>
          </w:p>
        </w:tc>
        <w:tc>
          <w:tcPr>
            <w:tcW w:w="2473" w:type="dxa"/>
          </w:tcPr>
          <w:p w14:paraId="2C4A34F0">
            <w:pPr>
              <w:jc w:val="center"/>
              <w:rPr>
                <w:rFonts w:hint="default" w:ascii="仿宋_GB2312" w:hAnsi="Times New Roman" w:eastAsia="仿宋_GB2312" w:cs="Times New Roman"/>
                <w:sz w:val="30"/>
                <w:szCs w:val="30"/>
                <w:vertAlign w:val="baseline"/>
                <w:lang w:val="en-US" w:eastAsia="zh-CN"/>
              </w:rPr>
            </w:pPr>
          </w:p>
        </w:tc>
      </w:tr>
      <w:tr w14:paraId="23CC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4A9F3360">
            <w:pPr>
              <w:jc w:val="center"/>
              <w:rPr>
                <w:rFonts w:hint="eastAsia"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后装治疗机</w:t>
            </w:r>
          </w:p>
        </w:tc>
        <w:tc>
          <w:tcPr>
            <w:tcW w:w="1875" w:type="dxa"/>
            <w:vAlign w:val="top"/>
          </w:tcPr>
          <w:p w14:paraId="1A1A9493">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5D4E3034">
            <w:pPr>
              <w:jc w:val="center"/>
              <w:rPr>
                <w:rFonts w:hint="default" w:ascii="仿宋_GB2312" w:hAnsi="Times New Roman" w:eastAsia="仿宋_GB2312" w:cs="Times New Roman"/>
                <w:sz w:val="30"/>
                <w:szCs w:val="30"/>
                <w:vertAlign w:val="baseline"/>
                <w:lang w:val="en-US" w:eastAsia="zh-CN"/>
              </w:rPr>
            </w:pPr>
          </w:p>
        </w:tc>
        <w:tc>
          <w:tcPr>
            <w:tcW w:w="1567" w:type="dxa"/>
          </w:tcPr>
          <w:p w14:paraId="51FD7127">
            <w:pPr>
              <w:jc w:val="center"/>
              <w:rPr>
                <w:rFonts w:hint="default" w:ascii="仿宋_GB2312" w:hAnsi="Times New Roman" w:eastAsia="仿宋_GB2312" w:cs="Times New Roman"/>
                <w:sz w:val="30"/>
                <w:szCs w:val="30"/>
                <w:vertAlign w:val="baseline"/>
                <w:lang w:val="en-US" w:eastAsia="zh-CN"/>
              </w:rPr>
            </w:pPr>
          </w:p>
        </w:tc>
        <w:tc>
          <w:tcPr>
            <w:tcW w:w="2473" w:type="dxa"/>
          </w:tcPr>
          <w:p w14:paraId="16354CA2">
            <w:pPr>
              <w:jc w:val="center"/>
              <w:rPr>
                <w:rFonts w:hint="default" w:ascii="仿宋_GB2312" w:hAnsi="Times New Roman" w:eastAsia="仿宋_GB2312" w:cs="Times New Roman"/>
                <w:sz w:val="30"/>
                <w:szCs w:val="30"/>
                <w:vertAlign w:val="baseline"/>
                <w:lang w:val="en-US" w:eastAsia="zh-CN"/>
              </w:rPr>
            </w:pPr>
          </w:p>
        </w:tc>
      </w:tr>
      <w:tr w14:paraId="6A1D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237DFB71">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TOMO</w:t>
            </w:r>
          </w:p>
        </w:tc>
        <w:tc>
          <w:tcPr>
            <w:tcW w:w="1875" w:type="dxa"/>
            <w:vAlign w:val="top"/>
          </w:tcPr>
          <w:p w14:paraId="2FDC1607">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25CDA749">
            <w:pPr>
              <w:jc w:val="center"/>
              <w:rPr>
                <w:rFonts w:hint="default" w:ascii="仿宋_GB2312" w:hAnsi="Times New Roman" w:eastAsia="仿宋_GB2312" w:cs="Times New Roman"/>
                <w:sz w:val="30"/>
                <w:szCs w:val="30"/>
                <w:vertAlign w:val="baseline"/>
                <w:lang w:val="en-US" w:eastAsia="zh-CN"/>
              </w:rPr>
            </w:pPr>
          </w:p>
        </w:tc>
        <w:tc>
          <w:tcPr>
            <w:tcW w:w="1567" w:type="dxa"/>
          </w:tcPr>
          <w:p w14:paraId="2C8DBDEC">
            <w:pPr>
              <w:jc w:val="center"/>
              <w:rPr>
                <w:rFonts w:hint="default" w:ascii="仿宋_GB2312" w:hAnsi="Times New Roman" w:eastAsia="仿宋_GB2312" w:cs="Times New Roman"/>
                <w:sz w:val="30"/>
                <w:szCs w:val="30"/>
                <w:vertAlign w:val="baseline"/>
                <w:lang w:val="en-US" w:eastAsia="zh-CN"/>
              </w:rPr>
            </w:pPr>
          </w:p>
        </w:tc>
        <w:tc>
          <w:tcPr>
            <w:tcW w:w="2473" w:type="dxa"/>
          </w:tcPr>
          <w:p w14:paraId="06ED39C1">
            <w:pPr>
              <w:jc w:val="center"/>
              <w:rPr>
                <w:rFonts w:hint="default" w:ascii="仿宋_GB2312" w:hAnsi="Times New Roman" w:eastAsia="仿宋_GB2312" w:cs="Times New Roman"/>
                <w:sz w:val="30"/>
                <w:szCs w:val="30"/>
                <w:vertAlign w:val="baseline"/>
                <w:lang w:val="en-US" w:eastAsia="zh-CN"/>
              </w:rPr>
            </w:pPr>
          </w:p>
        </w:tc>
      </w:tr>
      <w:tr w14:paraId="782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5" w:type="dxa"/>
            <w:vAlign w:val="top"/>
          </w:tcPr>
          <w:p w14:paraId="73E1BFDB">
            <w:pPr>
              <w:jc w:val="center"/>
              <w:rPr>
                <w:rFonts w:hint="eastAsia"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直线加速器</w:t>
            </w:r>
          </w:p>
        </w:tc>
        <w:tc>
          <w:tcPr>
            <w:tcW w:w="1875" w:type="dxa"/>
            <w:vAlign w:val="top"/>
          </w:tcPr>
          <w:p w14:paraId="652A428C">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0CE56EEB">
            <w:pPr>
              <w:jc w:val="center"/>
              <w:rPr>
                <w:rFonts w:hint="default" w:ascii="仿宋_GB2312" w:hAnsi="Times New Roman" w:eastAsia="仿宋_GB2312" w:cs="Times New Roman"/>
                <w:sz w:val="30"/>
                <w:szCs w:val="30"/>
                <w:vertAlign w:val="baseline"/>
                <w:lang w:val="en-US" w:eastAsia="zh-CN"/>
              </w:rPr>
            </w:pPr>
          </w:p>
        </w:tc>
        <w:tc>
          <w:tcPr>
            <w:tcW w:w="1567" w:type="dxa"/>
          </w:tcPr>
          <w:p w14:paraId="40347BF1">
            <w:pPr>
              <w:jc w:val="center"/>
              <w:rPr>
                <w:rFonts w:hint="default" w:ascii="仿宋_GB2312" w:hAnsi="Times New Roman" w:eastAsia="仿宋_GB2312" w:cs="Times New Roman"/>
                <w:sz w:val="30"/>
                <w:szCs w:val="30"/>
                <w:vertAlign w:val="baseline"/>
                <w:lang w:val="en-US" w:eastAsia="zh-CN"/>
              </w:rPr>
            </w:pPr>
          </w:p>
        </w:tc>
        <w:tc>
          <w:tcPr>
            <w:tcW w:w="2473" w:type="dxa"/>
          </w:tcPr>
          <w:p w14:paraId="5A15F0D6">
            <w:pPr>
              <w:jc w:val="center"/>
              <w:rPr>
                <w:rFonts w:hint="default" w:ascii="仿宋_GB2312" w:hAnsi="Times New Roman" w:eastAsia="仿宋_GB2312" w:cs="Times New Roman"/>
                <w:sz w:val="30"/>
                <w:szCs w:val="30"/>
                <w:vertAlign w:val="baseline"/>
                <w:lang w:val="en-US" w:eastAsia="zh-CN"/>
              </w:rPr>
            </w:pPr>
          </w:p>
        </w:tc>
      </w:tr>
      <w:tr w14:paraId="21FF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35" w:type="dxa"/>
            <w:vAlign w:val="top"/>
          </w:tcPr>
          <w:p w14:paraId="27A09CF8">
            <w:pPr>
              <w:jc w:val="center"/>
              <w:rPr>
                <w:rFonts w:hint="eastAsia"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其他Ⅱ类射线装置</w:t>
            </w:r>
          </w:p>
        </w:tc>
        <w:tc>
          <w:tcPr>
            <w:tcW w:w="1875" w:type="dxa"/>
            <w:vAlign w:val="top"/>
          </w:tcPr>
          <w:p w14:paraId="010B5B2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530" w:type="dxa"/>
          </w:tcPr>
          <w:p w14:paraId="095E7A8E">
            <w:pPr>
              <w:jc w:val="center"/>
              <w:rPr>
                <w:rFonts w:hint="default" w:ascii="仿宋_GB2312" w:hAnsi="Times New Roman" w:eastAsia="仿宋_GB2312" w:cs="Times New Roman"/>
                <w:sz w:val="30"/>
                <w:szCs w:val="30"/>
                <w:vertAlign w:val="baseline"/>
                <w:lang w:val="en-US" w:eastAsia="zh-CN"/>
              </w:rPr>
            </w:pPr>
          </w:p>
        </w:tc>
        <w:tc>
          <w:tcPr>
            <w:tcW w:w="1567" w:type="dxa"/>
          </w:tcPr>
          <w:p w14:paraId="7CC28EB2">
            <w:pPr>
              <w:jc w:val="center"/>
              <w:rPr>
                <w:rFonts w:hint="default" w:ascii="仿宋_GB2312" w:hAnsi="Times New Roman" w:eastAsia="仿宋_GB2312" w:cs="Times New Roman"/>
                <w:sz w:val="30"/>
                <w:szCs w:val="30"/>
                <w:vertAlign w:val="baseline"/>
                <w:lang w:val="en-US" w:eastAsia="zh-CN"/>
              </w:rPr>
            </w:pPr>
          </w:p>
        </w:tc>
        <w:tc>
          <w:tcPr>
            <w:tcW w:w="2473" w:type="dxa"/>
          </w:tcPr>
          <w:p w14:paraId="6AA4FCE1">
            <w:pPr>
              <w:jc w:val="center"/>
              <w:rPr>
                <w:rFonts w:hint="default" w:ascii="仿宋_GB2312" w:hAnsi="Times New Roman" w:eastAsia="仿宋_GB2312" w:cs="Times New Roman"/>
                <w:sz w:val="30"/>
                <w:szCs w:val="30"/>
                <w:vertAlign w:val="baseline"/>
                <w:lang w:val="en-US" w:eastAsia="zh-CN"/>
              </w:rPr>
            </w:pPr>
          </w:p>
        </w:tc>
      </w:tr>
    </w:tbl>
    <w:p w14:paraId="73746E60">
      <w:pPr>
        <w:keepNext w:val="0"/>
        <w:keepLines w:val="0"/>
        <w:pageBreakBefore w:val="0"/>
        <w:kinsoku/>
        <w:wordWrap/>
        <w:overflowPunct/>
        <w:topLinePunct w:val="0"/>
        <w:autoSpaceDE/>
        <w:autoSpaceDN/>
        <w:bidi w:val="0"/>
        <w:snapToGrid/>
        <w:spacing w:line="440" w:lineRule="exact"/>
        <w:textAlignment w:val="auto"/>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8EF7"/>
    <w:multiLevelType w:val="singleLevel"/>
    <w:tmpl w:val="8D778EF7"/>
    <w:lvl w:ilvl="0" w:tentative="0">
      <w:start w:val="1"/>
      <w:numFmt w:val="decimal"/>
      <w:suff w:val="nothing"/>
      <w:lvlText w:val="%1．"/>
      <w:lvlJc w:val="left"/>
      <w:pPr>
        <w:ind w:left="0" w:firstLine="400"/>
      </w:pPr>
      <w:rPr>
        <w:rFonts w:hint="default"/>
      </w:rPr>
    </w:lvl>
  </w:abstractNum>
  <w:abstractNum w:abstractNumId="1">
    <w:nsid w:val="9F4C8BBD"/>
    <w:multiLevelType w:val="singleLevel"/>
    <w:tmpl w:val="9F4C8BBD"/>
    <w:lvl w:ilvl="0" w:tentative="0">
      <w:start w:val="1"/>
      <w:numFmt w:val="decimal"/>
      <w:suff w:val="nothing"/>
      <w:lvlText w:val="%1．"/>
      <w:lvlJc w:val="left"/>
      <w:pPr>
        <w:ind w:left="0" w:firstLine="400"/>
      </w:pPr>
      <w:rPr>
        <w:rFonts w:hint="default"/>
      </w:rPr>
    </w:lvl>
  </w:abstractNum>
  <w:abstractNum w:abstractNumId="2">
    <w:nsid w:val="AD0B3911"/>
    <w:multiLevelType w:val="singleLevel"/>
    <w:tmpl w:val="AD0B3911"/>
    <w:lvl w:ilvl="0" w:tentative="0">
      <w:start w:val="1"/>
      <w:numFmt w:val="decimal"/>
      <w:suff w:val="nothing"/>
      <w:lvlText w:val="%1．"/>
      <w:lvlJc w:val="left"/>
      <w:pPr>
        <w:ind w:left="0" w:firstLine="400"/>
      </w:pPr>
      <w:rPr>
        <w:rFonts w:hint="default"/>
      </w:rPr>
    </w:lvl>
  </w:abstractNum>
  <w:abstractNum w:abstractNumId="3">
    <w:nsid w:val="B023430D"/>
    <w:multiLevelType w:val="singleLevel"/>
    <w:tmpl w:val="B023430D"/>
    <w:lvl w:ilvl="0" w:tentative="0">
      <w:start w:val="1"/>
      <w:numFmt w:val="decimal"/>
      <w:suff w:val="nothing"/>
      <w:lvlText w:val="%1．"/>
      <w:lvlJc w:val="left"/>
      <w:pPr>
        <w:ind w:left="0" w:firstLine="400"/>
      </w:pPr>
      <w:rPr>
        <w:rFonts w:hint="default"/>
      </w:rPr>
    </w:lvl>
  </w:abstractNum>
  <w:abstractNum w:abstractNumId="4">
    <w:nsid w:val="CF3E3AD2"/>
    <w:multiLevelType w:val="singleLevel"/>
    <w:tmpl w:val="CF3E3AD2"/>
    <w:lvl w:ilvl="0" w:tentative="0">
      <w:start w:val="1"/>
      <w:numFmt w:val="chineseCounting"/>
      <w:suff w:val="nothing"/>
      <w:lvlText w:val="%1、"/>
      <w:lvlJc w:val="left"/>
      <w:pPr>
        <w:ind w:left="0" w:firstLine="420"/>
      </w:pPr>
      <w:rPr>
        <w:rFonts w:hint="eastAsia"/>
      </w:rPr>
    </w:lvl>
  </w:abstractNum>
  <w:abstractNum w:abstractNumId="5">
    <w:nsid w:val="E94A62BF"/>
    <w:multiLevelType w:val="singleLevel"/>
    <w:tmpl w:val="E94A62BF"/>
    <w:lvl w:ilvl="0" w:tentative="0">
      <w:start w:val="1"/>
      <w:numFmt w:val="decimal"/>
      <w:suff w:val="nothing"/>
      <w:lvlText w:val="%1．"/>
      <w:lvlJc w:val="left"/>
      <w:pPr>
        <w:ind w:left="0" w:firstLine="400"/>
      </w:pPr>
      <w:rPr>
        <w:rFonts w:hint="default"/>
      </w:rPr>
    </w:lvl>
  </w:abstractNum>
  <w:abstractNum w:abstractNumId="6">
    <w:nsid w:val="EC3E1165"/>
    <w:multiLevelType w:val="singleLevel"/>
    <w:tmpl w:val="EC3E1165"/>
    <w:lvl w:ilvl="0" w:tentative="0">
      <w:start w:val="1"/>
      <w:numFmt w:val="decimal"/>
      <w:suff w:val="nothing"/>
      <w:lvlText w:val="%1．"/>
      <w:lvlJc w:val="left"/>
      <w:pPr>
        <w:ind w:left="0" w:firstLine="400"/>
      </w:pPr>
      <w:rPr>
        <w:rFonts w:hint="default"/>
      </w:rPr>
    </w:lvl>
  </w:abstractNum>
  <w:abstractNum w:abstractNumId="7">
    <w:nsid w:val="493A7687"/>
    <w:multiLevelType w:val="singleLevel"/>
    <w:tmpl w:val="493A7687"/>
    <w:lvl w:ilvl="0" w:tentative="0">
      <w:start w:val="1"/>
      <w:numFmt w:val="decimal"/>
      <w:suff w:val="nothing"/>
      <w:lvlText w:val="%1．"/>
      <w:lvlJc w:val="left"/>
      <w:pPr>
        <w:ind w:left="0" w:firstLine="400"/>
      </w:pPr>
      <w:rPr>
        <w:rFonts w:hint="default"/>
      </w:rPr>
    </w:lvl>
  </w:abstractNum>
  <w:abstractNum w:abstractNumId="8">
    <w:nsid w:val="4F3F46E8"/>
    <w:multiLevelType w:val="singleLevel"/>
    <w:tmpl w:val="4F3F46E8"/>
    <w:lvl w:ilvl="0" w:tentative="0">
      <w:start w:val="1"/>
      <w:numFmt w:val="decimal"/>
      <w:suff w:val="nothing"/>
      <w:lvlText w:val="%1．"/>
      <w:lvlJc w:val="left"/>
      <w:pPr>
        <w:ind w:left="0" w:firstLine="400"/>
      </w:pPr>
      <w:rPr>
        <w:rFonts w:hint="default"/>
      </w:rPr>
    </w:lvl>
  </w:abstractNum>
  <w:abstractNum w:abstractNumId="9">
    <w:nsid w:val="6ED4AB6B"/>
    <w:multiLevelType w:val="singleLevel"/>
    <w:tmpl w:val="6ED4AB6B"/>
    <w:lvl w:ilvl="0" w:tentative="0">
      <w:start w:val="1"/>
      <w:numFmt w:val="chineseCounting"/>
      <w:suff w:val="nothing"/>
      <w:lvlText w:val="（%1）"/>
      <w:lvlJc w:val="left"/>
      <w:pPr>
        <w:ind w:left="0" w:firstLine="420"/>
      </w:pPr>
      <w:rPr>
        <w:rFonts w:hint="eastAsia"/>
      </w:rPr>
    </w:lvl>
  </w:abstractNum>
  <w:abstractNum w:abstractNumId="10">
    <w:nsid w:val="77AA4729"/>
    <w:multiLevelType w:val="singleLevel"/>
    <w:tmpl w:val="77AA4729"/>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3"/>
  </w:num>
  <w:num w:numId="4">
    <w:abstractNumId w:val="9"/>
  </w:num>
  <w:num w:numId="5">
    <w:abstractNumId w:val="0"/>
  </w:num>
  <w:num w:numId="6">
    <w:abstractNumId w:val="10"/>
  </w:num>
  <w:num w:numId="7">
    <w:abstractNumId w:val="5"/>
  </w:num>
  <w:num w:numId="8">
    <w:abstractNumId w:val="2"/>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118A"/>
    <w:rsid w:val="23B71230"/>
    <w:rsid w:val="2BCF5B78"/>
    <w:rsid w:val="323B2E5E"/>
    <w:rsid w:val="34FF745B"/>
    <w:rsid w:val="36ED5DF0"/>
    <w:rsid w:val="47A853FD"/>
    <w:rsid w:val="4C4D37AF"/>
    <w:rsid w:val="612A21A8"/>
    <w:rsid w:val="61507F84"/>
    <w:rsid w:val="66D11035"/>
    <w:rsid w:val="7D14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文本首行缩进1"/>
    <w:basedOn w:val="5"/>
    <w:qFormat/>
    <w:uiPriority w:val="0"/>
    <w:pPr>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1948</Words>
  <Characters>2075</Characters>
  <Lines>0</Lines>
  <Paragraphs>0</Paragraphs>
  <TotalTime>60</TotalTime>
  <ScaleCrop>false</ScaleCrop>
  <LinksUpToDate>false</LinksUpToDate>
  <CharactersWithSpaces>2182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2025-07-01T02:43:00Z</dcterms:created>
  <dc:creator>Administrator</dc:creator>
  <cp:lastModifiedBy>加深</cp:lastModifiedBy>
  <cp:lastPrinted>2025-08-07T01:35:00Z</cp:lastPrinted>
  <dcterms:modified xsi:type="dcterms:W3CDTF">2025-08-08T01:17:16Z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5898A8B7F2A147CFB0D7D68D57FF00B4_12</vt:lpwstr>
  </property>
  <property fmtid="{D5CDD505-2E9C-101B-9397-08002B2CF9AE}" pid="4" name="KSOTemplateDocerSaveRecord">
    <vt:lpwstr>eyJoZGlkIjoiNmFkNzM0MjEyYTJlMGViYTU0N2EyNjMzYjM3OTNmZjIiLCJ1c2VySWQiOiIzNTY0MzY5ODAifQ==</vt:lpwstr>
  </property>
</Properties>
</file>