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总院急诊120车</w:t>
      </w:r>
      <w:bookmarkStart w:id="0" w:name="_GoBack"/>
      <w:bookmarkEnd w:id="0"/>
      <w:r>
        <w:rPr>
          <w:rFonts w:hint="eastAsia" w:ascii="黑体" w:hAnsi="黑体" w:eastAsia="黑体" w:cs="黑体"/>
          <w:b/>
          <w:sz w:val="36"/>
          <w:szCs w:val="36"/>
          <w:lang w:val="en-US" w:eastAsia="zh-CN"/>
        </w:rPr>
        <w:t>棚采购安装项目</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 xml:space="preserve"> 总院急诊120车棚采购安装项目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总院急诊120车棚采购安装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总院住院楼，该项目包含：主柱(单侧)</w:t>
      </w:r>
      <w:r>
        <w:rPr>
          <w:rFonts w:hint="eastAsia" w:asciiTheme="minorEastAsia" w:hAnsiTheme="minorEastAsia" w:cstheme="minorEastAsia"/>
          <w:sz w:val="28"/>
          <w:szCs w:val="28"/>
          <w:vertAlign w:val="baseline"/>
          <w:lang w:val="en-US" w:eastAsia="zh-CN"/>
        </w:rPr>
        <w:t>共计4根、天沟设置、PVC膜材约103.2㎡以及部分车位线延长</w:t>
      </w:r>
      <w:r>
        <w:rPr>
          <w:rFonts w:hint="eastAsia" w:asciiTheme="minorEastAsia" w:hAnsiTheme="minorEastAsia" w:eastAsiaTheme="minorEastAsia" w:cstheme="minorEastAsia"/>
          <w:sz w:val="28"/>
          <w:szCs w:val="28"/>
          <w:vertAlign w:val="baseline"/>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Theme="minorEastAsia" w:hAnsiTheme="minorEastAsia" w:eastAsiaTheme="minorEastAsia" w:cstheme="minorEastAsia"/>
          <w:sz w:val="28"/>
          <w:szCs w:val="28"/>
          <w:lang w:val="en-US" w:eastAsia="zh-CN"/>
        </w:rPr>
        <w:t>项目为</w:t>
      </w:r>
      <w:r>
        <w:rPr>
          <w:rFonts w:hint="eastAsia" w:asciiTheme="minorEastAsia" w:hAnsiTheme="minorEastAsia" w:eastAsiaTheme="minorEastAsia" w:cstheme="minorEastAsia"/>
          <w:sz w:val="28"/>
          <w:szCs w:val="28"/>
          <w:vertAlign w:val="baseline"/>
          <w:lang w:val="en-US" w:eastAsia="zh-CN"/>
        </w:rPr>
        <w:t>总院急诊120车棚采购安装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总院住院楼，该项目包含：主柱(单侧)</w:t>
      </w:r>
      <w:r>
        <w:rPr>
          <w:rFonts w:hint="eastAsia" w:asciiTheme="minorEastAsia" w:hAnsiTheme="minorEastAsia" w:cstheme="minorEastAsia"/>
          <w:sz w:val="28"/>
          <w:szCs w:val="28"/>
          <w:vertAlign w:val="baseline"/>
          <w:lang w:val="en-US" w:eastAsia="zh-CN"/>
        </w:rPr>
        <w:t>共计4根、天沟设置、PVC膜材约103.2㎡以及部分车位线延长</w:t>
      </w:r>
      <w:r>
        <w:rPr>
          <w:rFonts w:hint="eastAsia" w:asciiTheme="minorEastAsia" w:hAnsiTheme="minorEastAsia" w:eastAsiaTheme="minorEastAsia" w:cstheme="minorEastAsia"/>
          <w:sz w:val="28"/>
          <w:szCs w:val="28"/>
          <w:vertAlign w:val="baseline"/>
          <w:lang w:val="en-US" w:eastAsia="zh-CN"/>
        </w:rPr>
        <w:t>等</w:t>
      </w:r>
      <w:r>
        <w:rPr>
          <w:rFonts w:hint="eastAsia" w:asciiTheme="minorEastAsia" w:hAnsiTheme="minorEastAsia" w:cstheme="minorEastAsia"/>
          <w:sz w:val="28"/>
          <w:szCs w:val="28"/>
          <w:vertAlign w:val="baseline"/>
          <w:lang w:val="en-US" w:eastAsia="zh-CN"/>
        </w:rPr>
        <w:t>，具体工程量清单如下</w:t>
      </w:r>
      <w:r>
        <w:rPr>
          <w:rFonts w:hint="eastAsia" w:hAnsi="宋体" w:eastAsia="宋体" w:cs="宋体"/>
          <w:b w:val="0"/>
          <w:bCs w:val="0"/>
          <w:sz w:val="28"/>
          <w:szCs w:val="28"/>
          <w:lang w:val="en-US" w:eastAsia="zh-CN"/>
        </w:rPr>
        <w:t>：</w:t>
      </w:r>
    </w:p>
    <w:p>
      <w:pPr>
        <w:pStyle w:val="2"/>
        <w:rPr>
          <w:rFonts w:hint="eastAsia" w:ascii="宋体" w:hAnsi="宋体" w:eastAsia="宋体" w:cs="宋体"/>
          <w:b w:val="0"/>
          <w:bCs w:val="0"/>
          <w:sz w:val="28"/>
          <w:szCs w:val="28"/>
          <w:lang w:val="en-US" w:eastAsia="zh-CN"/>
        </w:rPr>
      </w:pPr>
    </w:p>
    <w:p>
      <w:pPr>
        <w:pStyle w:val="2"/>
        <w:rPr>
          <w:rFonts w:hint="default"/>
          <w:lang w:val="en-US" w:eastAsia="zh-CN"/>
        </w:rPr>
      </w:pPr>
      <w:r>
        <w:rPr>
          <w:rFonts w:hint="eastAsia" w:ascii="宋体" w:hAnsi="宋体" w:eastAsia="宋体" w:cs="宋体"/>
          <w:b w:val="0"/>
          <w:bCs w:val="0"/>
          <w:sz w:val="28"/>
          <w:szCs w:val="28"/>
          <w:lang w:val="en-US" w:eastAsia="zh-CN"/>
        </w:rPr>
        <w:t>工程量清单</w:t>
      </w:r>
    </w:p>
    <w:tbl>
      <w:tblPr>
        <w:tblStyle w:val="6"/>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1799"/>
        <w:gridCol w:w="5025"/>
        <w:gridCol w:w="85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主柱(单侧)</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H（450-120）*120*5.5*5.5(最终尺寸参数以图纸为准)、加工费、安装人工</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天沟</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钢板、折弯加工费，安装费</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前后横管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89*3圆管、安装人工</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中间横管</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60*2.5圆管、弯管加工，安装人工</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油漆</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两层环氧富锌底、两层丙烯酸面、喷涂人工</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辅材</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焊条、磨片、耗损等</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PVC膜材</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1100gPVDF膜材（B1级阻燃0.85厚）、安装人工</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平方</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配件</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铝压条、不锈钢自攻螺丝</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柱脚基础</w:t>
            </w:r>
          </w:p>
        </w:tc>
        <w:tc>
          <w:tcPr>
            <w:tcW w:w="5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预埋钢筋结构件、1m*1m*1m混凝土回填，底板450*450*12mm</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1.应标方负责项目所有材料和辅材的采购、运输及安装；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76709C"/>
    <w:rsid w:val="029006F1"/>
    <w:rsid w:val="03435C52"/>
    <w:rsid w:val="041744FB"/>
    <w:rsid w:val="042621F8"/>
    <w:rsid w:val="04316FD5"/>
    <w:rsid w:val="047E1FB9"/>
    <w:rsid w:val="05B0028B"/>
    <w:rsid w:val="05C74289"/>
    <w:rsid w:val="05CF3057"/>
    <w:rsid w:val="061050F6"/>
    <w:rsid w:val="06D663A6"/>
    <w:rsid w:val="093A4EED"/>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D492FF0"/>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3</TotalTime>
  <ScaleCrop>false</ScaleCrop>
  <LinksUpToDate>false</LinksUpToDate>
  <CharactersWithSpaces>885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2025-08-01T09:17:02Z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