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40706"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柳州市工人医院</w:t>
      </w:r>
      <w:r>
        <w:rPr>
          <w:rFonts w:hint="eastAsia" w:ascii="仿宋" w:hAnsi="仿宋" w:eastAsia="仿宋" w:cs="仿宋"/>
          <w:b/>
          <w:color w:val="C00000"/>
          <w:sz w:val="36"/>
          <w:szCs w:val="36"/>
          <w:lang w:val="en-US" w:eastAsia="zh-CN"/>
        </w:rPr>
        <w:t>染色体高通量测序分析（CNV-Seq）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及脊髓性肌萎缩症（SMA）检测外送服务采购项目需求</w:t>
      </w:r>
    </w:p>
    <w:p w14:paraId="38A74054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C14879E">
      <w:pPr>
        <w:bidi w:val="0"/>
        <w:rPr>
          <w:lang w:val="en-US" w:eastAsia="zh-CN"/>
        </w:rPr>
      </w:pPr>
    </w:p>
    <w:p w14:paraId="560BB154"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 w14:paraId="6A602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项目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名称</w:t>
      </w:r>
    </w:p>
    <w:p w14:paraId="57EE0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柳州市工人医院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  <w:t>染色体高通量测序分析（CNV-Seq）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及脊髓性肌萎缩症（SMA）检测外送服务采购项目</w:t>
      </w:r>
    </w:p>
    <w:p w14:paraId="2A85D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、投标人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/供应商资格条件</w:t>
      </w:r>
    </w:p>
    <w:p w14:paraId="47CF5620">
      <w:pPr>
        <w:pStyle w:val="7"/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投标人需为国内注册（指按国家有关规定要求注册的）生产或经营本次招标服务、具备法人资格的服务商，具有有效的医疗机构执业许可证</w:t>
      </w:r>
    </w:p>
    <w:p w14:paraId="27CE5903">
      <w:pPr>
        <w:pStyle w:val="7"/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yellow"/>
          <w:lang w:val="en-US" w:eastAsia="zh-CN"/>
        </w:rPr>
        <w:t>投标人通过了PCR实验室的验收；需提供相关证明文件；</w:t>
      </w:r>
    </w:p>
    <w:p w14:paraId="7BDA9A12">
      <w:pPr>
        <w:pStyle w:val="7"/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投标人三年内在经营活动中没有重大违法记录和不良信用记录。</w:t>
      </w:r>
    </w:p>
    <w:p w14:paraId="6D514E45">
      <w:pPr>
        <w:pStyle w:val="7"/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投标人有效的“营业执照”副本复印件。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ab/>
      </w:r>
    </w:p>
    <w:p w14:paraId="5B939D73">
      <w:pPr>
        <w:pStyle w:val="7"/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投标人有效的“税务登记证”副本复印件。</w:t>
      </w:r>
    </w:p>
    <w:p w14:paraId="07025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三、项目概况</w:t>
      </w:r>
    </w:p>
    <w:p w14:paraId="413EA371">
      <w:pPr>
        <w:pStyle w:val="7"/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目前我院尚未自行开展该项目,特申请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采购</w:t>
      </w:r>
      <w:r>
        <w:rPr>
          <w:rFonts w:hint="default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第三方检测机构开展</w:t>
      </w:r>
      <w:r>
        <w:rPr>
          <w:rFonts w:hint="eastAsia" w:ascii="仿宋" w:hAnsi="仿宋" w:eastAsia="仿宋" w:cs="仿宋"/>
          <w:b w:val="0"/>
          <w:bCs w:val="0"/>
          <w:color w:val="C00000"/>
          <w:sz w:val="24"/>
          <w:szCs w:val="24"/>
          <w:highlight w:val="none"/>
          <w:lang w:val="en-US" w:eastAsia="zh-CN"/>
        </w:rPr>
        <w:t>染色体高通量测序分析（CNV-Seq）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及脊髓性肌萎缩症（SMA）外送</w:t>
      </w:r>
      <w:r>
        <w:rPr>
          <w:rFonts w:hint="default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检测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服务。</w:t>
      </w:r>
    </w:p>
    <w:p w14:paraId="17E0946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项目内容及报价要求</w:t>
      </w:r>
    </w:p>
    <w:p w14:paraId="74AC03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tbl>
      <w:tblPr>
        <w:tblStyle w:val="5"/>
        <w:tblW w:w="10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900"/>
        <w:gridCol w:w="3738"/>
        <w:gridCol w:w="1020"/>
        <w:gridCol w:w="975"/>
        <w:gridCol w:w="1925"/>
      </w:tblGrid>
      <w:tr w14:paraId="4809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2" w:type="dxa"/>
          </w:tcPr>
          <w:p w14:paraId="7F078DB4">
            <w:pPr>
              <w:pStyle w:val="2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00" w:type="dxa"/>
          </w:tcPr>
          <w:p w14:paraId="26031981">
            <w:pPr>
              <w:pStyle w:val="2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738" w:type="dxa"/>
          </w:tcPr>
          <w:p w14:paraId="7AA3A17F">
            <w:pPr>
              <w:pStyle w:val="2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检测范围</w:t>
            </w:r>
          </w:p>
        </w:tc>
        <w:tc>
          <w:tcPr>
            <w:tcW w:w="1020" w:type="dxa"/>
          </w:tcPr>
          <w:p w14:paraId="1B463C4A">
            <w:pPr>
              <w:pStyle w:val="2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75" w:type="dxa"/>
          </w:tcPr>
          <w:p w14:paraId="5CB68622">
            <w:pPr>
              <w:pStyle w:val="2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925" w:type="dxa"/>
          </w:tcPr>
          <w:p w14:paraId="4A8892A4">
            <w:pPr>
              <w:pStyle w:val="2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备注（报告周期）</w:t>
            </w:r>
          </w:p>
        </w:tc>
      </w:tr>
      <w:tr w14:paraId="5A18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82" w:type="dxa"/>
          </w:tcPr>
          <w:p w14:paraId="71BDA852">
            <w:pPr>
              <w:pStyle w:val="2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00" w:type="dxa"/>
          </w:tcPr>
          <w:p w14:paraId="7A348A0B">
            <w:pPr>
              <w:pStyle w:val="2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C00000"/>
                <w:sz w:val="24"/>
                <w:szCs w:val="24"/>
                <w:lang w:val="en-US" w:eastAsia="zh-CN"/>
              </w:rPr>
              <w:t>染色体高通量测序分析（CNV-Seq）</w:t>
            </w:r>
          </w:p>
        </w:tc>
        <w:tc>
          <w:tcPr>
            <w:tcW w:w="3738" w:type="dxa"/>
          </w:tcPr>
          <w:p w14:paraId="6DF3165B">
            <w:pPr>
              <w:pStyle w:val="2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  <w:t>由染色体非整倍体或100kb以上已知的基因组拷贝数变异（CNVs）导致的疾病</w:t>
            </w:r>
          </w:p>
        </w:tc>
        <w:tc>
          <w:tcPr>
            <w:tcW w:w="1020" w:type="dxa"/>
          </w:tcPr>
          <w:p w14:paraId="77C33EAB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  <w:t>例</w:t>
            </w:r>
          </w:p>
        </w:tc>
        <w:tc>
          <w:tcPr>
            <w:tcW w:w="975" w:type="dxa"/>
          </w:tcPr>
          <w:p w14:paraId="158E7C03"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 w14:paraId="0567D842"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189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82" w:type="dxa"/>
          </w:tcPr>
          <w:p w14:paraId="2D985F3D">
            <w:pPr>
              <w:pStyle w:val="2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00" w:type="dxa"/>
          </w:tcPr>
          <w:p w14:paraId="19AD9A78">
            <w:pPr>
              <w:pStyle w:val="2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脊髓性肌萎缩症（SMA）</w:t>
            </w:r>
          </w:p>
        </w:tc>
        <w:tc>
          <w:tcPr>
            <w:tcW w:w="3738" w:type="dxa"/>
          </w:tcPr>
          <w:p w14:paraId="3410014C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yellow"/>
                <w:vertAlign w:val="baseline"/>
                <w:lang w:val="en-US" w:eastAsia="zh-CN" w:bidi="ar-SA"/>
              </w:rPr>
              <w:t>运动神经元存活基因1（SMN1）外显子缺失检测</w:t>
            </w:r>
          </w:p>
        </w:tc>
        <w:tc>
          <w:tcPr>
            <w:tcW w:w="1020" w:type="dxa"/>
          </w:tcPr>
          <w:p w14:paraId="4DF58704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  <w:t>例</w:t>
            </w:r>
          </w:p>
        </w:tc>
        <w:tc>
          <w:tcPr>
            <w:tcW w:w="975" w:type="dxa"/>
          </w:tcPr>
          <w:p w14:paraId="41B62DAF"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 w14:paraId="0CF5ACE7"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91C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40" w:type="dxa"/>
            <w:gridSpan w:val="4"/>
          </w:tcPr>
          <w:p w14:paraId="71D2E99A">
            <w:pPr>
              <w:pStyle w:val="2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合计单价（元）：</w:t>
            </w:r>
          </w:p>
        </w:tc>
        <w:tc>
          <w:tcPr>
            <w:tcW w:w="975" w:type="dxa"/>
          </w:tcPr>
          <w:p w14:paraId="04152174"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 w14:paraId="2F201544"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F6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340" w:type="dxa"/>
            <w:gridSpan w:val="6"/>
          </w:tcPr>
          <w:p w14:paraId="12870AF2"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报价含人工费、材料费、运输费、管理费、保险、利润、税金等为完成本项目所需的所有</w:t>
            </w:r>
          </w:p>
        </w:tc>
      </w:tr>
    </w:tbl>
    <w:p w14:paraId="3308AD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6ADDBC7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  <w:t>染色体高通量测序分析（CNV-Seq）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技术要求</w:t>
      </w:r>
    </w:p>
    <w:p w14:paraId="1E3F268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检测机构符合临床基因扩增检验实验室技术服务的基本要求、提供相关证明材料。</w:t>
      </w:r>
    </w:p>
    <w:p w14:paraId="7441DB5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须为投标机构自身实验室检测，检测机构所使用核心设备具有医疗器械注册证，需提供注册证复印件及测序仪产权证明。</w:t>
      </w:r>
    </w:p>
    <w:p w14:paraId="0990F4F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至少每季提供一次能证明检验结果可靠性的总结材料和年终总结。</w:t>
      </w:r>
    </w:p>
    <w:p w14:paraId="6301BD4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提供检测所需试剂和设备的厂家和方法学。</w:t>
      </w:r>
    </w:p>
    <w:p w14:paraId="71031DE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样本处理及运送要求：能够处理多种样本类型，包括产前（绒毛、羊水、脐血）及外周血、胚胎等样本；有网上自助服务系统查询，方便及时跟踪样品实验情况；提供免费的物流服务及完整的物流方案。</w:t>
      </w:r>
    </w:p>
    <w:p w14:paraId="2D97266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  <w:t>测序质量、数据库要求：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具备中国人CNV大数据库（收录正常人＞90万，患者＞4万）作为注释解读的支撑。公共数据库的更新速度以季度为单位，实验室的数据库包括文献及案例，实时更新、积累；拥有基于最新ACMG指南的CNV自动打分评级系统；具有人工智能撰写报告功能，且此功能基于20万份临床报告的深度学习完成；技术上可检测低至5%的非整倍体嵌合体，该检测性应进行了方法学论证，并提供SCI发表的文章复印件。产前诊断临床样本量不少于15万例，临床已解读的报告总数不少于20万例，已有临床实践大数据验证，对比此技术与CMA在检测CNVs上的检测效能符合率为100%，提供证明文件。具有专业的生信分析团队及遗传咨询团队，并具有专业的遗传咨询证书，需提供证书复印件。具有丰富的临床经验，与超过上百家产前诊断医院合作；发表CNV相关的科研文章不少于15篇，并提供文献列表及索引号等。相关检测项目在省级卫生和计划生育委进行过技术备案，提供相关证明材料。</w:t>
      </w:r>
    </w:p>
    <w:p w14:paraId="22DAB6A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  <w:t>报告要求：出报告单位为产前诊断中心，并有临床医师签名，提供相关证明文件。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收到样本后12个工作日发布报告；针对检测结果提供相应的遗传咨询报告及遗传咨询服务。</w:t>
      </w:r>
    </w:p>
    <w:p w14:paraId="1B8C2A0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  <w:t>其它要求：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按照国家检验规范进行操作，确保全程操作无污染；具有完善的客户服务体系，能够及时解决客户的各种问题及咨询。</w:t>
      </w:r>
    </w:p>
    <w:p w14:paraId="4492C11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至少每季提供一次能证明检验结果可靠性的总结材料和年终总结。</w:t>
      </w:r>
    </w:p>
    <w:p w14:paraId="1BBCC35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提供检测所需试剂和设备的厂家和方法学。</w:t>
      </w:r>
    </w:p>
    <w:p w14:paraId="6C47084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脊髓型肌肉萎缩症（SMA）检测技术要求</w:t>
      </w:r>
    </w:p>
    <w:p w14:paraId="0F1B334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 xml:space="preserve"> 检测机构符合临床基因扩增检验实验室技术服务的基本要求、提供相关证明材料</w:t>
      </w:r>
    </w:p>
    <w:p w14:paraId="762952B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样本处理及运送要求：能够处理外周血样本；提供免费的物流服务及完整的物流方案。</w:t>
      </w:r>
    </w:p>
    <w:p w14:paraId="08131A3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测序质量、数据库要求：服务项目对SMN1基因的7号以及8号外显子进行准确拷贝数定量，可以判断测试者是否为致病基因携带者。服务所用方法需获得CFDA认证；服务所用方法安全性高，全程闭管操作、避免污染。服务项目采用标准化结果判读，提高结果精准度。</w:t>
      </w:r>
    </w:p>
    <w:p w14:paraId="1E9B091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 xml:space="preserve"> 报告要求：纸质报告出具时间不超过12天；对于双携带者家庭，服务供应商可以提供免费产前诊断，并可出具产前诊断中心的检测报告。</w:t>
      </w:r>
    </w:p>
    <w:p w14:paraId="6B72663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其它要求：按照国家检验规范进行操作，确保全程操作无污染；具有完善的客户服务体系，能够及时解决客户的各种问题及咨询。</w:t>
      </w:r>
    </w:p>
    <w:p w14:paraId="0E54A5C4">
      <w:pPr>
        <w:pStyle w:val="7"/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1、投标人能及时响应招标方技术需求，确保2小时内到达现场，能委派专业技术人员（具备丰富的</w:t>
      </w:r>
      <w:r>
        <w:rPr>
          <w:rFonts w:hint="eastAsia" w:ascii="仿宋" w:hAnsi="仿宋" w:eastAsia="仿宋" w:cs="仿宋"/>
          <w:b w:val="0"/>
          <w:bCs w:val="0"/>
          <w:color w:val="C00000"/>
          <w:sz w:val="24"/>
          <w:szCs w:val="24"/>
          <w:highlight w:val="none"/>
          <w:lang w:val="en-US" w:eastAsia="zh-CN"/>
        </w:rPr>
        <w:t>染色体高通量测序分析（CNV-Seq）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及脊髓性肌萎缩症（SMA）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测序实验操作及数据分析能力）专职提供技术服务；</w:t>
      </w:r>
    </w:p>
    <w:p w14:paraId="629F5574">
      <w:pPr>
        <w:pStyle w:val="7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2、投标人可针对</w:t>
      </w:r>
      <w:r>
        <w:rPr>
          <w:rFonts w:hint="eastAsia" w:ascii="仿宋" w:hAnsi="仿宋" w:eastAsia="仿宋" w:cs="仿宋"/>
          <w:b w:val="0"/>
          <w:bCs w:val="0"/>
          <w:color w:val="C00000"/>
          <w:sz w:val="24"/>
          <w:szCs w:val="24"/>
          <w:highlight w:val="none"/>
          <w:lang w:val="en-US" w:eastAsia="zh-CN"/>
        </w:rPr>
        <w:t>染色体高通量测序分析（CNV-Seq）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及脊髓性肌萎缩症（SMA）检测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实现常规20个工作日，具备实现加急12个工作日以及88小时检测周期的能力，需提供报告模板；</w:t>
      </w:r>
    </w:p>
    <w:p w14:paraId="66A76C4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合同期限和结算方式</w:t>
      </w:r>
    </w:p>
    <w:p w14:paraId="59D2E144">
      <w:pPr>
        <w:pStyle w:val="7"/>
        <w:numPr>
          <w:ilvl w:val="0"/>
          <w:numId w:val="0"/>
        </w:numPr>
        <w:spacing w:line="360" w:lineRule="auto"/>
        <w:ind w:leftChars="200"/>
        <w:rPr>
          <w:rFonts w:hint="eastAsia" w:ascii="仿宋" w:hAnsi="仿宋" w:eastAsia="仿宋" w:cs="仿宋"/>
          <w:kern w:val="0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yellow"/>
          <w:lang w:val="en-US" w:eastAsia="zh-CN"/>
        </w:rPr>
        <w:t>本项目服务期为：检测项目累计达项目预算或本院能自行开展检测项目截止；</w:t>
      </w:r>
    </w:p>
    <w:p w14:paraId="393E3D9F">
      <w:pPr>
        <w:pStyle w:val="7"/>
        <w:numPr>
          <w:ilvl w:val="0"/>
          <w:numId w:val="0"/>
        </w:numPr>
        <w:spacing w:line="360" w:lineRule="auto"/>
        <w:ind w:leftChars="200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结算方式：按实际量，每季度结算一次；</w:t>
      </w:r>
    </w:p>
    <w:p w14:paraId="70A9042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服务商遴选方式</w:t>
      </w:r>
    </w:p>
    <w:p w14:paraId="3C48FBF2">
      <w:pPr>
        <w:pStyle w:val="7"/>
        <w:numPr>
          <w:ilvl w:val="0"/>
          <w:numId w:val="0"/>
        </w:numPr>
        <w:spacing w:line="360" w:lineRule="auto"/>
        <w:ind w:left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对供应商的服务质量、及时性及价格进行综合评价，遴选1</w:t>
      </w:r>
      <w:r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  <w:t>家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服务商。</w:t>
      </w:r>
    </w:p>
    <w:p w14:paraId="553E14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733AD"/>
    <w:multiLevelType w:val="singleLevel"/>
    <w:tmpl w:val="B9A733A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BD3299F0"/>
    <w:multiLevelType w:val="singleLevel"/>
    <w:tmpl w:val="BD3299F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D57DD16E"/>
    <w:multiLevelType w:val="singleLevel"/>
    <w:tmpl w:val="D57DD16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E75ED923"/>
    <w:multiLevelType w:val="singleLevel"/>
    <w:tmpl w:val="E75ED92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40C1D"/>
    <w:rsid w:val="3D411238"/>
    <w:rsid w:val="458701FA"/>
    <w:rsid w:val="4B6E0DC4"/>
    <w:rsid w:val="63A136F7"/>
    <w:rsid w:val="685D7967"/>
    <w:rsid w:val="6A0F460B"/>
    <w:rsid w:val="7E8562BE"/>
    <w:rsid w:val="7F65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qFormat/>
    <w:uiPriority w:val="99"/>
    <w:pPr>
      <w:keepNext/>
      <w:keepLines/>
      <w:widowControl w:val="0"/>
      <w:spacing w:before="120" w:after="120"/>
      <w:jc w:val="both"/>
      <w:outlineLvl w:val="3"/>
    </w:pPr>
    <w:rPr>
      <w:rFonts w:ascii="Cambria" w:hAnsi="Cambria" w:eastAsia="宋体" w:cs="宋体"/>
      <w:b/>
      <w:bCs/>
      <w:kern w:val="0"/>
      <w:sz w:val="28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0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1918</Words>
  <Characters>2030</Characters>
  <Lines>0</Lines>
  <Paragraphs>0</Paragraphs>
  <TotalTime>20</TotalTime>
  <ScaleCrop>false</ScaleCrop>
  <LinksUpToDate>false</LinksUpToDate>
  <CharactersWithSpaces>2152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2025-06-17T04:23:00Z</dcterms:created>
  <dc:creator>Administrator</dc:creator>
  <cp:lastModifiedBy>加深</cp:lastModifiedBy>
  <dcterms:modified xsi:type="dcterms:W3CDTF">2025-06-20T03:30:23Z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eyJoZGlkIjoiNmFkNzM0MjEyYTJlMGViYTU0N2EyNjMzYjM3OTNmZjIiLCJ1c2VySWQiOiIzNTY0MzY5ODAifQ==</vt:lpwstr>
  </property>
  <property fmtid="{D5CDD505-2E9C-101B-9397-08002B2CF9AE}" pid="4" name="ICV">
    <vt:lpwstr>E2F565A6F9E74E25820353AA36BB0B7D_13</vt:lpwstr>
  </property>
</Properties>
</file>