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312" w:lineRule="auto"/>
        <w:jc w:val="center"/>
        <w:rPr>
          <w:rFonts w:ascii="宋体" w:hAnsi="宋体" w:eastAsia="宋体" w:cs="微软雅黑"/>
          <w:b/>
          <w:bCs/>
          <w:color w:val="000000" w:themeColor="text1"/>
          <w:kern w:val="44"/>
          <w:sz w:val="24"/>
          <w:szCs w:val="24"/>
          <w14:textFill>
            <w14:solidFill>
              <w14:schemeClr w14:val="tx1"/>
            </w14:solidFill>
          </w14:textFill>
        </w:rPr>
      </w:pPr>
      <w:bookmarkStart w:id="0" w:name="_Toc344816509"/>
      <w:r>
        <w:rPr>
          <w:rFonts w:hint="eastAsia" w:ascii="宋体" w:hAnsi="宋体" w:eastAsia="宋体" w:cs="微软雅黑"/>
          <w:b/>
          <w:bCs/>
          <w:color w:val="000000" w:themeColor="text1"/>
          <w:kern w:val="44"/>
          <w:sz w:val="30"/>
          <w:szCs w:val="30"/>
          <w14:textFill>
            <w14:solidFill>
              <w14:schemeClr w14:val="tx1"/>
            </w14:solidFill>
          </w14:textFill>
        </w:rPr>
        <w:t>柳州市工人医院信息化能力提升建设项目（一期）--多院区运营一体化管理（一期）及数据资产管理平台（一期）建设技术参数要求</w:t>
      </w:r>
    </w:p>
    <w:bookmarkEnd w:id="0"/>
    <w:p>
      <w:pPr>
        <w:pStyle w:val="5"/>
        <w:numPr>
          <w:ilvl w:val="0"/>
          <w:numId w:val="0"/>
        </w:numPr>
        <w:spacing w:before="0" w:after="0" w:line="312" w:lineRule="auto"/>
        <w:rPr>
          <w:rFonts w:ascii="宋体" w:hAnsi="宋体" w:eastAsia="宋体"/>
          <w:b w:val="0"/>
          <w:color w:val="000000" w:themeColor="text1"/>
          <w:sz w:val="28"/>
          <w:szCs w:val="28"/>
          <w14:textFill>
            <w14:solidFill>
              <w14:schemeClr w14:val="tx1"/>
            </w14:solidFill>
          </w14:textFill>
        </w:rPr>
      </w:pPr>
      <w:r>
        <w:rPr>
          <w:rFonts w:hint="eastAsia" w:ascii="宋体" w:hAnsi="宋体"/>
          <w:bCs w:val="0"/>
          <w:color w:val="000000" w:themeColor="text1"/>
          <w:sz w:val="32"/>
          <w:szCs w:val="32"/>
          <w14:textFill>
            <w14:solidFill>
              <w14:schemeClr w14:val="tx1"/>
            </w14:solidFill>
          </w14:textFill>
        </w:rPr>
        <w:t>一、项目背景</w:t>
      </w:r>
    </w:p>
    <w:p>
      <w:pPr>
        <w:spacing w:line="312"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以医院智慧管理5级互联互通标准下的业财融合一体化运营管理为目标,通过多院区运营一体化管理系统的建设，实现医院资源管理更集约，资源集中管控协调，强调业务和财务联动，对于医院提升管理效率、降低运营成本、强化决策支持、提升患者满意度、推动医疗服务创新、保障医疗质量与安全以及促进资源公平可及等方面均具有重要作用，加快智慧运营管理平台的建设和应用，更好助力医院解决运营管理难题。依靠信息化管理手段，对财务管理、资金管理、物资供应、资产设备等实行有效的信息化管理，不断优化资源配置，规范医院经济运行，提高资金使用和资源利用效率，提升单位内部管理水平和运营效率，推进医院高质量发展。</w:t>
      </w:r>
    </w:p>
    <w:p>
      <w:pPr>
        <w:spacing w:line="312"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同时，项目将以数据资产管理为主线，构建涵盖医院内部临床业务、经营管理等业务的数据仓库，将分布在各医疗机构业务系统中的临床、管理数据整合，实现业务数据实时更新，基于国家标准、行业标准、企业标准对数据进行清洗、转换、融合、关联，形成主数据、患者主索引、医院级数据资产，支撑不同业务场景下的数据价值挖掘，辅助医院业务、运营、服务决策支持数据治理体系落地，为运营管理、质量管理、学科发展、财务管理等提供高质量的决策数据支持。</w:t>
      </w:r>
    </w:p>
    <w:p>
      <w:pPr>
        <w:pStyle w:val="5"/>
        <w:numPr>
          <w:ilvl w:val="0"/>
          <w:numId w:val="0"/>
        </w:numPr>
        <w:spacing w:before="0" w:after="0" w:line="312" w:lineRule="auto"/>
        <w:rPr>
          <w:rFonts w:ascii="宋体" w:hAnsi="宋体"/>
          <w:bCs w:val="0"/>
          <w:color w:val="000000" w:themeColor="text1"/>
          <w:sz w:val="32"/>
          <w:szCs w:val="32"/>
          <w14:textFill>
            <w14:solidFill>
              <w14:schemeClr w14:val="tx1"/>
            </w14:solidFill>
          </w14:textFill>
        </w:rPr>
      </w:pPr>
      <w:r>
        <w:rPr>
          <w:rFonts w:hint="eastAsia" w:ascii="宋体" w:hAnsi="宋体"/>
          <w:bCs w:val="0"/>
          <w:color w:val="000000" w:themeColor="text1"/>
          <w:sz w:val="32"/>
          <w:szCs w:val="32"/>
          <w14:textFill>
            <w14:solidFill>
              <w14:schemeClr w14:val="tx1"/>
            </w14:solidFill>
          </w14:textFill>
        </w:rPr>
        <w:t>二、项目建设内容及要求</w:t>
      </w:r>
    </w:p>
    <w:p>
      <w:pPr>
        <w:pStyle w:val="14"/>
        <w:spacing w:line="312" w:lineRule="auto"/>
        <w:ind w:firstLine="0" w:firstLineChars="0"/>
        <w:outlineLvl w:val="1"/>
        <w:rPr>
          <w:rFonts w:ascii="宋体" w:hAnsi="宋体" w:eastAsia="宋体"/>
          <w:color w:val="000000" w:themeColor="text1"/>
          <w:sz w:val="24"/>
          <w:szCs w:val="24"/>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（一）多院区经营一体化管理</w:t>
      </w:r>
    </w:p>
    <w:tbl>
      <w:tblPr>
        <w:tblStyle w:val="12"/>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90"/>
        <w:gridCol w:w="666"/>
        <w:gridCol w:w="683"/>
        <w:gridCol w:w="3834"/>
        <w:gridCol w:w="487"/>
        <w:gridCol w:w="550"/>
        <w:gridCol w:w="529"/>
        <w:gridCol w:w="506"/>
        <w:gridCol w:w="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blHeader/>
          <w:jc w:val="center"/>
        </w:trPr>
        <w:tc>
          <w:tcPr>
            <w:tcW w:w="490" w:type="dxa"/>
            <w:shd w:val="clear" w:color="auto" w:fill="auto"/>
            <w:vAlign w:val="center"/>
          </w:tcPr>
          <w:p>
            <w:pPr>
              <w:jc w:val="center"/>
              <w:rPr>
                <w:rFonts w:ascii="宋体" w:hAnsi="宋体" w:eastAsia="宋体"/>
                <w:b/>
                <w:bCs/>
                <w:color w:val="000000" w:themeColor="text1"/>
                <w:sz w:val="20"/>
                <w:szCs w:val="20"/>
                <w14:textFill>
                  <w14:solidFill>
                    <w14:schemeClr w14:val="tx1"/>
                  </w14:solidFill>
                </w14:textFill>
              </w:rPr>
            </w:pPr>
            <w:r>
              <w:rPr>
                <w:rFonts w:hint="eastAsia" w:ascii="宋体" w:hAnsi="宋体" w:eastAsia="宋体"/>
                <w:b/>
                <w:bCs/>
                <w:color w:val="000000" w:themeColor="text1"/>
                <w:sz w:val="20"/>
                <w:szCs w:val="20"/>
                <w14:textFill>
                  <w14:solidFill>
                    <w14:schemeClr w14:val="tx1"/>
                  </w14:solidFill>
                </w14:textFill>
              </w:rPr>
              <w:t>序号</w:t>
            </w:r>
          </w:p>
        </w:tc>
        <w:tc>
          <w:tcPr>
            <w:tcW w:w="666" w:type="dxa"/>
            <w:shd w:val="clear" w:color="auto" w:fill="auto"/>
            <w:vAlign w:val="center"/>
          </w:tcPr>
          <w:p>
            <w:pPr>
              <w:jc w:val="center"/>
              <w:rPr>
                <w:rFonts w:ascii="宋体" w:hAnsi="宋体" w:eastAsia="宋体"/>
                <w:b/>
                <w:bCs/>
                <w:color w:val="000000" w:themeColor="text1"/>
                <w:sz w:val="20"/>
                <w:szCs w:val="20"/>
                <w14:textFill>
                  <w14:solidFill>
                    <w14:schemeClr w14:val="tx1"/>
                  </w14:solidFill>
                </w14:textFill>
              </w:rPr>
            </w:pPr>
            <w:r>
              <w:rPr>
                <w:rFonts w:hint="eastAsia" w:ascii="宋体" w:hAnsi="宋体" w:eastAsia="宋体"/>
                <w:b/>
                <w:bCs/>
                <w:color w:val="000000" w:themeColor="text1"/>
                <w:sz w:val="20"/>
                <w:szCs w:val="20"/>
                <w14:textFill>
                  <w14:solidFill>
                    <w14:schemeClr w14:val="tx1"/>
                  </w14:solidFill>
                </w14:textFill>
              </w:rPr>
              <w:t>模块</w:t>
            </w:r>
          </w:p>
        </w:tc>
        <w:tc>
          <w:tcPr>
            <w:tcW w:w="683" w:type="dxa"/>
            <w:shd w:val="clear" w:color="auto" w:fill="auto"/>
            <w:vAlign w:val="center"/>
          </w:tcPr>
          <w:p>
            <w:pPr>
              <w:jc w:val="center"/>
              <w:rPr>
                <w:rFonts w:ascii="宋体" w:hAnsi="宋体" w:eastAsia="宋体"/>
                <w:b/>
                <w:bCs/>
                <w:color w:val="000000" w:themeColor="text1"/>
                <w:sz w:val="20"/>
                <w:szCs w:val="20"/>
                <w14:textFill>
                  <w14:solidFill>
                    <w14:schemeClr w14:val="tx1"/>
                  </w14:solidFill>
                </w14:textFill>
              </w:rPr>
            </w:pPr>
            <w:r>
              <w:rPr>
                <w:rFonts w:hint="eastAsia" w:ascii="宋体" w:hAnsi="宋体" w:eastAsia="宋体"/>
                <w:b/>
                <w:bCs/>
                <w:color w:val="000000" w:themeColor="text1"/>
                <w:sz w:val="20"/>
                <w:szCs w:val="20"/>
                <w14:textFill>
                  <w14:solidFill>
                    <w14:schemeClr w14:val="tx1"/>
                  </w14:solidFill>
                </w14:textFill>
              </w:rPr>
              <w:t>功能</w:t>
            </w:r>
          </w:p>
        </w:tc>
        <w:tc>
          <w:tcPr>
            <w:tcW w:w="3834" w:type="dxa"/>
            <w:shd w:val="clear" w:color="auto" w:fill="auto"/>
            <w:vAlign w:val="center"/>
          </w:tcPr>
          <w:p>
            <w:pPr>
              <w:jc w:val="center"/>
              <w:rPr>
                <w:rFonts w:ascii="宋体" w:hAnsi="宋体" w:eastAsia="宋体"/>
                <w:b/>
                <w:bCs/>
                <w:color w:val="000000" w:themeColor="text1"/>
                <w:sz w:val="20"/>
                <w:szCs w:val="20"/>
                <w14:textFill>
                  <w14:solidFill>
                    <w14:schemeClr w14:val="tx1"/>
                  </w14:solidFill>
                </w14:textFill>
              </w:rPr>
            </w:pPr>
            <w:r>
              <w:rPr>
                <w:rFonts w:hint="eastAsia" w:ascii="宋体" w:hAnsi="宋体" w:eastAsia="宋体"/>
                <w:b/>
                <w:bCs/>
                <w:color w:val="000000" w:themeColor="text1"/>
                <w:sz w:val="20"/>
                <w:szCs w:val="20"/>
                <w14:textFill>
                  <w14:solidFill>
                    <w14:schemeClr w14:val="tx1"/>
                  </w14:solidFill>
                </w14:textFill>
              </w:rPr>
              <w:t>内涵描述</w:t>
            </w:r>
          </w:p>
        </w:tc>
        <w:tc>
          <w:tcPr>
            <w:tcW w:w="487" w:type="dxa"/>
            <w:shd w:val="clear" w:color="auto" w:fill="auto"/>
            <w:vAlign w:val="center"/>
          </w:tcPr>
          <w:p>
            <w:pPr>
              <w:jc w:val="center"/>
              <w:rPr>
                <w:rFonts w:ascii="宋体" w:hAnsi="宋体" w:eastAsia="宋体"/>
                <w:b/>
                <w:bCs/>
                <w:color w:val="000000" w:themeColor="text1"/>
                <w:sz w:val="20"/>
                <w:szCs w:val="20"/>
                <w14:textFill>
                  <w14:solidFill>
                    <w14:schemeClr w14:val="tx1"/>
                  </w14:solidFill>
                </w14:textFill>
              </w:rPr>
            </w:pPr>
            <w:r>
              <w:rPr>
                <w:rFonts w:hint="eastAsia" w:ascii="宋体" w:hAnsi="宋体" w:eastAsia="宋体"/>
                <w:b/>
                <w:bCs/>
                <w:color w:val="000000" w:themeColor="text1"/>
                <w:sz w:val="20"/>
                <w:szCs w:val="20"/>
                <w14:textFill>
                  <w14:solidFill>
                    <w14:schemeClr w14:val="tx1"/>
                  </w14:solidFill>
                </w14:textFill>
              </w:rPr>
              <w:t>产品厂商</w:t>
            </w:r>
          </w:p>
        </w:tc>
        <w:tc>
          <w:tcPr>
            <w:tcW w:w="550" w:type="dxa"/>
            <w:shd w:val="clear" w:color="auto" w:fill="auto"/>
            <w:vAlign w:val="center"/>
          </w:tcPr>
          <w:p>
            <w:pPr>
              <w:jc w:val="center"/>
              <w:rPr>
                <w:rFonts w:ascii="宋体" w:hAnsi="宋体" w:eastAsia="宋体"/>
                <w:b/>
                <w:bCs/>
                <w:color w:val="000000" w:themeColor="text1"/>
                <w:sz w:val="20"/>
                <w:szCs w:val="20"/>
                <w14:textFill>
                  <w14:solidFill>
                    <w14:schemeClr w14:val="tx1"/>
                  </w14:solidFill>
                </w14:textFill>
              </w:rPr>
            </w:pPr>
            <w:r>
              <w:rPr>
                <w:rFonts w:hint="eastAsia" w:ascii="宋体" w:hAnsi="宋体" w:eastAsia="宋体"/>
                <w:b/>
                <w:bCs/>
                <w:color w:val="000000" w:themeColor="text1"/>
                <w:sz w:val="20"/>
                <w:szCs w:val="20"/>
                <w14:textFill>
                  <w14:solidFill>
                    <w14:schemeClr w14:val="tx1"/>
                  </w14:solidFill>
                </w14:textFill>
              </w:rPr>
              <w:t>产品型号</w:t>
            </w:r>
          </w:p>
        </w:tc>
        <w:tc>
          <w:tcPr>
            <w:tcW w:w="529" w:type="dxa"/>
            <w:shd w:val="clear" w:color="auto" w:fill="auto"/>
            <w:vAlign w:val="center"/>
          </w:tcPr>
          <w:p>
            <w:pPr>
              <w:jc w:val="center"/>
              <w:rPr>
                <w:rFonts w:ascii="宋体" w:hAnsi="宋体" w:eastAsia="宋体"/>
                <w:b/>
                <w:bCs/>
                <w:color w:val="000000" w:themeColor="text1"/>
                <w:sz w:val="20"/>
                <w:szCs w:val="20"/>
                <w14:textFill>
                  <w14:solidFill>
                    <w14:schemeClr w14:val="tx1"/>
                  </w14:solidFill>
                </w14:textFill>
              </w:rPr>
            </w:pPr>
            <w:r>
              <w:rPr>
                <w:rFonts w:hint="eastAsia" w:ascii="宋体" w:hAnsi="宋体" w:eastAsia="宋体"/>
                <w:b/>
                <w:bCs/>
                <w:color w:val="000000" w:themeColor="text1"/>
                <w:sz w:val="20"/>
                <w:szCs w:val="20"/>
                <w14:textFill>
                  <w14:solidFill>
                    <w14:schemeClr w14:val="tx1"/>
                  </w14:solidFill>
                </w14:textFill>
              </w:rPr>
              <w:t>数量</w:t>
            </w:r>
          </w:p>
        </w:tc>
        <w:tc>
          <w:tcPr>
            <w:tcW w:w="506" w:type="dxa"/>
            <w:shd w:val="clear" w:color="auto" w:fill="auto"/>
            <w:vAlign w:val="center"/>
          </w:tcPr>
          <w:p>
            <w:pPr>
              <w:jc w:val="center"/>
              <w:rPr>
                <w:rFonts w:ascii="宋体" w:hAnsi="宋体" w:eastAsia="宋体"/>
                <w:b/>
                <w:bCs/>
                <w:color w:val="000000" w:themeColor="text1"/>
                <w:sz w:val="20"/>
                <w:szCs w:val="20"/>
                <w14:textFill>
                  <w14:solidFill>
                    <w14:schemeClr w14:val="tx1"/>
                  </w14:solidFill>
                </w14:textFill>
              </w:rPr>
            </w:pPr>
            <w:r>
              <w:rPr>
                <w:rFonts w:hint="eastAsia" w:ascii="宋体" w:hAnsi="宋体" w:eastAsia="宋体"/>
                <w:b/>
                <w:bCs/>
                <w:color w:val="000000" w:themeColor="text1"/>
                <w:sz w:val="20"/>
                <w:szCs w:val="20"/>
                <w14:textFill>
                  <w14:solidFill>
                    <w14:schemeClr w14:val="tx1"/>
                  </w14:solidFill>
                </w14:textFill>
              </w:rPr>
              <w:t>报价</w:t>
            </w:r>
          </w:p>
        </w:tc>
        <w:tc>
          <w:tcPr>
            <w:tcW w:w="551" w:type="dxa"/>
            <w:shd w:val="clear" w:color="auto" w:fill="auto"/>
            <w:vAlign w:val="center"/>
          </w:tcPr>
          <w:p>
            <w:pPr>
              <w:jc w:val="center"/>
              <w:rPr>
                <w:rFonts w:ascii="宋体" w:hAnsi="宋体" w:eastAsia="宋体"/>
                <w:b/>
                <w:bCs/>
                <w:color w:val="000000" w:themeColor="text1"/>
                <w:sz w:val="20"/>
                <w:szCs w:val="20"/>
                <w14:textFill>
                  <w14:solidFill>
                    <w14:schemeClr w14:val="tx1"/>
                  </w14:solidFill>
                </w14:textFill>
              </w:rPr>
            </w:pPr>
            <w:r>
              <w:rPr>
                <w:rFonts w:hint="eastAsia" w:ascii="宋体" w:hAnsi="宋体" w:eastAsia="宋体"/>
                <w:b/>
                <w:bCs/>
                <w:color w:val="000000" w:themeColor="text1"/>
                <w:sz w:val="20"/>
                <w:szCs w:val="20"/>
                <w14:textFill>
                  <w14:solidFill>
                    <w14:schemeClr w14:val="tx1"/>
                  </w14:solidFill>
                </w14:textFill>
              </w:rPr>
              <w:t>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490"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w:t>
            </w:r>
          </w:p>
        </w:tc>
        <w:tc>
          <w:tcPr>
            <w:tcW w:w="666"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基础平台</w:t>
            </w:r>
          </w:p>
        </w:tc>
        <w:tc>
          <w:tcPr>
            <w:tcW w:w="4517" w:type="dxa"/>
            <w:gridSpan w:val="2"/>
            <w:shd w:val="clear" w:color="auto" w:fill="auto"/>
            <w:vAlign w:val="center"/>
          </w:tcPr>
          <w:p>
            <w:pPr>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实现对平台基础信息管理、用户及权限管理、日志管理、系统配置、安全管理等。</w:t>
            </w:r>
          </w:p>
        </w:tc>
        <w:tc>
          <w:tcPr>
            <w:tcW w:w="487"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50"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29"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1项</w:t>
            </w:r>
          </w:p>
        </w:tc>
        <w:tc>
          <w:tcPr>
            <w:tcW w:w="506"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51" w:type="dxa"/>
            <w:shd w:val="clear" w:color="auto" w:fill="auto"/>
            <w:vAlign w:val="center"/>
          </w:tcPr>
          <w:p>
            <w:pPr>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490"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2</w:t>
            </w:r>
          </w:p>
        </w:tc>
        <w:tc>
          <w:tcPr>
            <w:tcW w:w="666" w:type="dxa"/>
            <w:vMerge w:val="restart"/>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财务域</w:t>
            </w:r>
          </w:p>
        </w:tc>
        <w:tc>
          <w:tcPr>
            <w:tcW w:w="683"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总账管理</w:t>
            </w:r>
          </w:p>
        </w:tc>
        <w:tc>
          <w:tcPr>
            <w:tcW w:w="3834" w:type="dxa"/>
            <w:shd w:val="clear" w:color="auto" w:fill="auto"/>
            <w:vAlign w:val="center"/>
          </w:tcPr>
          <w:p>
            <w:pPr>
              <w:spacing w:line="312" w:lineRule="auto"/>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支持医疗集团型财务核算，实现按院区/组织筛选、汇总查询。系统提供账务的初始余额录，结束初始化时，能检查一致性。提供科目初始数据的录入，以及文件导入。</w:t>
            </w:r>
          </w:p>
          <w:p>
            <w:pPr>
              <w:spacing w:line="312" w:lineRule="auto"/>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支持医院日常凭证处理。支持日常外币核算、数量核算、辅助账核算、表外业务的业务处理。与各业务系统紧密集成，业务数据自动生成凭证。凭证可联查对应业务单据，数据有据可查。</w:t>
            </w:r>
          </w:p>
          <w:p>
            <w:pPr>
              <w:spacing w:line="312" w:lineRule="auto"/>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实时查看相关账簿。帐簿可进行数据追溯到凭证以及业务单据。提供医院合并报表管理功能。支持各级组织间内部交易的自动对账；按对账结果自动生成抵销分录；</w:t>
            </w:r>
          </w:p>
          <w:p>
            <w:pPr>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提供往来管理功能，支持专项的核算管理。</w:t>
            </w:r>
          </w:p>
        </w:tc>
        <w:tc>
          <w:tcPr>
            <w:tcW w:w="487"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50"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29"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1项</w:t>
            </w:r>
          </w:p>
        </w:tc>
        <w:tc>
          <w:tcPr>
            <w:tcW w:w="506"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51"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490"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w:t>
            </w:r>
          </w:p>
        </w:tc>
        <w:tc>
          <w:tcPr>
            <w:tcW w:w="666" w:type="dxa"/>
            <w:vMerge w:val="continue"/>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683"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报表管理</w:t>
            </w:r>
          </w:p>
        </w:tc>
        <w:tc>
          <w:tcPr>
            <w:tcW w:w="3834" w:type="dxa"/>
            <w:shd w:val="clear" w:color="auto" w:fill="auto"/>
            <w:vAlign w:val="center"/>
          </w:tcPr>
          <w:p>
            <w:pPr>
              <w:spacing w:line="312" w:lineRule="auto"/>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提供模板样式方案管理，根据报表模板，快速手工或者系统自动定期出具各期报表。</w:t>
            </w:r>
          </w:p>
          <w:p>
            <w:pPr>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可以需求自定义报表。提供表内勾稽关系的设置与检查，表间勾稽关系的检查；提供自动报表生成方案。</w:t>
            </w:r>
          </w:p>
          <w:p>
            <w:pPr>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可以根据打开多个报表在同一窗口展示分析，无需进行二次开发。</w:t>
            </w:r>
          </w:p>
          <w:p>
            <w:pPr>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支持针对不同的核算体系，启用报表数据授权管理。多组织报表模板统一平台管理。</w:t>
            </w:r>
          </w:p>
        </w:tc>
        <w:tc>
          <w:tcPr>
            <w:tcW w:w="487"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50"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29"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1项</w:t>
            </w:r>
          </w:p>
        </w:tc>
        <w:tc>
          <w:tcPr>
            <w:tcW w:w="506"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51"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490"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4</w:t>
            </w:r>
          </w:p>
        </w:tc>
        <w:tc>
          <w:tcPr>
            <w:tcW w:w="666" w:type="dxa"/>
            <w:vMerge w:val="continue"/>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683"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银医直连</w:t>
            </w:r>
          </w:p>
        </w:tc>
        <w:tc>
          <w:tcPr>
            <w:tcW w:w="3834" w:type="dxa"/>
            <w:shd w:val="clear" w:color="auto" w:fill="auto"/>
            <w:vAlign w:val="center"/>
          </w:tcPr>
          <w:p>
            <w:pPr>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支持动态密码控制，通过系统可以直接查询医院所有账户的变动情况。</w:t>
            </w:r>
          </w:p>
          <w:p>
            <w:pPr>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系统有银行账户变动提醒功能。支持批量打印银行电子回单。支持银行对账单与医院会计凭证、银行存款日记账的对账。支持将下载的银行对账单与总账会计凭证，根据唯一的对账标识码，进行自动对账。与银行做系统对接或做数据集成，支持系统代发工资等功能。</w:t>
            </w:r>
          </w:p>
          <w:p>
            <w:pPr>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数据对接所产生的所有费用由中标供应商自理。</w:t>
            </w:r>
          </w:p>
          <w:p>
            <w:pPr>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可直接下载银行交易明细，根据交易明细自动匹配生成收付款单,形成出纳日记账。</w:t>
            </w:r>
          </w:p>
        </w:tc>
        <w:tc>
          <w:tcPr>
            <w:tcW w:w="487"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50"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29"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1项</w:t>
            </w:r>
          </w:p>
        </w:tc>
        <w:tc>
          <w:tcPr>
            <w:tcW w:w="506"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51" w:type="dxa"/>
            <w:shd w:val="clear" w:color="auto" w:fill="auto"/>
            <w:vAlign w:val="center"/>
          </w:tcPr>
          <w:p>
            <w:pPr>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490"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5</w:t>
            </w:r>
          </w:p>
        </w:tc>
        <w:tc>
          <w:tcPr>
            <w:tcW w:w="666" w:type="dxa"/>
            <w:vMerge w:val="restart"/>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683"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薪资管理</w:t>
            </w:r>
          </w:p>
        </w:tc>
        <w:tc>
          <w:tcPr>
            <w:tcW w:w="3834" w:type="dxa"/>
            <w:shd w:val="clear" w:color="auto" w:fill="auto"/>
            <w:vAlign w:val="center"/>
          </w:tcPr>
          <w:p>
            <w:pPr>
              <w:spacing w:line="312" w:lineRule="auto"/>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可以设置员工的薪酬档案信息。档案基本信息可以批量导入，可以查看、跟踪。</w:t>
            </w:r>
          </w:p>
          <w:p>
            <w:pPr>
              <w:spacing w:line="312" w:lineRule="auto"/>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员工变动时，支持改变薪酬计算规则，更新员工变动信息。支持数据导入、批量编辑、公式计算，及引用内、外部数据参与薪酬计算。支持银行代发薪酬。支持一键报送税局功能，支持汇总个税明细数据。</w:t>
            </w:r>
          </w:p>
          <w:p>
            <w:pPr>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支持更正操作、差异对比。可查看税款缴纳数据；员工可自助查看本医院的个税年度汇算数据并进行处理。</w:t>
            </w:r>
          </w:p>
        </w:tc>
        <w:tc>
          <w:tcPr>
            <w:tcW w:w="487"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50"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29"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1项</w:t>
            </w:r>
          </w:p>
        </w:tc>
        <w:tc>
          <w:tcPr>
            <w:tcW w:w="506"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51"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490"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bookmarkStart w:id="1" w:name="OLE_LINK1" w:colFirst="6" w:colLast="8"/>
            <w:r>
              <w:rPr>
                <w:rFonts w:hint="eastAsia" w:ascii="宋体" w:hAnsi="宋体" w:eastAsia="宋体"/>
                <w:color w:val="000000" w:themeColor="text1"/>
                <w:sz w:val="20"/>
                <w:szCs w:val="20"/>
                <w14:textFill>
                  <w14:solidFill>
                    <w14:schemeClr w14:val="tx1"/>
                  </w14:solidFill>
                </w14:textFill>
              </w:rPr>
              <w:t>6</w:t>
            </w:r>
          </w:p>
        </w:tc>
        <w:tc>
          <w:tcPr>
            <w:tcW w:w="666" w:type="dxa"/>
            <w:vMerge w:val="continue"/>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683"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票据管理</w:t>
            </w:r>
          </w:p>
        </w:tc>
        <w:tc>
          <w:tcPr>
            <w:tcW w:w="3834" w:type="dxa"/>
            <w:shd w:val="clear" w:color="auto" w:fill="auto"/>
            <w:vAlign w:val="center"/>
          </w:tcPr>
          <w:p>
            <w:pPr>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支持支票管理及电汇管理，可记录支票发出业务的相关信息项。支持支票登记、领用和相关登记簿的查询。支持银行电汇信息的维护管理。支持空白票据的购置、领用、报销等进行管理。支持商业汇票管理。支持应收票据的相关操作。支持应付票据的签发、付票、到期付款处理。支持税票、非税票、内部结算收据管理；支持票据入库、领用、核销、查询统计等。支持电子票据管理，包括在线开票、查重、验伪、入账、核销、受票、报销等。</w:t>
            </w:r>
          </w:p>
        </w:tc>
        <w:tc>
          <w:tcPr>
            <w:tcW w:w="487"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50"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29"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1项</w:t>
            </w:r>
          </w:p>
        </w:tc>
        <w:tc>
          <w:tcPr>
            <w:tcW w:w="506"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51"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3年</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490"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7</w:t>
            </w:r>
          </w:p>
        </w:tc>
        <w:tc>
          <w:tcPr>
            <w:tcW w:w="666" w:type="dxa"/>
            <w:vMerge w:val="continue"/>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683"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数字证书</w:t>
            </w:r>
          </w:p>
        </w:tc>
        <w:tc>
          <w:tcPr>
            <w:tcW w:w="3834" w:type="dxa"/>
            <w:shd w:val="clear" w:color="auto" w:fill="auto"/>
            <w:vAlign w:val="center"/>
          </w:tcPr>
          <w:p>
            <w:pPr>
              <w:spacing w:line="312" w:lineRule="auto"/>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严格控制并识别用户的身份，非相关人员，系统拒绝其访问。</w:t>
            </w:r>
          </w:p>
          <w:p>
            <w:pPr>
              <w:spacing w:line="312" w:lineRule="auto"/>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在网络上传输的信息加密，不能被窃取，不能被恶意窜改，对涉及信息安全的事件，提供事后追踪、审核及统计的手段。</w:t>
            </w:r>
          </w:p>
          <w:p>
            <w:pPr>
              <w:spacing w:line="312" w:lineRule="auto"/>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系统包含证书注册审核，证书管理（用户、设备等各种证书制作签发，证书更新，证书吊销，可以通过证书的各种信息及状态查询到证书）。</w:t>
            </w:r>
          </w:p>
          <w:p>
            <w:pPr>
              <w:spacing w:line="312" w:lineRule="auto"/>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提供证书的数量不少于50个。</w:t>
            </w:r>
          </w:p>
        </w:tc>
        <w:tc>
          <w:tcPr>
            <w:tcW w:w="487"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50"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29"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1项</w:t>
            </w:r>
          </w:p>
        </w:tc>
        <w:tc>
          <w:tcPr>
            <w:tcW w:w="506"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51"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490"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8</w:t>
            </w:r>
          </w:p>
        </w:tc>
        <w:tc>
          <w:tcPr>
            <w:tcW w:w="666" w:type="dxa"/>
            <w:vMerge w:val="restart"/>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资产域</w:t>
            </w:r>
          </w:p>
        </w:tc>
        <w:tc>
          <w:tcPr>
            <w:tcW w:w="683"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物资管理</w:t>
            </w:r>
          </w:p>
        </w:tc>
        <w:tc>
          <w:tcPr>
            <w:tcW w:w="3834" w:type="dxa"/>
            <w:shd w:val="clear" w:color="auto" w:fill="auto"/>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对院内外物流进行精细化、全程化、可视化管理，从采购到付款的业务流程重组，实现物资申领、计划、采购、入库、出库、消耗全过程透明可控，以及对物资批次、效期、序列、货位的有效记录，从而保证物资质量与安全，有效降低物资成本。</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支持物资卡片管理、类别管理、权限管理；</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资产购置图文显示、资产购置申请及审批管理；购置与预算挂钩，并支持档案台账管理。</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物资出入库管理、盘点管理。</w:t>
            </w:r>
          </w:p>
        </w:tc>
        <w:tc>
          <w:tcPr>
            <w:tcW w:w="487"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50"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29"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1项</w:t>
            </w:r>
          </w:p>
        </w:tc>
        <w:tc>
          <w:tcPr>
            <w:tcW w:w="506"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51" w:type="dxa"/>
            <w:shd w:val="clear" w:color="auto" w:fill="auto"/>
            <w:vAlign w:val="center"/>
          </w:tcPr>
          <w:p>
            <w:pPr>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490"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666" w:type="dxa"/>
            <w:vMerge w:val="continue"/>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683" w:type="dxa"/>
            <w:shd w:val="clear" w:color="auto" w:fill="auto"/>
            <w:vAlign w:val="center"/>
          </w:tcPr>
          <w:p>
            <w:pPr>
              <w:pStyle w:val="5"/>
              <w:numPr>
                <w:ilvl w:val="0"/>
                <w:numId w:val="0"/>
              </w:numPr>
              <w:spacing w:before="0" w:after="0" w:line="312" w:lineRule="auto"/>
              <w:rPr>
                <w:rFonts w:ascii="宋体" w:hAnsi="宋体" w:eastAsia="宋体"/>
                <w:b w:val="0"/>
                <w:bCs w:val="0"/>
                <w:color w:val="000000" w:themeColor="text1"/>
                <w:kern w:val="2"/>
                <w:sz w:val="20"/>
                <w:szCs w:val="20"/>
                <w14:textFill>
                  <w14:solidFill>
                    <w14:schemeClr w14:val="tx1"/>
                  </w14:solidFill>
                </w14:textFill>
              </w:rPr>
            </w:pPr>
            <w:r>
              <w:rPr>
                <w:rFonts w:hint="eastAsia" w:ascii="宋体" w:hAnsi="宋体" w:eastAsia="宋体"/>
                <w:b w:val="0"/>
                <w:bCs w:val="0"/>
                <w:color w:val="000000" w:themeColor="text1"/>
                <w:kern w:val="2"/>
                <w:sz w:val="20"/>
                <w:szCs w:val="20"/>
                <w14:textFill>
                  <w14:solidFill>
                    <w14:schemeClr w14:val="tx1"/>
                  </w14:solidFill>
                </w14:textFill>
              </w:rPr>
              <w:t>耗材管理</w:t>
            </w:r>
          </w:p>
          <w:p>
            <w:pPr>
              <w:jc w:val="center"/>
              <w:rPr>
                <w:rFonts w:ascii="宋体" w:hAnsi="宋体" w:eastAsia="宋体"/>
                <w:color w:val="000000" w:themeColor="text1"/>
                <w:sz w:val="20"/>
                <w:szCs w:val="20"/>
                <w14:textFill>
                  <w14:solidFill>
                    <w14:schemeClr w14:val="tx1"/>
                  </w14:solidFill>
                </w14:textFill>
              </w:rPr>
            </w:pPr>
          </w:p>
        </w:tc>
        <w:tc>
          <w:tcPr>
            <w:tcW w:w="3834" w:type="dxa"/>
            <w:shd w:val="clear" w:color="auto" w:fill="auto"/>
            <w:vAlign w:val="center"/>
          </w:tcPr>
          <w:p>
            <w:pPr>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支持产品基础信息化维护、供应商维护信息维护；标准字典库的建设，物资代码、HIS收费码、医保码须一一对应；</w:t>
            </w:r>
          </w:p>
          <w:p>
            <w:pPr>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支持库存管理，支持盘点及科室二、三级库建立</w:t>
            </w:r>
          </w:p>
          <w:p>
            <w:pPr>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财务管理：货票同行方式进行结算</w:t>
            </w:r>
          </w:p>
        </w:tc>
        <w:tc>
          <w:tcPr>
            <w:tcW w:w="487"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50"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29"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1项</w:t>
            </w:r>
          </w:p>
        </w:tc>
        <w:tc>
          <w:tcPr>
            <w:tcW w:w="506"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51"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490"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5</w:t>
            </w:r>
          </w:p>
        </w:tc>
        <w:tc>
          <w:tcPr>
            <w:tcW w:w="666" w:type="dxa"/>
            <w:vMerge w:val="continue"/>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683"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资产设备管理</w:t>
            </w:r>
          </w:p>
        </w:tc>
        <w:tc>
          <w:tcPr>
            <w:tcW w:w="3834" w:type="dxa"/>
            <w:shd w:val="clear" w:color="auto" w:fill="auto"/>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基于国内外标准和行业业务实践，融合医院运营管理、循环管理理念，对医院设备进行全方位管理，提高设备运行效率和利用率、降低设备使用风险和设备维护成本，实现设备管理的精细化、数字化、移动化和智能化。</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资产档案管理、资产卡片维护、资产申购管理、资产出入库管理、资产盘点管理；</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资产共享、维护、保养、维修、巡检、报废管理等资产设备全生命周期管理；</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资产不良事件管理；</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资产效益分析。</w:t>
            </w:r>
          </w:p>
        </w:tc>
        <w:tc>
          <w:tcPr>
            <w:tcW w:w="487"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50"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29"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1项</w:t>
            </w:r>
          </w:p>
        </w:tc>
        <w:tc>
          <w:tcPr>
            <w:tcW w:w="506"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51" w:type="dxa"/>
            <w:shd w:val="clear" w:color="auto" w:fill="auto"/>
            <w:vAlign w:val="center"/>
          </w:tcPr>
          <w:p>
            <w:pPr>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490"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6</w:t>
            </w:r>
          </w:p>
        </w:tc>
        <w:tc>
          <w:tcPr>
            <w:tcW w:w="666" w:type="dxa"/>
            <w:vMerge w:val="continue"/>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683"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供应商协同</w:t>
            </w:r>
          </w:p>
        </w:tc>
        <w:tc>
          <w:tcPr>
            <w:tcW w:w="3834" w:type="dxa"/>
            <w:shd w:val="clear" w:color="auto" w:fill="auto"/>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对医院采购业务包含从采购--销售--配送--验收--开票结算的全流程管理，提供采购订单协同、发货协同、发票协同、供应商资质信息协同等供应商与医院的协同功能，降低前端医务人员录入工作，提高工作效率。连接医院内部与外部供应商的在线实时交互，降低协同成本，实现从采购到销售到对账的管理，实现医院与供应商业务信息协同交互，建立高效的供应链协作方式，提高医院管理效率。</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供应商准入；</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供应商注册、档案、信息维护、变更记录；</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预警信息维护与提醒；</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供应商评估与考核、黑名单管理；</w:t>
            </w:r>
          </w:p>
        </w:tc>
        <w:tc>
          <w:tcPr>
            <w:tcW w:w="487"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50"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29"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1项</w:t>
            </w:r>
          </w:p>
        </w:tc>
        <w:tc>
          <w:tcPr>
            <w:tcW w:w="506"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51" w:type="dxa"/>
            <w:shd w:val="clear" w:color="auto" w:fill="auto"/>
            <w:vAlign w:val="center"/>
          </w:tcPr>
          <w:p>
            <w:pPr>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490" w:type="dxa"/>
            <w:vMerge w:val="restart"/>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7</w:t>
            </w:r>
          </w:p>
        </w:tc>
        <w:tc>
          <w:tcPr>
            <w:tcW w:w="666" w:type="dxa"/>
            <w:vMerge w:val="restart"/>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运营管理决策域</w:t>
            </w:r>
          </w:p>
        </w:tc>
        <w:tc>
          <w:tcPr>
            <w:tcW w:w="683"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总体要求</w:t>
            </w:r>
          </w:p>
        </w:tc>
        <w:tc>
          <w:tcPr>
            <w:tcW w:w="3834" w:type="dxa"/>
            <w:shd w:val="clear" w:color="auto" w:fill="auto"/>
            <w:vAlign w:val="center"/>
          </w:tcPr>
          <w:p>
            <w:pPr>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支持医院住院运行管理指标中的综合化、多维度分析、灵活组合和穿透式追踪，实现医院运营管理综合评价及RCA追因及分析能力。</w:t>
            </w:r>
          </w:p>
        </w:tc>
        <w:tc>
          <w:tcPr>
            <w:tcW w:w="487"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50"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29"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1项</w:t>
            </w:r>
          </w:p>
        </w:tc>
        <w:tc>
          <w:tcPr>
            <w:tcW w:w="506"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51" w:type="dxa"/>
            <w:shd w:val="clear" w:color="auto" w:fill="auto"/>
            <w:vAlign w:val="center"/>
          </w:tcPr>
          <w:p>
            <w:pPr>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490" w:type="dxa"/>
            <w:vMerge w:val="continue"/>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666" w:type="dxa"/>
            <w:vMerge w:val="continue"/>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683" w:type="dxa"/>
            <w:shd w:val="clear" w:color="auto" w:fill="auto"/>
            <w:vAlign w:val="center"/>
          </w:tcPr>
          <w:p>
            <w:pPr>
              <w:jc w:val="center"/>
              <w:rPr>
                <w:color w:val="000000" w:themeColor="text1"/>
                <w14:textFill>
                  <w14:solidFill>
                    <w14:schemeClr w14:val="tx1"/>
                  </w14:solidFill>
                </w14:textFill>
              </w:rPr>
            </w:pPr>
            <w:r>
              <w:rPr>
                <w:rFonts w:hint="eastAsia" w:ascii="宋体" w:hAnsi="宋体" w:eastAsia="宋体"/>
                <w:color w:val="000000" w:themeColor="text1"/>
                <w:sz w:val="20"/>
                <w:szCs w:val="20"/>
                <w:lang w:val="zh-CN"/>
                <w14:textFill>
                  <w14:solidFill>
                    <w14:schemeClr w14:val="tx1"/>
                  </w14:solidFill>
                </w14:textFill>
              </w:rPr>
              <w:t>▲</w:t>
            </w:r>
            <w:r>
              <w:rPr>
                <w:rFonts w:hint="eastAsia" w:ascii="宋体" w:hAnsi="宋体" w:eastAsia="宋体"/>
                <w:color w:val="000000" w:themeColor="text1"/>
                <w:sz w:val="20"/>
                <w:szCs w:val="20"/>
                <w14:textFill>
                  <w14:solidFill>
                    <w14:schemeClr w14:val="tx1"/>
                  </w14:solidFill>
                </w14:textFill>
              </w:rPr>
              <w:t>指标来源</w:t>
            </w:r>
          </w:p>
        </w:tc>
        <w:tc>
          <w:tcPr>
            <w:tcW w:w="3834" w:type="dxa"/>
            <w:shd w:val="clear" w:color="auto" w:fill="auto"/>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现代医院运营管理需要综合的指标评价和运营分析，并通过工具将其互联互通，形成综合管理应用分析。</w:t>
            </w:r>
          </w:p>
        </w:tc>
        <w:tc>
          <w:tcPr>
            <w:tcW w:w="487"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50"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29"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1项</w:t>
            </w:r>
          </w:p>
        </w:tc>
        <w:tc>
          <w:tcPr>
            <w:tcW w:w="506"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51"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490" w:type="dxa"/>
            <w:vMerge w:val="continue"/>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666" w:type="dxa"/>
            <w:vMerge w:val="continue"/>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683"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分析维度▲</w:t>
            </w:r>
          </w:p>
        </w:tc>
        <w:tc>
          <w:tcPr>
            <w:tcW w:w="3834" w:type="dxa"/>
            <w:shd w:val="clear" w:color="auto" w:fill="auto"/>
            <w:vAlign w:val="center"/>
          </w:tcPr>
          <w:p>
            <w:pPr>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360的自由分析主要通过在综合指标基础上，用不同的分析切片进行比较分析，如专科/专病/专项；全院/科室/医生组等不同的分析维度，相互维度可以专项组合，也可以交叉分析。</w:t>
            </w:r>
          </w:p>
        </w:tc>
        <w:tc>
          <w:tcPr>
            <w:tcW w:w="487"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50"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29"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1项</w:t>
            </w:r>
          </w:p>
        </w:tc>
        <w:tc>
          <w:tcPr>
            <w:tcW w:w="506"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51"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490" w:type="dxa"/>
            <w:vMerge w:val="continue"/>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666" w:type="dxa"/>
            <w:vMerge w:val="continue"/>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683"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专题分析</w:t>
            </w:r>
          </w:p>
        </w:tc>
        <w:tc>
          <w:tcPr>
            <w:tcW w:w="3834" w:type="dxa"/>
            <w:shd w:val="clear" w:color="auto" w:fill="auto"/>
            <w:vAlign w:val="center"/>
          </w:tcPr>
          <w:p>
            <w:pPr>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运营管理在科室专题、疾病专管或是管理专题上可以自由分析，专题限定条件包括但不限于组织机构、出院科室、医生分类、DRG、CMI、指标信息等，支持对查询结果下转至单个病案做病例详细复盘分析。</w:t>
            </w:r>
          </w:p>
        </w:tc>
        <w:tc>
          <w:tcPr>
            <w:tcW w:w="487"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50"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29"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1项</w:t>
            </w:r>
          </w:p>
        </w:tc>
        <w:tc>
          <w:tcPr>
            <w:tcW w:w="506"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51"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490" w:type="dxa"/>
            <w:vMerge w:val="continue"/>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666" w:type="dxa"/>
            <w:vMerge w:val="continue"/>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683"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病例复盘</w:t>
            </w:r>
          </w:p>
        </w:tc>
        <w:tc>
          <w:tcPr>
            <w:tcW w:w="3834" w:type="dxa"/>
            <w:shd w:val="clear" w:color="auto" w:fill="auto"/>
            <w:vAlign w:val="center"/>
          </w:tcPr>
          <w:p>
            <w:pPr>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实现每个病例的个案分析及追溯，指标包括但不限于病案信息、费用信息、诊疗信息、管理结果评价、资源消耗分析等指标。</w:t>
            </w:r>
          </w:p>
        </w:tc>
        <w:tc>
          <w:tcPr>
            <w:tcW w:w="487"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50"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29"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1项</w:t>
            </w:r>
          </w:p>
        </w:tc>
        <w:tc>
          <w:tcPr>
            <w:tcW w:w="506"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51"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490" w:type="dxa"/>
            <w:vMerge w:val="restart"/>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8</w:t>
            </w:r>
          </w:p>
        </w:tc>
        <w:tc>
          <w:tcPr>
            <w:tcW w:w="666" w:type="dxa"/>
            <w:vMerge w:val="restart"/>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医院运营评价内部度量衡－－疾病风险与资源消耗建模体系</w:t>
            </w:r>
          </w:p>
        </w:tc>
        <w:tc>
          <w:tcPr>
            <w:tcW w:w="683" w:type="dxa"/>
            <w:shd w:val="clear" w:color="auto" w:fill="auto"/>
            <w:vAlign w:val="center"/>
          </w:tcPr>
          <w:p>
            <w:pPr>
              <w:jc w:val="center"/>
              <w:rPr>
                <w:rFonts w:ascii="宋体" w:hAnsi="宋体" w:eastAsia="宋体"/>
                <w:strike/>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建模方法及案例支持</w:t>
            </w:r>
          </w:p>
        </w:tc>
        <w:tc>
          <w:tcPr>
            <w:tcW w:w="3834" w:type="dxa"/>
            <w:shd w:val="clear" w:color="auto" w:fill="auto"/>
            <w:vAlign w:val="center"/>
          </w:tcPr>
          <w:p>
            <w:pPr>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系统需采用建模技术需要包括数据挖掘、机器学习等相关人工智能算法和技术，结合疾病风险与资源消耗管理方向，通过模型算法包括lasso回归、logistic回归、神经网络实现资源消耗的合理判断等。</w:t>
            </w:r>
          </w:p>
        </w:tc>
        <w:tc>
          <w:tcPr>
            <w:tcW w:w="487"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50"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29"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1项</w:t>
            </w:r>
          </w:p>
        </w:tc>
        <w:tc>
          <w:tcPr>
            <w:tcW w:w="506"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51"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490" w:type="dxa"/>
            <w:vMerge w:val="continue"/>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666" w:type="dxa"/>
            <w:vMerge w:val="continue"/>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683" w:type="dxa"/>
            <w:shd w:val="clear" w:color="auto" w:fill="auto"/>
            <w:vAlign w:val="center"/>
          </w:tcPr>
          <w:p>
            <w:pPr>
              <w:jc w:val="center"/>
              <w:rPr>
                <w:rFonts w:ascii="宋体" w:hAnsi="宋体" w:eastAsia="宋体"/>
                <w:strike/>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建模质量及结果论证</w:t>
            </w:r>
          </w:p>
        </w:tc>
        <w:tc>
          <w:tcPr>
            <w:tcW w:w="3834" w:type="dxa"/>
            <w:shd w:val="clear" w:color="auto" w:fill="auto"/>
            <w:vAlign w:val="center"/>
          </w:tcPr>
          <w:p>
            <w:pPr>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针对不同建模方法和采用的算法，模型需要满足相应的评价指标，例如显著性检验P值，回归模型评价指标 R2、qls值，分类模型的准确率、召回率、F1-score等。</w:t>
            </w:r>
          </w:p>
        </w:tc>
        <w:tc>
          <w:tcPr>
            <w:tcW w:w="487"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50"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29"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1项</w:t>
            </w:r>
          </w:p>
        </w:tc>
        <w:tc>
          <w:tcPr>
            <w:tcW w:w="506"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51"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490" w:type="dxa"/>
            <w:vMerge w:val="continue"/>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666" w:type="dxa"/>
            <w:vMerge w:val="continue"/>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683"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建模结果可视化</w:t>
            </w:r>
          </w:p>
        </w:tc>
        <w:tc>
          <w:tcPr>
            <w:tcW w:w="3834" w:type="dxa"/>
            <w:shd w:val="clear" w:color="auto" w:fill="auto"/>
            <w:vAlign w:val="center"/>
          </w:tcPr>
          <w:p>
            <w:pPr>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建模需要程序化及可视化，形成后的模型具备可分析能力，能够直观查看建模后的疾病风险变化对不同医疗资源消耗的影响及权重。</w:t>
            </w:r>
          </w:p>
        </w:tc>
        <w:tc>
          <w:tcPr>
            <w:tcW w:w="487"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50"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29"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1项</w:t>
            </w:r>
          </w:p>
        </w:tc>
        <w:tc>
          <w:tcPr>
            <w:tcW w:w="506"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51"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490" w:type="dxa"/>
            <w:vMerge w:val="continue"/>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666" w:type="dxa"/>
            <w:vMerge w:val="continue"/>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683"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建模维度及应用示例▲</w:t>
            </w:r>
          </w:p>
        </w:tc>
        <w:tc>
          <w:tcPr>
            <w:tcW w:w="3834" w:type="dxa"/>
            <w:shd w:val="clear" w:color="auto" w:fill="auto"/>
            <w:vAlign w:val="center"/>
          </w:tcPr>
          <w:p>
            <w:pPr>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提供至少六类个模型结果示例，并进行模型说明，列举例哪六类模型，并提供系统截图和详细说明如何将六类模型应用于质量分析、费用管理、药耗分析及医疗效率评价、医疗效益提升场景</w:t>
            </w:r>
          </w:p>
        </w:tc>
        <w:tc>
          <w:tcPr>
            <w:tcW w:w="487"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50"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29"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1项</w:t>
            </w:r>
          </w:p>
        </w:tc>
        <w:tc>
          <w:tcPr>
            <w:tcW w:w="506"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51"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490" w:type="dxa"/>
            <w:vMerge w:val="continue"/>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666" w:type="dxa"/>
            <w:vMerge w:val="continue"/>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683"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模型更新周期频率</w:t>
            </w:r>
          </w:p>
        </w:tc>
        <w:tc>
          <w:tcPr>
            <w:tcW w:w="3834" w:type="dxa"/>
            <w:shd w:val="clear" w:color="auto" w:fill="auto"/>
            <w:vAlign w:val="center"/>
          </w:tcPr>
          <w:p>
            <w:pPr>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不低于1年1次。</w:t>
            </w:r>
          </w:p>
        </w:tc>
        <w:tc>
          <w:tcPr>
            <w:tcW w:w="487"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50"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29"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1项</w:t>
            </w:r>
          </w:p>
        </w:tc>
        <w:tc>
          <w:tcPr>
            <w:tcW w:w="506"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51"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490" w:type="dxa"/>
            <w:vMerge w:val="continue"/>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666" w:type="dxa"/>
            <w:vMerge w:val="continue"/>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683"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建模数量</w:t>
            </w:r>
          </w:p>
        </w:tc>
        <w:tc>
          <w:tcPr>
            <w:tcW w:w="3834" w:type="dxa"/>
            <w:shd w:val="clear" w:color="auto" w:fill="auto"/>
            <w:vAlign w:val="center"/>
          </w:tcPr>
          <w:p>
            <w:pPr>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建立模型数量不少于3000个</w:t>
            </w:r>
          </w:p>
        </w:tc>
        <w:tc>
          <w:tcPr>
            <w:tcW w:w="487"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50"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29"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1项</w:t>
            </w:r>
          </w:p>
        </w:tc>
        <w:tc>
          <w:tcPr>
            <w:tcW w:w="506"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51"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490" w:type="dxa"/>
            <w:vMerge w:val="restart"/>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9</w:t>
            </w:r>
          </w:p>
        </w:tc>
        <w:tc>
          <w:tcPr>
            <w:tcW w:w="666" w:type="dxa"/>
            <w:vMerge w:val="restart"/>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医院运营管理智能化运营分析报告</w:t>
            </w:r>
          </w:p>
        </w:tc>
        <w:tc>
          <w:tcPr>
            <w:tcW w:w="683"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总体要求</w:t>
            </w:r>
          </w:p>
        </w:tc>
        <w:tc>
          <w:tcPr>
            <w:tcW w:w="3834" w:type="dxa"/>
            <w:shd w:val="clear" w:color="auto" w:fill="auto"/>
            <w:vAlign w:val="center"/>
          </w:tcPr>
          <w:p>
            <w:pPr>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系统支持智能分析报告应用，提供标准化分析模板。根据成本核算、运营指标分析等形成院、科、医生组的智能分析报告，并设置各级查询报告权限以供用户自行查询</w:t>
            </w:r>
          </w:p>
        </w:tc>
        <w:tc>
          <w:tcPr>
            <w:tcW w:w="487"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50"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29"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1项</w:t>
            </w:r>
          </w:p>
        </w:tc>
        <w:tc>
          <w:tcPr>
            <w:tcW w:w="506"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51"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490" w:type="dxa"/>
            <w:vMerge w:val="continue"/>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666" w:type="dxa"/>
            <w:vMerge w:val="continue"/>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683"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报告内容功能</w:t>
            </w:r>
          </w:p>
        </w:tc>
        <w:tc>
          <w:tcPr>
            <w:tcW w:w="3834" w:type="dxa"/>
            <w:shd w:val="clear" w:color="auto" w:fill="auto"/>
            <w:vAlign w:val="center"/>
          </w:tcPr>
          <w:p>
            <w:pPr>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院/科/组/患者穿透式分析</w:t>
            </w:r>
          </w:p>
          <w:p>
            <w:pPr>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根据运营指标分析等智能生成院/科/组三级追因式运营分析报告，提升运营分析报告撰写效率及质量，为医院改进提供具体的改进方向，将决策支持和运营分析的结果穿透到院科组的最精细颗粒度。支持提供科室/病组/病种/医生组/个案病例数据，报告包含内容全面，为医院改进提供具体的改进方向。</w:t>
            </w:r>
          </w:p>
        </w:tc>
        <w:tc>
          <w:tcPr>
            <w:tcW w:w="487"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50"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29"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1项</w:t>
            </w:r>
          </w:p>
        </w:tc>
        <w:tc>
          <w:tcPr>
            <w:tcW w:w="506"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51"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490" w:type="dxa"/>
            <w:vMerge w:val="continue"/>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666" w:type="dxa"/>
            <w:vMerge w:val="continue"/>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683"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多条件选择</w:t>
            </w:r>
          </w:p>
        </w:tc>
        <w:tc>
          <w:tcPr>
            <w:tcW w:w="3834" w:type="dxa"/>
            <w:shd w:val="clear" w:color="auto" w:fill="auto"/>
            <w:vAlign w:val="center"/>
          </w:tcPr>
          <w:p>
            <w:pPr>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在出院时间界面，可进行一个或多个选择，报告可查看多个时间。同时在科室层面，也可进行一个或多个科室的选择，进行同时下载。</w:t>
            </w:r>
          </w:p>
        </w:tc>
        <w:tc>
          <w:tcPr>
            <w:tcW w:w="487"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50"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29"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1项</w:t>
            </w:r>
          </w:p>
        </w:tc>
        <w:tc>
          <w:tcPr>
            <w:tcW w:w="506"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51"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490" w:type="dxa"/>
            <w:vMerge w:val="continue"/>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666" w:type="dxa"/>
            <w:vMerge w:val="continue"/>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683"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查阅模块</w:t>
            </w:r>
          </w:p>
        </w:tc>
        <w:tc>
          <w:tcPr>
            <w:tcW w:w="3834" w:type="dxa"/>
            <w:shd w:val="clear" w:color="auto" w:fill="auto"/>
            <w:vAlign w:val="center"/>
          </w:tcPr>
          <w:p>
            <w:pPr>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系统自带预览和下载功能，下载后有word和pdf版本，同时可填写邮箱，勾选后发送给对应邮箱进行查阅。也可对历史报告进行查找。</w:t>
            </w:r>
          </w:p>
        </w:tc>
        <w:tc>
          <w:tcPr>
            <w:tcW w:w="487"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50"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29"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1项</w:t>
            </w:r>
          </w:p>
        </w:tc>
        <w:tc>
          <w:tcPr>
            <w:tcW w:w="506"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51"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490" w:type="dxa"/>
            <w:vMerge w:val="continue"/>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666" w:type="dxa"/>
            <w:vMerge w:val="continue"/>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683"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平台基础管理</w:t>
            </w:r>
          </w:p>
        </w:tc>
        <w:tc>
          <w:tcPr>
            <w:tcW w:w="3834" w:type="dxa"/>
            <w:shd w:val="clear" w:color="auto" w:fill="auto"/>
            <w:vAlign w:val="center"/>
          </w:tcPr>
          <w:p>
            <w:pPr>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针对使用用户账号进行管理维护，保证上报报告真实准确，系统对用户设置数据填报、数据审核、数据确认功能，审核后的数据不可进行更改。</w:t>
            </w:r>
          </w:p>
        </w:tc>
        <w:tc>
          <w:tcPr>
            <w:tcW w:w="487"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50"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29"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1项</w:t>
            </w:r>
          </w:p>
        </w:tc>
        <w:tc>
          <w:tcPr>
            <w:tcW w:w="506"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51"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490" w:type="dxa"/>
            <w:vMerge w:val="continue"/>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666" w:type="dxa"/>
            <w:vMerge w:val="continue"/>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683"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报告模板▲</w:t>
            </w:r>
          </w:p>
        </w:tc>
        <w:tc>
          <w:tcPr>
            <w:tcW w:w="3834" w:type="dxa"/>
            <w:shd w:val="clear" w:color="auto" w:fill="auto"/>
            <w:vAlign w:val="center"/>
          </w:tcPr>
          <w:p>
            <w:pPr>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报告模板包含：</w:t>
            </w:r>
          </w:p>
          <w:p>
            <w:pPr>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月度分析报告：门诊与住院双维度的全院月度分析报告、科室月度分析报告、病区月度分析报告、医疗组月度分析报告、主治医生月度分析报告。需提供综合运营分析模板，至少列举院/科/组三类一体化运营分析报告示例，并解释说明运营分析报告的思路以及如何有效提升医院临床科室的管理水平。资源管理专项分析报告：药品费用的专项分析报告（全院/科室/医疗组/主治医生）、耗材费用的专项分析报告（全院/科室/医疗组/主治医生）、手术耗材费用的专项分析报告（全院/科室/医疗组/主治医生）、住院天数的专项分析报告（全院/科室/医疗组/主治医生）、医疗服务费用的专项分析报告（全院/科室/医疗组/主治医生）。</w:t>
            </w:r>
          </w:p>
        </w:tc>
        <w:tc>
          <w:tcPr>
            <w:tcW w:w="487"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50"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29"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1项</w:t>
            </w:r>
          </w:p>
        </w:tc>
        <w:tc>
          <w:tcPr>
            <w:tcW w:w="506"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p>
        </w:tc>
        <w:tc>
          <w:tcPr>
            <w:tcW w:w="551" w:type="dxa"/>
            <w:shd w:val="clear" w:color="auto" w:fill="auto"/>
            <w:vAlign w:val="center"/>
          </w:tcPr>
          <w:p>
            <w:pPr>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3年</w:t>
            </w:r>
          </w:p>
        </w:tc>
      </w:tr>
    </w:tbl>
    <w:p>
      <w:pPr>
        <w:pStyle w:val="14"/>
        <w:spacing w:line="312" w:lineRule="auto"/>
        <w:ind w:firstLine="0" w:firstLineChars="0"/>
        <w:outlineLvl w:val="1"/>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（二）数据资产管理系统</w:t>
      </w:r>
    </w:p>
    <w:tbl>
      <w:tblPr>
        <w:tblStyle w:val="12"/>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11"/>
        <w:gridCol w:w="616"/>
        <w:gridCol w:w="796"/>
        <w:gridCol w:w="3217"/>
        <w:gridCol w:w="708"/>
        <w:gridCol w:w="654"/>
        <w:gridCol w:w="483"/>
        <w:gridCol w:w="665"/>
        <w:gridCol w:w="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blHeader/>
          <w:jc w:val="center"/>
        </w:trPr>
        <w:tc>
          <w:tcPr>
            <w:tcW w:w="611" w:type="dxa"/>
            <w:shd w:val="clear" w:color="auto" w:fill="auto"/>
            <w:vAlign w:val="center"/>
          </w:tcPr>
          <w:p>
            <w:pPr>
              <w:spacing w:line="312" w:lineRule="auto"/>
              <w:jc w:val="center"/>
              <w:rPr>
                <w:rFonts w:ascii="宋体" w:hAnsi="宋体" w:eastAsia="宋体"/>
                <w:b/>
                <w:bCs/>
                <w:color w:val="000000" w:themeColor="text1"/>
                <w:sz w:val="20"/>
                <w:szCs w:val="20"/>
                <w14:textFill>
                  <w14:solidFill>
                    <w14:schemeClr w14:val="tx1"/>
                  </w14:solidFill>
                </w14:textFill>
              </w:rPr>
            </w:pPr>
            <w:r>
              <w:rPr>
                <w:rFonts w:hint="eastAsia" w:ascii="宋体" w:hAnsi="宋体" w:eastAsia="宋体"/>
                <w:b/>
                <w:bCs/>
                <w:color w:val="000000" w:themeColor="text1"/>
                <w:sz w:val="20"/>
                <w:szCs w:val="20"/>
                <w14:textFill>
                  <w14:solidFill>
                    <w14:schemeClr w14:val="tx1"/>
                  </w14:solidFill>
                </w14:textFill>
              </w:rPr>
              <w:t>序号</w:t>
            </w:r>
          </w:p>
        </w:tc>
        <w:tc>
          <w:tcPr>
            <w:tcW w:w="616" w:type="dxa"/>
            <w:shd w:val="clear" w:color="auto" w:fill="auto"/>
            <w:vAlign w:val="center"/>
          </w:tcPr>
          <w:p>
            <w:pPr>
              <w:spacing w:line="312" w:lineRule="auto"/>
              <w:jc w:val="center"/>
              <w:rPr>
                <w:rFonts w:ascii="宋体" w:hAnsi="宋体" w:eastAsia="宋体"/>
                <w:b/>
                <w:bCs/>
                <w:color w:val="000000" w:themeColor="text1"/>
                <w:sz w:val="20"/>
                <w:szCs w:val="20"/>
                <w14:textFill>
                  <w14:solidFill>
                    <w14:schemeClr w14:val="tx1"/>
                  </w14:solidFill>
                </w14:textFill>
              </w:rPr>
            </w:pPr>
            <w:r>
              <w:rPr>
                <w:rFonts w:hint="eastAsia" w:ascii="宋体" w:hAnsi="宋体" w:eastAsia="宋体"/>
                <w:b/>
                <w:bCs/>
                <w:color w:val="000000" w:themeColor="text1"/>
                <w:sz w:val="20"/>
                <w:szCs w:val="20"/>
                <w14:textFill>
                  <w14:solidFill>
                    <w14:schemeClr w14:val="tx1"/>
                  </w14:solidFill>
                </w14:textFill>
              </w:rPr>
              <w:t>模块</w:t>
            </w:r>
          </w:p>
        </w:tc>
        <w:tc>
          <w:tcPr>
            <w:tcW w:w="796" w:type="dxa"/>
            <w:shd w:val="clear" w:color="auto" w:fill="auto"/>
            <w:vAlign w:val="center"/>
          </w:tcPr>
          <w:p>
            <w:pPr>
              <w:spacing w:line="312" w:lineRule="auto"/>
              <w:jc w:val="center"/>
              <w:rPr>
                <w:rFonts w:ascii="宋体" w:hAnsi="宋体" w:eastAsia="宋体"/>
                <w:b/>
                <w:bCs/>
                <w:color w:val="000000" w:themeColor="text1"/>
                <w:sz w:val="20"/>
                <w:szCs w:val="20"/>
                <w14:textFill>
                  <w14:solidFill>
                    <w14:schemeClr w14:val="tx1"/>
                  </w14:solidFill>
                </w14:textFill>
              </w:rPr>
            </w:pPr>
            <w:r>
              <w:rPr>
                <w:rFonts w:hint="eastAsia" w:ascii="宋体" w:hAnsi="宋体" w:eastAsia="宋体"/>
                <w:b/>
                <w:bCs/>
                <w:color w:val="000000" w:themeColor="text1"/>
                <w:sz w:val="20"/>
                <w:szCs w:val="20"/>
                <w14:textFill>
                  <w14:solidFill>
                    <w14:schemeClr w14:val="tx1"/>
                  </w14:solidFill>
                </w14:textFill>
              </w:rPr>
              <w:t>功能</w:t>
            </w:r>
          </w:p>
        </w:tc>
        <w:tc>
          <w:tcPr>
            <w:tcW w:w="3217" w:type="dxa"/>
            <w:shd w:val="clear" w:color="auto" w:fill="auto"/>
            <w:vAlign w:val="center"/>
          </w:tcPr>
          <w:p>
            <w:pPr>
              <w:spacing w:line="312" w:lineRule="auto"/>
              <w:jc w:val="center"/>
              <w:rPr>
                <w:rFonts w:ascii="宋体" w:hAnsi="宋体" w:eastAsia="宋体"/>
                <w:b/>
                <w:bCs/>
                <w:color w:val="000000" w:themeColor="text1"/>
                <w:sz w:val="20"/>
                <w:szCs w:val="20"/>
                <w14:textFill>
                  <w14:solidFill>
                    <w14:schemeClr w14:val="tx1"/>
                  </w14:solidFill>
                </w14:textFill>
              </w:rPr>
            </w:pPr>
            <w:r>
              <w:rPr>
                <w:rFonts w:hint="eastAsia" w:ascii="宋体" w:hAnsi="宋体" w:eastAsia="宋体"/>
                <w:b/>
                <w:bCs/>
                <w:color w:val="000000" w:themeColor="text1"/>
                <w:sz w:val="20"/>
                <w:szCs w:val="20"/>
                <w14:textFill>
                  <w14:solidFill>
                    <w14:schemeClr w14:val="tx1"/>
                  </w14:solidFill>
                </w14:textFill>
              </w:rPr>
              <w:t>内涵描述</w:t>
            </w:r>
          </w:p>
        </w:tc>
        <w:tc>
          <w:tcPr>
            <w:tcW w:w="708" w:type="dxa"/>
            <w:shd w:val="clear" w:color="auto" w:fill="auto"/>
            <w:vAlign w:val="center"/>
          </w:tcPr>
          <w:p>
            <w:pPr>
              <w:spacing w:line="312" w:lineRule="auto"/>
              <w:jc w:val="center"/>
              <w:rPr>
                <w:rFonts w:ascii="宋体" w:hAnsi="宋体" w:eastAsia="宋体"/>
                <w:b/>
                <w:bCs/>
                <w:color w:val="000000" w:themeColor="text1"/>
                <w:sz w:val="20"/>
                <w:szCs w:val="20"/>
                <w14:textFill>
                  <w14:solidFill>
                    <w14:schemeClr w14:val="tx1"/>
                  </w14:solidFill>
                </w14:textFill>
              </w:rPr>
            </w:pPr>
            <w:r>
              <w:rPr>
                <w:rFonts w:hint="eastAsia" w:ascii="宋体" w:hAnsi="宋体" w:eastAsia="宋体"/>
                <w:b/>
                <w:bCs/>
                <w:color w:val="000000" w:themeColor="text1"/>
                <w:sz w:val="20"/>
                <w:szCs w:val="20"/>
                <w14:textFill>
                  <w14:solidFill>
                    <w14:schemeClr w14:val="tx1"/>
                  </w14:solidFill>
                </w14:textFill>
              </w:rPr>
              <w:t>产品</w:t>
            </w:r>
          </w:p>
          <w:p>
            <w:pPr>
              <w:spacing w:line="312" w:lineRule="auto"/>
              <w:jc w:val="center"/>
              <w:rPr>
                <w:rFonts w:ascii="宋体" w:hAnsi="宋体" w:eastAsia="宋体"/>
                <w:b/>
                <w:bCs/>
                <w:color w:val="000000" w:themeColor="text1"/>
                <w:sz w:val="20"/>
                <w:szCs w:val="20"/>
                <w14:textFill>
                  <w14:solidFill>
                    <w14:schemeClr w14:val="tx1"/>
                  </w14:solidFill>
                </w14:textFill>
              </w:rPr>
            </w:pPr>
            <w:r>
              <w:rPr>
                <w:rFonts w:hint="eastAsia" w:ascii="宋体" w:hAnsi="宋体" w:eastAsia="宋体"/>
                <w:b/>
                <w:bCs/>
                <w:color w:val="000000" w:themeColor="text1"/>
                <w:sz w:val="20"/>
                <w:szCs w:val="20"/>
                <w14:textFill>
                  <w14:solidFill>
                    <w14:schemeClr w14:val="tx1"/>
                  </w14:solidFill>
                </w14:textFill>
              </w:rPr>
              <w:t>厂商</w:t>
            </w:r>
          </w:p>
        </w:tc>
        <w:tc>
          <w:tcPr>
            <w:tcW w:w="654" w:type="dxa"/>
            <w:shd w:val="clear" w:color="auto" w:fill="auto"/>
            <w:vAlign w:val="center"/>
          </w:tcPr>
          <w:p>
            <w:pPr>
              <w:spacing w:line="312" w:lineRule="auto"/>
              <w:jc w:val="center"/>
              <w:rPr>
                <w:rFonts w:ascii="宋体" w:hAnsi="宋体" w:eastAsia="宋体"/>
                <w:b/>
                <w:bCs/>
                <w:color w:val="000000" w:themeColor="text1"/>
                <w:sz w:val="20"/>
                <w:szCs w:val="20"/>
                <w14:textFill>
                  <w14:solidFill>
                    <w14:schemeClr w14:val="tx1"/>
                  </w14:solidFill>
                </w14:textFill>
              </w:rPr>
            </w:pPr>
            <w:r>
              <w:rPr>
                <w:rFonts w:hint="eastAsia" w:ascii="宋体" w:hAnsi="宋体" w:eastAsia="宋体"/>
                <w:b/>
                <w:bCs/>
                <w:color w:val="000000" w:themeColor="text1"/>
                <w:sz w:val="20"/>
                <w:szCs w:val="20"/>
                <w14:textFill>
                  <w14:solidFill>
                    <w14:schemeClr w14:val="tx1"/>
                  </w14:solidFill>
                </w14:textFill>
              </w:rPr>
              <w:t>产品型号</w:t>
            </w:r>
          </w:p>
        </w:tc>
        <w:tc>
          <w:tcPr>
            <w:tcW w:w="483" w:type="dxa"/>
            <w:shd w:val="clear" w:color="auto" w:fill="auto"/>
            <w:vAlign w:val="center"/>
          </w:tcPr>
          <w:p>
            <w:pPr>
              <w:spacing w:line="312" w:lineRule="auto"/>
              <w:jc w:val="center"/>
              <w:rPr>
                <w:rFonts w:ascii="宋体" w:hAnsi="宋体" w:eastAsia="宋体"/>
                <w:b/>
                <w:bCs/>
                <w:color w:val="000000" w:themeColor="text1"/>
                <w:sz w:val="20"/>
                <w:szCs w:val="20"/>
                <w14:textFill>
                  <w14:solidFill>
                    <w14:schemeClr w14:val="tx1"/>
                  </w14:solidFill>
                </w14:textFill>
              </w:rPr>
            </w:pPr>
            <w:r>
              <w:rPr>
                <w:rFonts w:hint="eastAsia" w:ascii="宋体" w:hAnsi="宋体" w:eastAsia="宋体"/>
                <w:b/>
                <w:bCs/>
                <w:color w:val="000000" w:themeColor="text1"/>
                <w:sz w:val="20"/>
                <w:szCs w:val="20"/>
                <w14:textFill>
                  <w14:solidFill>
                    <w14:schemeClr w14:val="tx1"/>
                  </w14:solidFill>
                </w14:textFill>
              </w:rPr>
              <w:t>数量</w:t>
            </w:r>
          </w:p>
        </w:tc>
        <w:tc>
          <w:tcPr>
            <w:tcW w:w="665" w:type="dxa"/>
            <w:shd w:val="clear" w:color="auto" w:fill="auto"/>
            <w:vAlign w:val="center"/>
          </w:tcPr>
          <w:p>
            <w:pPr>
              <w:spacing w:line="312" w:lineRule="auto"/>
              <w:jc w:val="center"/>
              <w:rPr>
                <w:rFonts w:ascii="宋体" w:hAnsi="宋体" w:eastAsia="宋体"/>
                <w:b/>
                <w:bCs/>
                <w:color w:val="000000" w:themeColor="text1"/>
                <w:sz w:val="20"/>
                <w:szCs w:val="20"/>
                <w14:textFill>
                  <w14:solidFill>
                    <w14:schemeClr w14:val="tx1"/>
                  </w14:solidFill>
                </w14:textFill>
              </w:rPr>
            </w:pPr>
            <w:r>
              <w:rPr>
                <w:rFonts w:hint="eastAsia" w:ascii="宋体" w:hAnsi="宋体" w:eastAsia="宋体"/>
                <w:b/>
                <w:bCs/>
                <w:color w:val="000000" w:themeColor="text1"/>
                <w:sz w:val="20"/>
                <w:szCs w:val="20"/>
                <w14:textFill>
                  <w14:solidFill>
                    <w14:schemeClr w14:val="tx1"/>
                  </w14:solidFill>
                </w14:textFill>
              </w:rPr>
              <w:t>报价</w:t>
            </w:r>
          </w:p>
        </w:tc>
        <w:tc>
          <w:tcPr>
            <w:tcW w:w="546" w:type="dxa"/>
            <w:shd w:val="clear" w:color="auto" w:fill="auto"/>
            <w:vAlign w:val="center"/>
          </w:tcPr>
          <w:p>
            <w:pPr>
              <w:spacing w:line="312" w:lineRule="auto"/>
              <w:jc w:val="center"/>
              <w:rPr>
                <w:rFonts w:ascii="宋体" w:hAnsi="宋体" w:eastAsia="宋体"/>
                <w:b/>
                <w:bCs/>
                <w:color w:val="000000" w:themeColor="text1"/>
                <w:sz w:val="20"/>
                <w:szCs w:val="20"/>
                <w14:textFill>
                  <w14:solidFill>
                    <w14:schemeClr w14:val="tx1"/>
                  </w14:solidFill>
                </w14:textFill>
              </w:rPr>
            </w:pPr>
            <w:r>
              <w:rPr>
                <w:rFonts w:hint="eastAsia" w:ascii="宋体" w:hAnsi="宋体" w:eastAsia="宋体"/>
                <w:b/>
                <w:bCs/>
                <w:color w:val="000000" w:themeColor="text1"/>
                <w:sz w:val="20"/>
                <w:szCs w:val="20"/>
                <w14:textFill>
                  <w14:solidFill>
                    <w14:schemeClr w14:val="tx1"/>
                  </w14:solidFill>
                </w14:textFill>
              </w:rPr>
              <w:t>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1" w:type="dxa"/>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w:t>
            </w:r>
          </w:p>
        </w:tc>
        <w:tc>
          <w:tcPr>
            <w:tcW w:w="616" w:type="dxa"/>
            <w:vMerge w:val="restart"/>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医院运营业务数据基础域</w:t>
            </w:r>
          </w:p>
        </w:tc>
        <w:tc>
          <w:tcPr>
            <w:tcW w:w="796" w:type="dxa"/>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医院运营数据仓库</w:t>
            </w:r>
          </w:p>
        </w:tc>
        <w:tc>
          <w:tcPr>
            <w:tcW w:w="3217" w:type="dxa"/>
            <w:shd w:val="clear" w:color="auto" w:fill="auto"/>
          </w:tcPr>
          <w:p>
            <w:pPr>
              <w:spacing w:line="312" w:lineRule="auto"/>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采用了分层设计管理的方法，以满足不同业务需求和提高数据服务灵活性为目标，以数据仓库分层设计和分层管理方法，构建医院运营数据仓库。</w:t>
            </w:r>
          </w:p>
        </w:tc>
        <w:tc>
          <w:tcPr>
            <w:tcW w:w="708" w:type="dxa"/>
            <w:shd w:val="clear" w:color="auto" w:fill="auto"/>
          </w:tcPr>
          <w:p>
            <w:pPr>
              <w:spacing w:line="312" w:lineRule="auto"/>
              <w:jc w:val="center"/>
              <w:rPr>
                <w:rFonts w:ascii="宋体" w:hAnsi="宋体" w:eastAsia="宋体"/>
                <w:color w:val="000000" w:themeColor="text1"/>
                <w:sz w:val="20"/>
                <w:szCs w:val="20"/>
                <w14:textFill>
                  <w14:solidFill>
                    <w14:schemeClr w14:val="tx1"/>
                  </w14:solidFill>
                </w14:textFill>
              </w:rPr>
            </w:pPr>
          </w:p>
        </w:tc>
        <w:tc>
          <w:tcPr>
            <w:tcW w:w="654" w:type="dxa"/>
            <w:shd w:val="clear" w:color="auto" w:fill="auto"/>
          </w:tcPr>
          <w:p>
            <w:pPr>
              <w:spacing w:line="312" w:lineRule="auto"/>
              <w:jc w:val="center"/>
              <w:rPr>
                <w:rFonts w:ascii="宋体" w:hAnsi="宋体" w:eastAsia="宋体"/>
                <w:color w:val="000000" w:themeColor="text1"/>
                <w:sz w:val="20"/>
                <w:szCs w:val="20"/>
                <w14:textFill>
                  <w14:solidFill>
                    <w14:schemeClr w14:val="tx1"/>
                  </w14:solidFill>
                </w14:textFill>
              </w:rPr>
            </w:pPr>
          </w:p>
        </w:tc>
        <w:tc>
          <w:tcPr>
            <w:tcW w:w="483" w:type="dxa"/>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1项</w:t>
            </w:r>
          </w:p>
        </w:tc>
        <w:tc>
          <w:tcPr>
            <w:tcW w:w="665" w:type="dxa"/>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p>
        </w:tc>
        <w:tc>
          <w:tcPr>
            <w:tcW w:w="546" w:type="dxa"/>
            <w:shd w:val="clear" w:color="auto" w:fill="auto"/>
            <w:vAlign w:val="center"/>
          </w:tcPr>
          <w:p>
            <w:pPr>
              <w:spacing w:line="312" w:lineRule="auto"/>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1" w:type="dxa"/>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2</w:t>
            </w:r>
          </w:p>
        </w:tc>
        <w:tc>
          <w:tcPr>
            <w:tcW w:w="616" w:type="dxa"/>
            <w:vMerge w:val="continue"/>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p>
        </w:tc>
        <w:tc>
          <w:tcPr>
            <w:tcW w:w="796" w:type="dxa"/>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运营数据模型管理</w:t>
            </w:r>
          </w:p>
        </w:tc>
        <w:tc>
          <w:tcPr>
            <w:tcW w:w="3217" w:type="dxa"/>
            <w:shd w:val="clear" w:color="auto" w:fill="auto"/>
            <w:vAlign w:val="center"/>
          </w:tcPr>
          <w:p>
            <w:pPr>
              <w:spacing w:line="312" w:lineRule="auto"/>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为了满足多样的数据来源和丰富的业务需求，需要强大而灵活数据建模，支持运营管理DWS数据模型，支持自动创建原始数据模型，支持自定义创建数据模型和表，支持模型引用和一键发布，支持数据模型关联与配置、层级化版本管理与应用，平台根据数据元规范实现数据元、数据元限定词和代码集的新增、编辑、查看详情、删除、查看版本变更历史、导出等功能，并支持数据项与数据标准的对标，为数据标准化提供支撑，提供一整套数据治理流程管理工具，包括元数据采集，元数据维护，元数据定版。</w:t>
            </w:r>
          </w:p>
        </w:tc>
        <w:tc>
          <w:tcPr>
            <w:tcW w:w="708" w:type="dxa"/>
            <w:shd w:val="clear" w:color="auto" w:fill="auto"/>
          </w:tcPr>
          <w:p>
            <w:pPr>
              <w:spacing w:line="312" w:lineRule="auto"/>
              <w:jc w:val="center"/>
              <w:rPr>
                <w:rFonts w:ascii="宋体" w:hAnsi="宋体" w:eastAsia="宋体"/>
                <w:color w:val="000000" w:themeColor="text1"/>
                <w:sz w:val="20"/>
                <w:szCs w:val="20"/>
                <w14:textFill>
                  <w14:solidFill>
                    <w14:schemeClr w14:val="tx1"/>
                  </w14:solidFill>
                </w14:textFill>
              </w:rPr>
            </w:pPr>
          </w:p>
        </w:tc>
        <w:tc>
          <w:tcPr>
            <w:tcW w:w="654" w:type="dxa"/>
            <w:shd w:val="clear" w:color="auto" w:fill="auto"/>
          </w:tcPr>
          <w:p>
            <w:pPr>
              <w:spacing w:line="312" w:lineRule="auto"/>
              <w:jc w:val="center"/>
              <w:rPr>
                <w:rFonts w:ascii="宋体" w:hAnsi="宋体" w:eastAsia="宋体"/>
                <w:color w:val="000000" w:themeColor="text1"/>
                <w:sz w:val="20"/>
                <w:szCs w:val="20"/>
                <w14:textFill>
                  <w14:solidFill>
                    <w14:schemeClr w14:val="tx1"/>
                  </w14:solidFill>
                </w14:textFill>
              </w:rPr>
            </w:pPr>
          </w:p>
        </w:tc>
        <w:tc>
          <w:tcPr>
            <w:tcW w:w="483" w:type="dxa"/>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1项</w:t>
            </w:r>
          </w:p>
        </w:tc>
        <w:tc>
          <w:tcPr>
            <w:tcW w:w="665" w:type="dxa"/>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p>
        </w:tc>
        <w:tc>
          <w:tcPr>
            <w:tcW w:w="546" w:type="dxa"/>
            <w:shd w:val="clear" w:color="auto" w:fill="auto"/>
            <w:vAlign w:val="center"/>
          </w:tcPr>
          <w:p>
            <w:pPr>
              <w:spacing w:line="312" w:lineRule="auto"/>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1" w:type="dxa"/>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w:t>
            </w:r>
          </w:p>
        </w:tc>
        <w:tc>
          <w:tcPr>
            <w:tcW w:w="616" w:type="dxa"/>
            <w:vMerge w:val="continue"/>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p>
        </w:tc>
        <w:tc>
          <w:tcPr>
            <w:tcW w:w="796" w:type="dxa"/>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运营数据开发治理</w:t>
            </w:r>
          </w:p>
        </w:tc>
        <w:tc>
          <w:tcPr>
            <w:tcW w:w="3217" w:type="dxa"/>
            <w:shd w:val="clear" w:color="auto" w:fill="auto"/>
            <w:vAlign w:val="center"/>
          </w:tcPr>
          <w:p>
            <w:pPr>
              <w:spacing w:line="312" w:lineRule="auto"/>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建立数据开发工场体系，以统一的数据开发流水线和统一任务调度，对医院病历、临床、运营等数据进行主索引管理、质控管理和深度开发治理。</w:t>
            </w:r>
          </w:p>
        </w:tc>
        <w:tc>
          <w:tcPr>
            <w:tcW w:w="708" w:type="dxa"/>
            <w:shd w:val="clear" w:color="auto" w:fill="auto"/>
          </w:tcPr>
          <w:p>
            <w:pPr>
              <w:spacing w:line="312" w:lineRule="auto"/>
              <w:jc w:val="center"/>
              <w:rPr>
                <w:rFonts w:ascii="宋体" w:hAnsi="宋体" w:eastAsia="宋体"/>
                <w:color w:val="000000" w:themeColor="text1"/>
                <w:sz w:val="20"/>
                <w:szCs w:val="20"/>
                <w14:textFill>
                  <w14:solidFill>
                    <w14:schemeClr w14:val="tx1"/>
                  </w14:solidFill>
                </w14:textFill>
              </w:rPr>
            </w:pPr>
          </w:p>
        </w:tc>
        <w:tc>
          <w:tcPr>
            <w:tcW w:w="654" w:type="dxa"/>
            <w:shd w:val="clear" w:color="auto" w:fill="auto"/>
          </w:tcPr>
          <w:p>
            <w:pPr>
              <w:spacing w:line="312" w:lineRule="auto"/>
              <w:jc w:val="center"/>
              <w:rPr>
                <w:rFonts w:ascii="宋体" w:hAnsi="宋体" w:eastAsia="宋体"/>
                <w:color w:val="000000" w:themeColor="text1"/>
                <w:sz w:val="20"/>
                <w:szCs w:val="20"/>
                <w14:textFill>
                  <w14:solidFill>
                    <w14:schemeClr w14:val="tx1"/>
                  </w14:solidFill>
                </w14:textFill>
              </w:rPr>
            </w:pPr>
          </w:p>
        </w:tc>
        <w:tc>
          <w:tcPr>
            <w:tcW w:w="483" w:type="dxa"/>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1项</w:t>
            </w:r>
          </w:p>
        </w:tc>
        <w:tc>
          <w:tcPr>
            <w:tcW w:w="665" w:type="dxa"/>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p>
        </w:tc>
        <w:tc>
          <w:tcPr>
            <w:tcW w:w="546" w:type="dxa"/>
            <w:shd w:val="clear" w:color="auto" w:fill="auto"/>
            <w:vAlign w:val="center"/>
          </w:tcPr>
          <w:p>
            <w:pPr>
              <w:spacing w:line="312" w:lineRule="auto"/>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1" w:type="dxa"/>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4</w:t>
            </w:r>
          </w:p>
        </w:tc>
        <w:tc>
          <w:tcPr>
            <w:tcW w:w="616" w:type="dxa"/>
            <w:vMerge w:val="continue"/>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p>
        </w:tc>
        <w:tc>
          <w:tcPr>
            <w:tcW w:w="796" w:type="dxa"/>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运营数据资产管理</w:t>
            </w:r>
          </w:p>
        </w:tc>
        <w:tc>
          <w:tcPr>
            <w:tcW w:w="3217" w:type="dxa"/>
            <w:shd w:val="clear" w:color="auto" w:fill="auto"/>
            <w:vAlign w:val="center"/>
          </w:tcPr>
          <w:p>
            <w:pPr>
              <w:spacing w:line="312"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对运营数据资产进行分类管理，如数据本身包括数据的产生方式、自身属性、结构、数据格式以及数据量等，如附加产物即数据使用和加工过程中产生的附加产物，包括数据API、数据模型、数据处理UDF函数等。支持用户查看、加工、分析、存储、管理和迭代，以便用户持续挖掘、应用运营数据资产的价值。</w:t>
            </w:r>
          </w:p>
          <w:p>
            <w:pPr>
              <w:pStyle w:val="2"/>
              <w:rPr>
                <w:rFonts w:asciiTheme="minorHAnsi" w:hAnsiTheme="minorHAnsi"/>
                <w:color w:val="000000" w:themeColor="text1"/>
                <w:kern w:val="2"/>
                <w:sz w:val="21"/>
                <w:szCs w:val="22"/>
                <w:lang w:val="en-US"/>
                <w14:textFill>
                  <w14:solidFill>
                    <w14:schemeClr w14:val="tx1"/>
                  </w14:solidFill>
                </w14:textFill>
              </w:rPr>
            </w:pPr>
            <w:r>
              <w:rPr>
                <w:rFonts w:hint="eastAsia" w:asciiTheme="minorHAnsi" w:hAnsiTheme="minorHAnsi"/>
                <w:color w:val="000000" w:themeColor="text1"/>
                <w:kern w:val="2"/>
                <w:sz w:val="21"/>
                <w:szCs w:val="22"/>
                <w:lang w:val="en-US"/>
                <w14:textFill>
                  <w14:solidFill>
                    <w14:schemeClr w14:val="tx1"/>
                  </w14:solidFill>
                </w14:textFill>
              </w:rPr>
              <w:t>系统（内置）参考数据模型并支持增加维护；自动创建原始数据模型，无需人工操作可获得原始数据表结构等信息。</w:t>
            </w:r>
          </w:p>
          <w:p>
            <w:pPr>
              <w:pStyle w:val="2"/>
              <w:rPr>
                <w:color w:val="000000" w:themeColor="text1"/>
                <w14:textFill>
                  <w14:solidFill>
                    <w14:schemeClr w14:val="tx1"/>
                  </w14:solidFill>
                </w14:textFill>
              </w:rPr>
            </w:pPr>
            <w:r>
              <w:rPr>
                <w:rFonts w:hint="eastAsia"/>
                <w:color w:val="000000" w:themeColor="text1"/>
                <w:lang w:val="en-US"/>
                <w14:textFill>
                  <w14:solidFill>
                    <w14:schemeClr w14:val="tx1"/>
                  </w14:solidFill>
                </w14:textFill>
              </w:rPr>
              <w:t>支持已发布的指标支持通过数据API对外开放，以便第三方系统或应用能够方便地调用指标数据。</w:t>
            </w:r>
          </w:p>
        </w:tc>
        <w:tc>
          <w:tcPr>
            <w:tcW w:w="708" w:type="dxa"/>
            <w:shd w:val="clear" w:color="auto" w:fill="auto"/>
          </w:tcPr>
          <w:p>
            <w:pPr>
              <w:spacing w:line="312" w:lineRule="auto"/>
              <w:jc w:val="center"/>
              <w:rPr>
                <w:rFonts w:ascii="宋体" w:hAnsi="宋体" w:eastAsia="宋体"/>
                <w:color w:val="000000" w:themeColor="text1"/>
                <w:sz w:val="20"/>
                <w:szCs w:val="20"/>
                <w14:textFill>
                  <w14:solidFill>
                    <w14:schemeClr w14:val="tx1"/>
                  </w14:solidFill>
                </w14:textFill>
              </w:rPr>
            </w:pPr>
          </w:p>
        </w:tc>
        <w:tc>
          <w:tcPr>
            <w:tcW w:w="654" w:type="dxa"/>
            <w:shd w:val="clear" w:color="auto" w:fill="auto"/>
          </w:tcPr>
          <w:p>
            <w:pPr>
              <w:spacing w:line="312" w:lineRule="auto"/>
              <w:jc w:val="center"/>
              <w:rPr>
                <w:rFonts w:ascii="宋体" w:hAnsi="宋体" w:eastAsia="宋体"/>
                <w:color w:val="000000" w:themeColor="text1"/>
                <w:sz w:val="20"/>
                <w:szCs w:val="20"/>
                <w14:textFill>
                  <w14:solidFill>
                    <w14:schemeClr w14:val="tx1"/>
                  </w14:solidFill>
                </w14:textFill>
              </w:rPr>
            </w:pPr>
          </w:p>
        </w:tc>
        <w:tc>
          <w:tcPr>
            <w:tcW w:w="483" w:type="dxa"/>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1项</w:t>
            </w:r>
          </w:p>
        </w:tc>
        <w:tc>
          <w:tcPr>
            <w:tcW w:w="665" w:type="dxa"/>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p>
        </w:tc>
        <w:tc>
          <w:tcPr>
            <w:tcW w:w="546" w:type="dxa"/>
            <w:shd w:val="clear" w:color="auto" w:fill="auto"/>
            <w:vAlign w:val="center"/>
          </w:tcPr>
          <w:p>
            <w:pPr>
              <w:spacing w:line="312" w:lineRule="auto"/>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1" w:type="dxa"/>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12</w:t>
            </w:r>
          </w:p>
        </w:tc>
        <w:tc>
          <w:tcPr>
            <w:tcW w:w="616" w:type="dxa"/>
            <w:vMerge w:val="continue"/>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p>
        </w:tc>
        <w:tc>
          <w:tcPr>
            <w:tcW w:w="796" w:type="dxa"/>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运营指标中心</w:t>
            </w:r>
          </w:p>
        </w:tc>
        <w:tc>
          <w:tcPr>
            <w:tcW w:w="3217" w:type="dxa"/>
            <w:shd w:val="clear" w:color="auto" w:fill="auto"/>
            <w:vAlign w:val="center"/>
          </w:tcPr>
          <w:p>
            <w:pPr>
              <w:spacing w:line="312" w:lineRule="auto"/>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构建通用指标库和应用指标库，包括：</w:t>
            </w:r>
          </w:p>
          <w:p>
            <w:pPr>
              <w:spacing w:line="312" w:lineRule="auto"/>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具体业务领域指标如门诊预约率、收入增长率、员工满意度等；特定业务流程关键指标如手术室利用率、病床周转时间等；定制化指标，根据具体业务需求，为用户定制和添加新的指标。以满足具体业务流程的监控和优化需求，适应不同数据业务应用场景。</w:t>
            </w:r>
          </w:p>
        </w:tc>
        <w:tc>
          <w:tcPr>
            <w:tcW w:w="708" w:type="dxa"/>
            <w:shd w:val="clear" w:color="auto" w:fill="auto"/>
          </w:tcPr>
          <w:p>
            <w:pPr>
              <w:spacing w:line="312" w:lineRule="auto"/>
              <w:jc w:val="center"/>
              <w:rPr>
                <w:rFonts w:ascii="宋体" w:hAnsi="宋体" w:eastAsia="宋体"/>
                <w:color w:val="000000" w:themeColor="text1"/>
                <w:sz w:val="20"/>
                <w:szCs w:val="20"/>
                <w14:textFill>
                  <w14:solidFill>
                    <w14:schemeClr w14:val="tx1"/>
                  </w14:solidFill>
                </w14:textFill>
              </w:rPr>
            </w:pPr>
          </w:p>
        </w:tc>
        <w:tc>
          <w:tcPr>
            <w:tcW w:w="654" w:type="dxa"/>
            <w:shd w:val="clear" w:color="auto" w:fill="auto"/>
          </w:tcPr>
          <w:p>
            <w:pPr>
              <w:spacing w:line="312" w:lineRule="auto"/>
              <w:jc w:val="center"/>
              <w:rPr>
                <w:rFonts w:ascii="宋体" w:hAnsi="宋体" w:eastAsia="宋体"/>
                <w:color w:val="000000" w:themeColor="text1"/>
                <w:sz w:val="20"/>
                <w:szCs w:val="20"/>
                <w14:textFill>
                  <w14:solidFill>
                    <w14:schemeClr w14:val="tx1"/>
                  </w14:solidFill>
                </w14:textFill>
              </w:rPr>
            </w:pPr>
          </w:p>
        </w:tc>
        <w:tc>
          <w:tcPr>
            <w:tcW w:w="483" w:type="dxa"/>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1项</w:t>
            </w:r>
          </w:p>
        </w:tc>
        <w:tc>
          <w:tcPr>
            <w:tcW w:w="665" w:type="dxa"/>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p>
        </w:tc>
        <w:tc>
          <w:tcPr>
            <w:tcW w:w="546" w:type="dxa"/>
            <w:shd w:val="clear" w:color="auto" w:fill="auto"/>
            <w:vAlign w:val="center"/>
          </w:tcPr>
          <w:p>
            <w:pPr>
              <w:spacing w:line="312" w:lineRule="auto"/>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1" w:type="dxa"/>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13</w:t>
            </w:r>
          </w:p>
        </w:tc>
        <w:tc>
          <w:tcPr>
            <w:tcW w:w="616" w:type="dxa"/>
            <w:vMerge w:val="continue"/>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p>
        </w:tc>
        <w:tc>
          <w:tcPr>
            <w:tcW w:w="796" w:type="dxa"/>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运营标签中心</w:t>
            </w:r>
          </w:p>
        </w:tc>
        <w:tc>
          <w:tcPr>
            <w:tcW w:w="3217" w:type="dxa"/>
            <w:shd w:val="clear" w:color="auto" w:fill="auto"/>
            <w:vAlign w:val="center"/>
          </w:tcPr>
          <w:p>
            <w:pPr>
              <w:spacing w:line="312" w:lineRule="auto"/>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对医疗数据进行有序分类和标记，以满足后续的数据分析、查询和应用需求。标签应包括了重点病种、重点术种、质量安全、结算结余等，标签粒度达到行级数据和患者个体的级别，以满足不同层次的数据分析和应用需求。</w:t>
            </w:r>
          </w:p>
        </w:tc>
        <w:tc>
          <w:tcPr>
            <w:tcW w:w="708" w:type="dxa"/>
            <w:shd w:val="clear" w:color="auto" w:fill="auto"/>
          </w:tcPr>
          <w:p>
            <w:pPr>
              <w:spacing w:line="312" w:lineRule="auto"/>
              <w:jc w:val="center"/>
              <w:rPr>
                <w:rFonts w:ascii="宋体" w:hAnsi="宋体" w:eastAsia="宋体"/>
                <w:color w:val="000000" w:themeColor="text1"/>
                <w:sz w:val="20"/>
                <w:szCs w:val="20"/>
                <w14:textFill>
                  <w14:solidFill>
                    <w14:schemeClr w14:val="tx1"/>
                  </w14:solidFill>
                </w14:textFill>
              </w:rPr>
            </w:pPr>
          </w:p>
        </w:tc>
        <w:tc>
          <w:tcPr>
            <w:tcW w:w="654" w:type="dxa"/>
            <w:shd w:val="clear" w:color="auto" w:fill="auto"/>
          </w:tcPr>
          <w:p>
            <w:pPr>
              <w:spacing w:line="312" w:lineRule="auto"/>
              <w:jc w:val="center"/>
              <w:rPr>
                <w:rFonts w:ascii="宋体" w:hAnsi="宋体" w:eastAsia="宋体"/>
                <w:color w:val="000000" w:themeColor="text1"/>
                <w:sz w:val="20"/>
                <w:szCs w:val="20"/>
                <w14:textFill>
                  <w14:solidFill>
                    <w14:schemeClr w14:val="tx1"/>
                  </w14:solidFill>
                </w14:textFill>
              </w:rPr>
            </w:pPr>
          </w:p>
        </w:tc>
        <w:tc>
          <w:tcPr>
            <w:tcW w:w="483" w:type="dxa"/>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1项</w:t>
            </w:r>
          </w:p>
        </w:tc>
        <w:tc>
          <w:tcPr>
            <w:tcW w:w="665" w:type="dxa"/>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p>
        </w:tc>
        <w:tc>
          <w:tcPr>
            <w:tcW w:w="546" w:type="dxa"/>
            <w:shd w:val="clear" w:color="auto" w:fill="auto"/>
            <w:vAlign w:val="center"/>
          </w:tcPr>
          <w:p>
            <w:pPr>
              <w:spacing w:line="312" w:lineRule="auto"/>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1" w:type="dxa"/>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14</w:t>
            </w:r>
          </w:p>
        </w:tc>
        <w:tc>
          <w:tcPr>
            <w:tcW w:w="616" w:type="dxa"/>
            <w:vMerge w:val="restart"/>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医院运营基础管理与集成域</w:t>
            </w:r>
          </w:p>
        </w:tc>
        <w:tc>
          <w:tcPr>
            <w:tcW w:w="796" w:type="dxa"/>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运营基础管理</w:t>
            </w:r>
          </w:p>
        </w:tc>
        <w:tc>
          <w:tcPr>
            <w:tcW w:w="3217" w:type="dxa"/>
            <w:shd w:val="clear" w:color="auto" w:fill="auto"/>
            <w:vAlign w:val="center"/>
          </w:tcPr>
          <w:p>
            <w:pPr>
              <w:spacing w:line="312" w:lineRule="auto"/>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通过直接使用、整合、新建等方式，完成基础信息、用户注册、权限管理、日志管理等基本功能配置，实现对医院运营基础功能有效管理。</w:t>
            </w:r>
          </w:p>
        </w:tc>
        <w:tc>
          <w:tcPr>
            <w:tcW w:w="708" w:type="dxa"/>
            <w:shd w:val="clear" w:color="auto" w:fill="auto"/>
          </w:tcPr>
          <w:p>
            <w:pPr>
              <w:spacing w:line="312" w:lineRule="auto"/>
              <w:jc w:val="center"/>
              <w:rPr>
                <w:rFonts w:ascii="宋体" w:hAnsi="宋体" w:eastAsia="宋体"/>
                <w:color w:val="000000" w:themeColor="text1"/>
                <w:sz w:val="20"/>
                <w:szCs w:val="20"/>
                <w14:textFill>
                  <w14:solidFill>
                    <w14:schemeClr w14:val="tx1"/>
                  </w14:solidFill>
                </w14:textFill>
              </w:rPr>
            </w:pPr>
          </w:p>
        </w:tc>
        <w:tc>
          <w:tcPr>
            <w:tcW w:w="654" w:type="dxa"/>
            <w:shd w:val="clear" w:color="auto" w:fill="auto"/>
          </w:tcPr>
          <w:p>
            <w:pPr>
              <w:spacing w:line="312" w:lineRule="auto"/>
              <w:jc w:val="center"/>
              <w:rPr>
                <w:rFonts w:ascii="宋体" w:hAnsi="宋体" w:eastAsia="宋体"/>
                <w:color w:val="000000" w:themeColor="text1"/>
                <w:sz w:val="20"/>
                <w:szCs w:val="20"/>
                <w14:textFill>
                  <w14:solidFill>
                    <w14:schemeClr w14:val="tx1"/>
                  </w14:solidFill>
                </w14:textFill>
              </w:rPr>
            </w:pPr>
          </w:p>
        </w:tc>
        <w:tc>
          <w:tcPr>
            <w:tcW w:w="483" w:type="dxa"/>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1项</w:t>
            </w:r>
          </w:p>
        </w:tc>
        <w:tc>
          <w:tcPr>
            <w:tcW w:w="665" w:type="dxa"/>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p>
        </w:tc>
        <w:tc>
          <w:tcPr>
            <w:tcW w:w="546" w:type="dxa"/>
            <w:shd w:val="clear" w:color="auto" w:fill="auto"/>
            <w:vAlign w:val="center"/>
          </w:tcPr>
          <w:p>
            <w:pPr>
              <w:spacing w:line="312" w:lineRule="auto"/>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1" w:type="dxa"/>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15</w:t>
            </w:r>
          </w:p>
        </w:tc>
        <w:tc>
          <w:tcPr>
            <w:tcW w:w="616" w:type="dxa"/>
            <w:vMerge w:val="continue"/>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p>
        </w:tc>
        <w:tc>
          <w:tcPr>
            <w:tcW w:w="796" w:type="dxa"/>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运营数据存储运算</w:t>
            </w:r>
          </w:p>
        </w:tc>
        <w:tc>
          <w:tcPr>
            <w:tcW w:w="3217" w:type="dxa"/>
            <w:shd w:val="clear" w:color="auto" w:fill="auto"/>
            <w:vAlign w:val="center"/>
          </w:tcPr>
          <w:p>
            <w:pPr>
              <w:spacing w:line="312" w:lineRule="auto"/>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应用分布式存储管理和大数据计算引擎技术，全量汇聚、存储医院运营数据。</w:t>
            </w:r>
          </w:p>
        </w:tc>
        <w:tc>
          <w:tcPr>
            <w:tcW w:w="708" w:type="dxa"/>
            <w:shd w:val="clear" w:color="auto" w:fill="auto"/>
          </w:tcPr>
          <w:p>
            <w:pPr>
              <w:spacing w:line="312" w:lineRule="auto"/>
              <w:jc w:val="center"/>
              <w:rPr>
                <w:rFonts w:ascii="宋体" w:hAnsi="宋体" w:eastAsia="宋体"/>
                <w:color w:val="000000" w:themeColor="text1"/>
                <w:sz w:val="20"/>
                <w:szCs w:val="20"/>
                <w14:textFill>
                  <w14:solidFill>
                    <w14:schemeClr w14:val="tx1"/>
                  </w14:solidFill>
                </w14:textFill>
              </w:rPr>
            </w:pPr>
          </w:p>
        </w:tc>
        <w:tc>
          <w:tcPr>
            <w:tcW w:w="654" w:type="dxa"/>
            <w:shd w:val="clear" w:color="auto" w:fill="auto"/>
          </w:tcPr>
          <w:p>
            <w:pPr>
              <w:spacing w:line="312" w:lineRule="auto"/>
              <w:jc w:val="center"/>
              <w:rPr>
                <w:rFonts w:ascii="宋体" w:hAnsi="宋体" w:eastAsia="宋体"/>
                <w:color w:val="000000" w:themeColor="text1"/>
                <w:sz w:val="20"/>
                <w:szCs w:val="20"/>
                <w14:textFill>
                  <w14:solidFill>
                    <w14:schemeClr w14:val="tx1"/>
                  </w14:solidFill>
                </w14:textFill>
              </w:rPr>
            </w:pPr>
          </w:p>
        </w:tc>
        <w:tc>
          <w:tcPr>
            <w:tcW w:w="483" w:type="dxa"/>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1项</w:t>
            </w:r>
          </w:p>
        </w:tc>
        <w:tc>
          <w:tcPr>
            <w:tcW w:w="665" w:type="dxa"/>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p>
        </w:tc>
        <w:tc>
          <w:tcPr>
            <w:tcW w:w="546" w:type="dxa"/>
            <w:shd w:val="clear" w:color="auto" w:fill="auto"/>
            <w:vAlign w:val="center"/>
          </w:tcPr>
          <w:p>
            <w:pPr>
              <w:spacing w:line="312" w:lineRule="auto"/>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1" w:type="dxa"/>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16</w:t>
            </w:r>
          </w:p>
        </w:tc>
        <w:tc>
          <w:tcPr>
            <w:tcW w:w="616" w:type="dxa"/>
            <w:vMerge w:val="continue"/>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p>
        </w:tc>
        <w:tc>
          <w:tcPr>
            <w:tcW w:w="796" w:type="dxa"/>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运营数据采集和融合</w:t>
            </w:r>
          </w:p>
        </w:tc>
        <w:tc>
          <w:tcPr>
            <w:tcW w:w="3217" w:type="dxa"/>
            <w:shd w:val="clear" w:color="auto" w:fill="auto"/>
            <w:vAlign w:val="center"/>
          </w:tcPr>
          <w:p>
            <w:pPr>
              <w:spacing w:line="312" w:lineRule="auto"/>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建立数据源适配能力和多源异构数据采集能力，配合实时数据采集、数据质量检测、数据转换与清洗、数据安全性控制、异常处理和监控、一库/表一策略等功能，完成医院全量历史数据、增量实时数据的采集与融合，采集流程可视化，数据采集过程中，系统提供全面的数据稽查功能，以确保数据的可靠性和准确性，具备自动补采功能，应对部分数据采集失败而不至于中断整个任务，提高系统的容错性和可用性，确保数据采集的高效性和完整性。</w:t>
            </w:r>
          </w:p>
        </w:tc>
        <w:tc>
          <w:tcPr>
            <w:tcW w:w="708" w:type="dxa"/>
            <w:shd w:val="clear" w:color="auto" w:fill="auto"/>
          </w:tcPr>
          <w:p>
            <w:pPr>
              <w:spacing w:line="312" w:lineRule="auto"/>
              <w:jc w:val="center"/>
              <w:rPr>
                <w:rFonts w:ascii="宋体" w:hAnsi="宋体" w:eastAsia="宋体"/>
                <w:color w:val="000000" w:themeColor="text1"/>
                <w:sz w:val="20"/>
                <w:szCs w:val="20"/>
                <w14:textFill>
                  <w14:solidFill>
                    <w14:schemeClr w14:val="tx1"/>
                  </w14:solidFill>
                </w14:textFill>
              </w:rPr>
            </w:pPr>
          </w:p>
        </w:tc>
        <w:tc>
          <w:tcPr>
            <w:tcW w:w="654" w:type="dxa"/>
            <w:shd w:val="clear" w:color="auto" w:fill="auto"/>
          </w:tcPr>
          <w:p>
            <w:pPr>
              <w:spacing w:line="312" w:lineRule="auto"/>
              <w:jc w:val="center"/>
              <w:rPr>
                <w:rFonts w:ascii="宋体" w:hAnsi="宋体" w:eastAsia="宋体"/>
                <w:color w:val="000000" w:themeColor="text1"/>
                <w:sz w:val="20"/>
                <w:szCs w:val="20"/>
                <w14:textFill>
                  <w14:solidFill>
                    <w14:schemeClr w14:val="tx1"/>
                  </w14:solidFill>
                </w14:textFill>
              </w:rPr>
            </w:pPr>
          </w:p>
        </w:tc>
        <w:tc>
          <w:tcPr>
            <w:tcW w:w="483" w:type="dxa"/>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1项</w:t>
            </w:r>
          </w:p>
        </w:tc>
        <w:tc>
          <w:tcPr>
            <w:tcW w:w="665" w:type="dxa"/>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p>
        </w:tc>
        <w:tc>
          <w:tcPr>
            <w:tcW w:w="546" w:type="dxa"/>
            <w:shd w:val="clear" w:color="auto" w:fill="auto"/>
            <w:vAlign w:val="center"/>
          </w:tcPr>
          <w:p>
            <w:pPr>
              <w:spacing w:line="312" w:lineRule="auto"/>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1" w:type="dxa"/>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17</w:t>
            </w:r>
          </w:p>
        </w:tc>
        <w:tc>
          <w:tcPr>
            <w:tcW w:w="616" w:type="dxa"/>
            <w:vMerge w:val="continue"/>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p>
        </w:tc>
        <w:tc>
          <w:tcPr>
            <w:tcW w:w="796" w:type="dxa"/>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运营数据同步管理</w:t>
            </w:r>
          </w:p>
        </w:tc>
        <w:tc>
          <w:tcPr>
            <w:tcW w:w="3217" w:type="dxa"/>
            <w:shd w:val="clear" w:color="auto" w:fill="auto"/>
            <w:vAlign w:val="center"/>
          </w:tcPr>
          <w:p>
            <w:pPr>
              <w:spacing w:line="312" w:lineRule="auto"/>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通过对数据源端、目标端、开发模式、同步范围、逐渐冲突处理策略、数据服务监控等管理配置，实现异构数据库之间的数据同步，保证平台内部数据在安全、已授权、留痕、可监控的前提下对外进行开放利用，提高数据价值，赋能业务发展。</w:t>
            </w:r>
          </w:p>
        </w:tc>
        <w:tc>
          <w:tcPr>
            <w:tcW w:w="708" w:type="dxa"/>
            <w:shd w:val="clear" w:color="auto" w:fill="auto"/>
          </w:tcPr>
          <w:p>
            <w:pPr>
              <w:spacing w:line="312" w:lineRule="auto"/>
              <w:jc w:val="center"/>
              <w:rPr>
                <w:rFonts w:ascii="宋体" w:hAnsi="宋体" w:eastAsia="宋体"/>
                <w:color w:val="000000" w:themeColor="text1"/>
                <w:sz w:val="20"/>
                <w:szCs w:val="20"/>
                <w14:textFill>
                  <w14:solidFill>
                    <w14:schemeClr w14:val="tx1"/>
                  </w14:solidFill>
                </w14:textFill>
              </w:rPr>
            </w:pPr>
          </w:p>
        </w:tc>
        <w:tc>
          <w:tcPr>
            <w:tcW w:w="654" w:type="dxa"/>
            <w:shd w:val="clear" w:color="auto" w:fill="auto"/>
          </w:tcPr>
          <w:p>
            <w:pPr>
              <w:spacing w:line="312" w:lineRule="auto"/>
              <w:jc w:val="center"/>
              <w:rPr>
                <w:rFonts w:ascii="宋体" w:hAnsi="宋体" w:eastAsia="宋体"/>
                <w:color w:val="000000" w:themeColor="text1"/>
                <w:sz w:val="20"/>
                <w:szCs w:val="20"/>
                <w14:textFill>
                  <w14:solidFill>
                    <w14:schemeClr w14:val="tx1"/>
                  </w14:solidFill>
                </w14:textFill>
              </w:rPr>
            </w:pPr>
          </w:p>
        </w:tc>
        <w:tc>
          <w:tcPr>
            <w:tcW w:w="483" w:type="dxa"/>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1项</w:t>
            </w:r>
          </w:p>
        </w:tc>
        <w:tc>
          <w:tcPr>
            <w:tcW w:w="665" w:type="dxa"/>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p>
        </w:tc>
        <w:tc>
          <w:tcPr>
            <w:tcW w:w="546" w:type="dxa"/>
            <w:shd w:val="clear" w:color="auto" w:fill="auto"/>
            <w:vAlign w:val="center"/>
          </w:tcPr>
          <w:p>
            <w:pPr>
              <w:spacing w:line="312" w:lineRule="auto"/>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1" w:type="dxa"/>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18</w:t>
            </w:r>
          </w:p>
        </w:tc>
        <w:tc>
          <w:tcPr>
            <w:tcW w:w="616" w:type="dxa"/>
            <w:vMerge w:val="continue"/>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p>
        </w:tc>
        <w:tc>
          <w:tcPr>
            <w:tcW w:w="796" w:type="dxa"/>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运营数据安全管理</w:t>
            </w:r>
          </w:p>
        </w:tc>
        <w:tc>
          <w:tcPr>
            <w:tcW w:w="3217" w:type="dxa"/>
            <w:shd w:val="clear" w:color="auto" w:fill="auto"/>
            <w:vAlign w:val="center"/>
          </w:tcPr>
          <w:p>
            <w:pPr>
              <w:spacing w:line="312" w:lineRule="auto"/>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为了确保健康医疗数据在传输过程中的安全，实现医疗机构间的数据交换共享，以及医疗数据的开放应用，对医疗健康数据进行加密保护、脱敏显示、访问控制，在数据存储、管理及传输过程中，防止非法用户或合法用户越权存储使用数据。</w:t>
            </w:r>
          </w:p>
        </w:tc>
        <w:tc>
          <w:tcPr>
            <w:tcW w:w="708" w:type="dxa"/>
            <w:shd w:val="clear" w:color="auto" w:fill="auto"/>
          </w:tcPr>
          <w:p>
            <w:pPr>
              <w:spacing w:line="312" w:lineRule="auto"/>
              <w:jc w:val="center"/>
              <w:rPr>
                <w:rFonts w:ascii="宋体" w:hAnsi="宋体" w:eastAsia="宋体"/>
                <w:color w:val="000000" w:themeColor="text1"/>
                <w:sz w:val="20"/>
                <w:szCs w:val="20"/>
                <w14:textFill>
                  <w14:solidFill>
                    <w14:schemeClr w14:val="tx1"/>
                  </w14:solidFill>
                </w14:textFill>
              </w:rPr>
            </w:pPr>
          </w:p>
        </w:tc>
        <w:tc>
          <w:tcPr>
            <w:tcW w:w="654" w:type="dxa"/>
            <w:shd w:val="clear" w:color="auto" w:fill="auto"/>
          </w:tcPr>
          <w:p>
            <w:pPr>
              <w:spacing w:line="312" w:lineRule="auto"/>
              <w:jc w:val="center"/>
              <w:rPr>
                <w:rFonts w:ascii="宋体" w:hAnsi="宋体" w:eastAsia="宋体"/>
                <w:color w:val="000000" w:themeColor="text1"/>
                <w:sz w:val="20"/>
                <w:szCs w:val="20"/>
                <w14:textFill>
                  <w14:solidFill>
                    <w14:schemeClr w14:val="tx1"/>
                  </w14:solidFill>
                </w14:textFill>
              </w:rPr>
            </w:pPr>
          </w:p>
        </w:tc>
        <w:tc>
          <w:tcPr>
            <w:tcW w:w="483" w:type="dxa"/>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1项</w:t>
            </w:r>
          </w:p>
        </w:tc>
        <w:tc>
          <w:tcPr>
            <w:tcW w:w="665" w:type="dxa"/>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p>
        </w:tc>
        <w:tc>
          <w:tcPr>
            <w:tcW w:w="546" w:type="dxa"/>
            <w:shd w:val="clear" w:color="auto" w:fill="auto"/>
            <w:vAlign w:val="center"/>
          </w:tcPr>
          <w:p>
            <w:pPr>
              <w:spacing w:line="312" w:lineRule="auto"/>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1" w:type="dxa"/>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19</w:t>
            </w:r>
          </w:p>
        </w:tc>
        <w:tc>
          <w:tcPr>
            <w:tcW w:w="616" w:type="dxa"/>
            <w:vMerge w:val="continue"/>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p>
        </w:tc>
        <w:tc>
          <w:tcPr>
            <w:tcW w:w="796" w:type="dxa"/>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运营数据报表支撑</w:t>
            </w:r>
          </w:p>
        </w:tc>
        <w:tc>
          <w:tcPr>
            <w:tcW w:w="3217" w:type="dxa"/>
            <w:shd w:val="clear" w:color="auto" w:fill="auto"/>
            <w:vAlign w:val="center"/>
          </w:tcPr>
          <w:p>
            <w:pPr>
              <w:spacing w:line="312" w:lineRule="auto"/>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平台支持为各类报表工具提供数据主题库，基于指标中心实现报表工具开发的数据需求，可对指标中心和维度中心的内容拖拉拽。</w:t>
            </w:r>
          </w:p>
        </w:tc>
        <w:tc>
          <w:tcPr>
            <w:tcW w:w="708" w:type="dxa"/>
            <w:shd w:val="clear" w:color="auto" w:fill="auto"/>
          </w:tcPr>
          <w:p>
            <w:pPr>
              <w:spacing w:line="312" w:lineRule="auto"/>
              <w:jc w:val="center"/>
              <w:rPr>
                <w:rFonts w:ascii="宋体" w:hAnsi="宋体" w:eastAsia="宋体"/>
                <w:color w:val="000000" w:themeColor="text1"/>
                <w:sz w:val="20"/>
                <w:szCs w:val="20"/>
                <w14:textFill>
                  <w14:solidFill>
                    <w14:schemeClr w14:val="tx1"/>
                  </w14:solidFill>
                </w14:textFill>
              </w:rPr>
            </w:pPr>
          </w:p>
        </w:tc>
        <w:tc>
          <w:tcPr>
            <w:tcW w:w="654" w:type="dxa"/>
            <w:shd w:val="clear" w:color="auto" w:fill="auto"/>
          </w:tcPr>
          <w:p>
            <w:pPr>
              <w:spacing w:line="312" w:lineRule="auto"/>
              <w:jc w:val="center"/>
              <w:rPr>
                <w:rFonts w:ascii="宋体" w:hAnsi="宋体" w:eastAsia="宋体"/>
                <w:color w:val="000000" w:themeColor="text1"/>
                <w:sz w:val="20"/>
                <w:szCs w:val="20"/>
                <w14:textFill>
                  <w14:solidFill>
                    <w14:schemeClr w14:val="tx1"/>
                  </w14:solidFill>
                </w14:textFill>
              </w:rPr>
            </w:pPr>
          </w:p>
        </w:tc>
        <w:tc>
          <w:tcPr>
            <w:tcW w:w="483" w:type="dxa"/>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1项</w:t>
            </w:r>
          </w:p>
        </w:tc>
        <w:tc>
          <w:tcPr>
            <w:tcW w:w="665" w:type="dxa"/>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p>
        </w:tc>
        <w:tc>
          <w:tcPr>
            <w:tcW w:w="546" w:type="dxa"/>
            <w:shd w:val="clear" w:color="auto" w:fill="auto"/>
            <w:vAlign w:val="center"/>
          </w:tcPr>
          <w:p>
            <w:pPr>
              <w:spacing w:line="312" w:lineRule="auto"/>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1" w:type="dxa"/>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20</w:t>
            </w:r>
          </w:p>
        </w:tc>
        <w:tc>
          <w:tcPr>
            <w:tcW w:w="616" w:type="dxa"/>
            <w:vMerge w:val="continue"/>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p>
        </w:tc>
        <w:tc>
          <w:tcPr>
            <w:tcW w:w="796" w:type="dxa"/>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系统集成</w:t>
            </w:r>
          </w:p>
        </w:tc>
        <w:tc>
          <w:tcPr>
            <w:tcW w:w="3217" w:type="dxa"/>
            <w:shd w:val="clear" w:color="auto" w:fill="auto"/>
            <w:vAlign w:val="center"/>
          </w:tcPr>
          <w:p>
            <w:pPr>
              <w:spacing w:line="312" w:lineRule="auto"/>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与医院集成平台对接，按照医院集成平台的技术框架，接入各种业务信息系统，实现数据集成，与区域全民健康信息平台对接，提供医院临床诊疗、医疗管理、运营管理相关数据及指标项。</w:t>
            </w:r>
          </w:p>
        </w:tc>
        <w:tc>
          <w:tcPr>
            <w:tcW w:w="708" w:type="dxa"/>
            <w:shd w:val="clear" w:color="auto" w:fill="auto"/>
          </w:tcPr>
          <w:p>
            <w:pPr>
              <w:spacing w:line="312" w:lineRule="auto"/>
              <w:jc w:val="center"/>
              <w:rPr>
                <w:rFonts w:ascii="宋体" w:hAnsi="宋体" w:eastAsia="宋体"/>
                <w:color w:val="000000" w:themeColor="text1"/>
                <w:sz w:val="20"/>
                <w:szCs w:val="20"/>
                <w14:textFill>
                  <w14:solidFill>
                    <w14:schemeClr w14:val="tx1"/>
                  </w14:solidFill>
                </w14:textFill>
              </w:rPr>
            </w:pPr>
          </w:p>
        </w:tc>
        <w:tc>
          <w:tcPr>
            <w:tcW w:w="654" w:type="dxa"/>
            <w:shd w:val="clear" w:color="auto" w:fill="auto"/>
          </w:tcPr>
          <w:p>
            <w:pPr>
              <w:spacing w:line="312" w:lineRule="auto"/>
              <w:jc w:val="center"/>
              <w:rPr>
                <w:rFonts w:ascii="宋体" w:hAnsi="宋体" w:eastAsia="宋体"/>
                <w:color w:val="000000" w:themeColor="text1"/>
                <w:sz w:val="20"/>
                <w:szCs w:val="20"/>
                <w14:textFill>
                  <w14:solidFill>
                    <w14:schemeClr w14:val="tx1"/>
                  </w14:solidFill>
                </w14:textFill>
              </w:rPr>
            </w:pPr>
          </w:p>
        </w:tc>
        <w:tc>
          <w:tcPr>
            <w:tcW w:w="483" w:type="dxa"/>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1项</w:t>
            </w:r>
          </w:p>
        </w:tc>
        <w:tc>
          <w:tcPr>
            <w:tcW w:w="665" w:type="dxa"/>
            <w:shd w:val="clear" w:color="auto" w:fill="auto"/>
            <w:vAlign w:val="center"/>
          </w:tcPr>
          <w:p>
            <w:pPr>
              <w:spacing w:line="312" w:lineRule="auto"/>
              <w:jc w:val="center"/>
              <w:rPr>
                <w:rFonts w:ascii="宋体" w:hAnsi="宋体" w:eastAsia="宋体"/>
                <w:color w:val="000000" w:themeColor="text1"/>
                <w:sz w:val="20"/>
                <w:szCs w:val="20"/>
                <w14:textFill>
                  <w14:solidFill>
                    <w14:schemeClr w14:val="tx1"/>
                  </w14:solidFill>
                </w14:textFill>
              </w:rPr>
            </w:pPr>
          </w:p>
        </w:tc>
        <w:tc>
          <w:tcPr>
            <w:tcW w:w="546" w:type="dxa"/>
            <w:shd w:val="clear" w:color="auto" w:fill="auto"/>
            <w:vAlign w:val="center"/>
          </w:tcPr>
          <w:p>
            <w:pPr>
              <w:spacing w:line="312" w:lineRule="auto"/>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3年</w:t>
            </w:r>
          </w:p>
        </w:tc>
      </w:tr>
    </w:tbl>
    <w:p>
      <w:pPr>
        <w:pStyle w:val="2"/>
        <w:spacing w:after="0" w:line="312" w:lineRule="auto"/>
        <w:rPr>
          <w:color w:val="000000" w:themeColor="text1"/>
          <w:lang w:val="en-US"/>
          <w14:textFill>
            <w14:solidFill>
              <w14:schemeClr w14:val="tx1"/>
            </w14:solidFill>
          </w14:textFill>
        </w:rPr>
      </w:pPr>
    </w:p>
    <w:p>
      <w:pPr>
        <w:pStyle w:val="5"/>
        <w:numPr>
          <w:ilvl w:val="0"/>
          <w:numId w:val="3"/>
        </w:numPr>
        <w:spacing w:before="0" w:after="0" w:line="312" w:lineRule="auto"/>
        <w:rPr>
          <w:color w:val="000000" w:themeColor="text1"/>
          <w:sz w:val="24"/>
          <w14:textFill>
            <w14:solidFill>
              <w14:schemeClr w14:val="tx1"/>
            </w14:solidFill>
          </w14:textFill>
        </w:rPr>
      </w:pPr>
      <w:r>
        <w:rPr>
          <w:rFonts w:hint="eastAsia" w:ascii="宋体" w:hAnsi="宋体"/>
          <w:bCs w:val="0"/>
          <w:color w:val="000000" w:themeColor="text1"/>
          <w:sz w:val="32"/>
          <w:szCs w:val="32"/>
          <w14:textFill>
            <w14:solidFill>
              <w14:schemeClr w14:val="tx1"/>
            </w14:solidFill>
          </w14:textFill>
        </w:rPr>
        <w:t>商务要求</w:t>
      </w:r>
    </w:p>
    <w:tbl>
      <w:tblPr>
        <w:tblStyle w:val="11"/>
        <w:tblW w:w="829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73"/>
        <w:gridCol w:w="70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blHeader/>
          <w:jc w:val="center"/>
        </w:trPr>
        <w:tc>
          <w:tcPr>
            <w:tcW w:w="12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b/>
                <w:bCs/>
                <w:color w:val="000000" w:themeColor="text1"/>
                <w:sz w:val="20"/>
                <w:szCs w:val="20"/>
                <w14:textFill>
                  <w14:solidFill>
                    <w14:schemeClr w14:val="tx1"/>
                  </w14:solidFill>
                </w14:textFill>
              </w:rPr>
            </w:pPr>
            <w:r>
              <w:rPr>
                <w:rFonts w:hint="eastAsia" w:ascii="宋体" w:hAnsi="宋体" w:eastAsia="宋体"/>
                <w:b/>
                <w:bCs/>
                <w:color w:val="000000" w:themeColor="text1"/>
                <w:sz w:val="20"/>
                <w:szCs w:val="20"/>
                <w14:textFill>
                  <w14:solidFill>
                    <w14:schemeClr w14:val="tx1"/>
                  </w14:solidFill>
                </w14:textFill>
              </w:rPr>
              <w:t>需求项</w:t>
            </w:r>
          </w:p>
        </w:tc>
        <w:tc>
          <w:tcPr>
            <w:tcW w:w="702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b/>
                <w:bCs/>
                <w:color w:val="000000" w:themeColor="text1"/>
                <w:sz w:val="20"/>
                <w:szCs w:val="20"/>
                <w14:textFill>
                  <w14:solidFill>
                    <w14:schemeClr w14:val="tx1"/>
                  </w14:solidFill>
                </w14:textFill>
              </w:rPr>
            </w:pPr>
            <w:r>
              <w:rPr>
                <w:rFonts w:hint="eastAsia" w:ascii="宋体" w:hAnsi="宋体" w:eastAsia="宋体"/>
                <w:b/>
                <w:bCs/>
                <w:color w:val="000000" w:themeColor="text1"/>
                <w:sz w:val="20"/>
                <w:szCs w:val="20"/>
                <w14:textFill>
                  <w14:solidFill>
                    <w14:schemeClr w14:val="tx1"/>
                  </w14:solidFill>
                </w14:textFill>
              </w:rPr>
              <w:t>具体要求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报价公司资格要求</w:t>
            </w:r>
          </w:p>
        </w:tc>
        <w:tc>
          <w:tcPr>
            <w:tcW w:w="702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具有独立法人资格或是具有独立承担民事责任能力的其他组织（提供营业执照或事业单位法人证书等证明资料扫描件；如果参与报价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报价，也不接受集团（或总公司）与分公司同时参与本项目报价，如出现上述情形，该两家或以上供应商的投标文件均按报价无效处理）；</w:t>
            </w:r>
          </w:p>
          <w:p>
            <w:pPr>
              <w:spacing w:line="360" w:lineRule="exac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2.满足《中华人民共和国政府采购法》第二十二条规定；</w:t>
            </w:r>
          </w:p>
          <w:p>
            <w:pPr>
              <w:spacing w:line="360" w:lineRule="exac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3.报价公司在广西区内设有分支机构，具备本地化售后服务能力；</w:t>
            </w:r>
          </w:p>
          <w:p>
            <w:pPr>
              <w:spacing w:line="360" w:lineRule="exac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4.报价公司需提供原厂商针对本次项目的授权书和售后服务承诺书。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交付使用时间及地点</w:t>
            </w:r>
          </w:p>
        </w:tc>
        <w:tc>
          <w:tcPr>
            <w:tcW w:w="702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1.交付使用：签订合同生效后7个工作日内进场，进场后4个月内完成系统上线运行。</w:t>
            </w:r>
          </w:p>
          <w:p>
            <w:pPr>
              <w:spacing w:line="360" w:lineRule="exac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2.交货地点：采购人指定地点。</w:t>
            </w:r>
          </w:p>
          <w:p>
            <w:pPr>
              <w:spacing w:line="360" w:lineRule="exac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3.交货方式：现场交货。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宋体" w:eastAsia="宋体" w:cs="Times New Roman"/>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技术人员投入要求</w:t>
            </w:r>
          </w:p>
        </w:tc>
        <w:tc>
          <w:tcPr>
            <w:tcW w:w="70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（一）项目实施期间，供应商应成立针对本项目工作组，成员至少包括：</w:t>
            </w:r>
          </w:p>
          <w:p>
            <w:pPr>
              <w:spacing w:line="36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1.项目经理：全权代表供应商执行各项技术及管理工作，报采购人认可。全权代表供应商执行各项技术及管理工作；</w:t>
            </w:r>
          </w:p>
          <w:p>
            <w:pPr>
              <w:spacing w:line="36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2.后备项目经理：在项目经理无法按合同要求胜任工作或离职等情况下负责项目管理；</w:t>
            </w:r>
          </w:p>
          <w:p>
            <w:pPr>
              <w:spacing w:line="36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3.项目实施人员</w:t>
            </w:r>
            <w:r>
              <w:rPr>
                <w:rFonts w:hint="eastAsia" w:ascii="宋体" w:hAnsi="宋体" w:eastAsia="宋体" w:cs="Times New Roman"/>
                <w:color w:val="000000" w:themeColor="text1"/>
                <w:sz w:val="20"/>
                <w:szCs w:val="20"/>
                <w14:textFill>
                  <w14:solidFill>
                    <w14:schemeClr w14:val="tx1"/>
                  </w14:solidFill>
                </w14:textFill>
              </w:rPr>
              <w:t>：项目驻场实施工程师需有2年以上厂商同等项目实施经验。项目实施阶段，驻场实施工程师不得少于4名。</w:t>
            </w:r>
          </w:p>
          <w:p>
            <w:pPr>
              <w:numPr>
                <w:ilvl w:val="0"/>
                <w:numId w:val="4"/>
              </w:numPr>
              <w:spacing w:line="36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项目管理与上线支持人员：系统上线期间，供应商须提供项目管理与上线支持人员；人员须为供应商正式员工，且任职一年以上。</w:t>
            </w:r>
          </w:p>
          <w:p>
            <w:pPr>
              <w:spacing w:line="36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5.维护人员：项目验收后，项目原厂技术人员负责售后服务。</w:t>
            </w:r>
          </w:p>
          <w:p>
            <w:pPr>
              <w:spacing w:line="360" w:lineRule="exact"/>
              <w:ind w:firstLine="400" w:firstLineChars="200"/>
              <w:rPr>
                <w:rFonts w:ascii="宋体" w:hAnsi="宋体" w:eastAsia="宋体" w:cs="Times New Roman"/>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二）项目实施期间，项目经理与常驻团队成员严格按投标文件并在合同中予以明确。项目实施过程中，供应商如果需要临时调动外部实施人员，则必须由采购人和供应商双方共同确认，但不得在此期间抽调本项目常驻团队成员。如果团队成员（含项目经理）不能有效履行本项目实施工作，采购人有权要求供应商予以更换并由采购人确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系统试运行要求</w:t>
            </w:r>
          </w:p>
        </w:tc>
        <w:tc>
          <w:tcPr>
            <w:tcW w:w="702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1.系统试运行前进行必要的功能和性能测试。</w:t>
            </w:r>
          </w:p>
          <w:p>
            <w:pPr>
              <w:spacing w:line="360" w:lineRule="exac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2.系统上线之前，对系统管理员进行技术培训，保证管理人员掌握必要的管理工具和规范；提供详细的数据集定义文档及项目相关文档资料。</w:t>
            </w:r>
          </w:p>
          <w:p>
            <w:pPr>
              <w:spacing w:line="360" w:lineRule="exac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3.系统上线运行和维护阶段，持续系统调优工作，保障系统稳定高效。</w:t>
            </w:r>
          </w:p>
          <w:p>
            <w:pPr>
              <w:spacing w:line="360" w:lineRule="exac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4.在试运行期间，项目原厂技术人员在现场负责系统的运行和维护，若系统出现问题或故障，应及时进行故障处理和软件更新。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培训要求</w:t>
            </w:r>
          </w:p>
        </w:tc>
        <w:tc>
          <w:tcPr>
            <w:tcW w:w="7023"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供应商必须根据产品的功能和特点，充分考虑到系统使用人员的实际水平，提出详细的系统培训方案。通过系统培训以达到系统管理人员能够具备独立管理系统软件的日常维护处理能力，各级业务人员能够熟练使用产品和系统软件。</w:t>
            </w:r>
          </w:p>
          <w:p>
            <w:pPr>
              <w:spacing w:line="36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2.供应商应制定详细的系统应用培训计划，免费为所有被培训人员提供培训用文字资料和讲义等相关用品。所有的资料必须是中文书写。按计划对人员进行培训，确保系统能够尽快应用。</w:t>
            </w:r>
          </w:p>
          <w:p>
            <w:pPr>
              <w:spacing w:line="36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3.供应商应保证提供有经验的教员，使采购人相关人员在培训后能够独立地对系统进行管理、维护，而不需供应商的人员在场指导。</w:t>
            </w:r>
          </w:p>
          <w:p>
            <w:pPr>
              <w:spacing w:line="36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4.供应商必须为所有被培训人员进行现场培训。</w:t>
            </w:r>
          </w:p>
          <w:p>
            <w:pPr>
              <w:spacing w:line="36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5.业务系统操作培训工作应在系统安装之前结束。</w:t>
            </w:r>
          </w:p>
          <w:p>
            <w:pPr>
              <w:spacing w:line="36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6.采购人仅负责提供培训场地、培训电脑和培训人员的召集。</w:t>
            </w:r>
          </w:p>
          <w:p>
            <w:pPr>
              <w:spacing w:line="36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7.供应商负责培训环境的搭建、培训文档的准备、培训的实施、培训人员的考核等。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宋体" w:eastAsia="宋体" w:cs="Times New Roman"/>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验收要求</w:t>
            </w:r>
          </w:p>
        </w:tc>
        <w:tc>
          <w:tcPr>
            <w:tcW w:w="70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right="-57" w:rightChars="-27" w:firstLine="400" w:firstLineChars="200"/>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1.本项目有独立第三方监理公司进行全过程项目管理，严格按监理程序执行。</w:t>
            </w:r>
          </w:p>
          <w:p>
            <w:pPr>
              <w:spacing w:line="360" w:lineRule="exact"/>
              <w:ind w:right="-57" w:rightChars="-27" w:firstLine="400" w:firstLineChars="200"/>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2.在签订合同前共同制定实施方案和验收标准，并作为合同附件。供应商按计划进行</w:t>
            </w:r>
            <w:r>
              <w:rPr>
                <w:rFonts w:hint="eastAsia" w:ascii="宋体" w:hAnsi="宋体" w:eastAsia="宋体"/>
                <w:color w:val="000000" w:themeColor="text1"/>
                <w:sz w:val="20"/>
                <w:szCs w:val="20"/>
                <w:lang w:val="en-US" w:eastAsia="zh-CN"/>
                <w14:textFill>
                  <w14:solidFill>
                    <w14:schemeClr w14:val="tx1"/>
                  </w14:solidFill>
                </w14:textFill>
              </w:rPr>
              <w:t>部署调试，达到试运行条件后，提出上线申请，系统上线、试运行满3个月且满足合同约定功能后提交验收申请</w:t>
            </w:r>
            <w:r>
              <w:rPr>
                <w:rFonts w:hint="eastAsia" w:ascii="宋体" w:hAnsi="宋体" w:eastAsia="宋体"/>
                <w:color w:val="000000" w:themeColor="text1"/>
                <w:sz w:val="20"/>
                <w:szCs w:val="20"/>
                <w14:textFill>
                  <w14:solidFill>
                    <w14:schemeClr w14:val="tx1"/>
                  </w14:solidFill>
                </w14:textFill>
              </w:rPr>
              <w:t>。采购人自行组织验收或委托专家（或第三方机构）并依据验收标准进行验收，涉及的验收费用由供应商承担。验收合格后签署验收报告。项目质保期自验收合格之日起算，由供应商提供产品说明书。</w:t>
            </w:r>
          </w:p>
          <w:p>
            <w:pPr>
              <w:spacing w:line="360" w:lineRule="exact"/>
              <w:ind w:right="-57" w:rightChars="-27" w:firstLine="400" w:firstLineChars="200"/>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3.当满足以下条件时，采购人才向供应商签发系统验收报告：</w:t>
            </w:r>
          </w:p>
          <w:p>
            <w:pPr>
              <w:spacing w:line="360" w:lineRule="exact"/>
              <w:ind w:right="-57" w:rightChars="-27" w:firstLine="400" w:firstLineChars="200"/>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（1）供应商已按照合同规定提供了全部产品及完整的技术资料。</w:t>
            </w:r>
          </w:p>
          <w:p>
            <w:pPr>
              <w:spacing w:line="360" w:lineRule="exact"/>
              <w:ind w:right="-57" w:rightChars="-27" w:firstLine="400" w:firstLineChars="200"/>
              <w:jc w:val="left"/>
              <w:rPr>
                <w:rFonts w:ascii="宋体" w:hAnsi="宋体" w:eastAsia="宋体" w:cs="Times New Roman"/>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（2）系统符合验收标准的要求，性能满足要求。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bCs/>
                <w:color w:val="000000" w:themeColor="text1"/>
                <w:sz w:val="20"/>
                <w:szCs w:val="20"/>
                <w14:textFill>
                  <w14:solidFill>
                    <w14:schemeClr w14:val="tx1"/>
                  </w14:solidFill>
                </w14:textFill>
              </w:rPr>
            </w:pPr>
            <w:r>
              <w:rPr>
                <w:rFonts w:hint="eastAsia" w:ascii="宋体" w:hAnsi="宋体" w:eastAsia="宋体"/>
                <w:color w:val="000000" w:themeColor="text1"/>
                <w:sz w:val="20"/>
                <w:szCs w:val="20"/>
                <w:lang w:bidi="ar"/>
                <w14:textFill>
                  <w14:solidFill>
                    <w14:schemeClr w14:val="tx1"/>
                  </w14:solidFill>
                </w14:textFill>
              </w:rPr>
              <w:t>统一接口的维护与管理</w:t>
            </w:r>
          </w:p>
        </w:tc>
        <w:tc>
          <w:tcPr>
            <w:tcW w:w="7023" w:type="dxa"/>
            <w:tcBorders>
              <w:top w:val="single" w:color="auto" w:sz="4" w:space="0"/>
              <w:left w:val="single" w:color="auto" w:sz="4" w:space="0"/>
              <w:bottom w:val="single" w:color="auto" w:sz="4" w:space="0"/>
              <w:right w:val="single" w:color="auto" w:sz="4" w:space="0"/>
            </w:tcBorders>
            <w:vAlign w:val="center"/>
          </w:tcPr>
          <w:p>
            <w:pPr>
              <w:pStyle w:val="10"/>
              <w:widowControl w:val="0"/>
              <w:spacing w:before="0" w:beforeAutospacing="0" w:after="0" w:afterAutospacing="0" w:line="312" w:lineRule="auto"/>
              <w:ind w:firstLine="420"/>
              <w:rPr>
                <w:color w:val="000000" w:themeColor="text1"/>
                <w:sz w:val="20"/>
                <w:szCs w:val="20"/>
                <w14:textFill>
                  <w14:solidFill>
                    <w14:schemeClr w14:val="tx1"/>
                  </w14:solidFill>
                </w14:textFill>
              </w:rPr>
            </w:pPr>
            <w:r>
              <w:rPr>
                <w:rFonts w:hint="eastAsia" w:cs="Times New Roman"/>
                <w:color w:val="000000" w:themeColor="text1"/>
                <w:sz w:val="20"/>
                <w:szCs w:val="20"/>
                <w:lang w:eastAsia="zh-CN"/>
                <w14:textFill>
                  <w14:solidFill>
                    <w14:schemeClr w14:val="tx1"/>
                  </w14:solidFill>
                </w14:textFill>
              </w:rPr>
              <w:t>质保期内</w:t>
            </w:r>
            <w:r>
              <w:rPr>
                <w:rFonts w:hint="eastAsia" w:cs="Times New Roman"/>
                <w:color w:val="000000" w:themeColor="text1"/>
                <w:sz w:val="20"/>
                <w:szCs w:val="20"/>
                <w14:textFill>
                  <w14:solidFill>
                    <w14:schemeClr w14:val="tx1"/>
                  </w14:solidFill>
                </w14:textFill>
              </w:rPr>
              <w:t>提供全面的接口技术，与第三方系统共享数据和功能，这些接口技术包括中间件技术接口、WEBSEVICE通用接口、数据库级接口、文件文本接口等。提供与医院第三方系统统一接口的维护与管理，与HIS、电子病历、LIS、PACS、心电系统、重症系统、手术麻醉系统、生物样本系统、院前急救/院内急诊系统、医保接口(普通医保、农保)、体检系统、集成平台、数据中台、多院区运营一体化平台、多院区后勤一体化平台、数据资产管理平台、自助服务平台、统一预约平台、OA综合管理平台、智慧运营平台、成本管理系统、排班系统、人力资源管理系统、财务管理系统、互联网医院、SPD耗材管理系统、绩效管理系统、财务电子档案、电子发票系统、护理管理系统、电子发票、短信平台、医务管理系统、DRG综合评价管理软件系统、血糖管理系统、老年综合评估信息软件、代谢性疾病管理系统（MMC）接口、惠每病历质控系统、CDSS系统、膳食通系统、运营决策支持系统、全成本核算系统、医联体处方前置审方、合理用药、院感管理系统、血透系统、血栓防治VTE系统、供应室追溯系统、云胶片系统、防统方系统、静配中心系统PIVAS、宁养院住院系统、生命体征系统、慢病随访、抗肿瘤药物上传、儿童肿瘤上传、罕见病上传、国家药品不良反应哨点医院、传染病上报、智护屏、床头交互系统、科研管理系统、国家传染病前置软件、全民健康信息平台、高效运营管理平台等所有医院第三方相关业务系统（包括以上医院系统但不仅限于以上系统）进行免费接口对接，实现数据交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bCs/>
                <w:color w:val="000000" w:themeColor="text1"/>
                <w:sz w:val="20"/>
                <w:szCs w:val="20"/>
                <w14:textFill>
                  <w14:solidFill>
                    <w14:schemeClr w14:val="tx1"/>
                  </w14:solidFill>
                </w14:textFill>
              </w:rPr>
            </w:pPr>
            <w:r>
              <w:rPr>
                <w:rFonts w:hint="eastAsia" w:ascii="宋体" w:hAnsi="宋体" w:eastAsia="宋体"/>
                <w:bCs/>
                <w:color w:val="000000" w:themeColor="text1"/>
                <w:sz w:val="20"/>
                <w:szCs w:val="20"/>
                <w14:textFill>
                  <w14:solidFill>
                    <w14:schemeClr w14:val="tx1"/>
                  </w14:solidFill>
                </w14:textFill>
              </w:rPr>
              <w:t>系统评级要求</w:t>
            </w:r>
          </w:p>
        </w:tc>
        <w:tc>
          <w:tcPr>
            <w:tcW w:w="7023"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lang w:bidi="ar"/>
                <w14:textFill>
                  <w14:solidFill>
                    <w14:schemeClr w14:val="tx1"/>
                  </w14:solidFill>
                </w14:textFill>
              </w:rPr>
              <w:t>供应商所提供系统需满足医院电子病历系统功能应用水平分级6级以上评审、医院信息互联互通标准化成熟度测评达到五级乙等以上水平评审、信息系统安全等级保护三级测评、密码应用三级评测、三甲医院评审、医院智慧服务分级评估标准体系达到4级以上相关的功能要求、医院智慧管理分级评估标准体系达到4级以上相关的功能要求、网络攻防演练中的安全防护要求以及医院其他需要评审的信息化技术改造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bCs/>
                <w:color w:val="000000" w:themeColor="text1"/>
                <w:sz w:val="20"/>
                <w:szCs w:val="20"/>
                <w14:textFill>
                  <w14:solidFill>
                    <w14:schemeClr w14:val="tx1"/>
                  </w14:solidFill>
                </w14:textFill>
              </w:rPr>
            </w:pPr>
            <w:r>
              <w:rPr>
                <w:rFonts w:hint="eastAsia" w:ascii="宋体" w:hAnsi="宋体" w:eastAsia="宋体"/>
                <w:bCs/>
                <w:color w:val="000000" w:themeColor="text1"/>
                <w:sz w:val="20"/>
                <w:szCs w:val="20"/>
                <w14:textFill>
                  <w14:solidFill>
                    <w14:schemeClr w14:val="tx1"/>
                  </w14:solidFill>
                </w14:textFill>
              </w:rPr>
              <w:t>质保期及售后服务要求</w:t>
            </w:r>
          </w:p>
        </w:tc>
        <w:tc>
          <w:tcPr>
            <w:tcW w:w="7023"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02" w:firstLineChars="200"/>
              <w:rPr>
                <w:rFonts w:ascii="宋体" w:hAnsi="宋体" w:eastAsia="宋体"/>
                <w:b/>
                <w:color w:val="000000" w:themeColor="text1"/>
                <w:sz w:val="20"/>
                <w:szCs w:val="20"/>
                <w14:textFill>
                  <w14:solidFill>
                    <w14:schemeClr w14:val="tx1"/>
                  </w14:solidFill>
                </w14:textFill>
              </w:rPr>
            </w:pPr>
            <w:r>
              <w:rPr>
                <w:rFonts w:hint="eastAsia" w:ascii="宋体" w:hAnsi="宋体" w:eastAsia="宋体"/>
                <w:b/>
                <w:color w:val="000000" w:themeColor="text1"/>
                <w:sz w:val="20"/>
                <w:szCs w:val="20"/>
                <w14:textFill>
                  <w14:solidFill>
                    <w14:schemeClr w14:val="tx1"/>
                  </w14:solidFill>
                </w14:textFill>
              </w:rPr>
              <w:t>一、质量保证期要求</w:t>
            </w:r>
          </w:p>
          <w:p>
            <w:pPr>
              <w:spacing w:line="36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质量保证期：自本项目整体最终验收之日起，所有产品要求提供三年的免费质保服务，包含软硬件维护和系统软件升级、系统BUG及漏洞修复、技术支持服务、系统管理及操作培训服务，免费提供系统个性化修改需求。</w:t>
            </w:r>
          </w:p>
          <w:p>
            <w:pPr>
              <w:spacing w:line="360" w:lineRule="exact"/>
              <w:ind w:firstLine="402" w:firstLineChars="200"/>
              <w:rPr>
                <w:rFonts w:ascii="宋体" w:hAnsi="宋体" w:eastAsia="宋体"/>
                <w:b/>
                <w:color w:val="000000" w:themeColor="text1"/>
                <w:sz w:val="20"/>
                <w:szCs w:val="20"/>
                <w14:textFill>
                  <w14:solidFill>
                    <w14:schemeClr w14:val="tx1"/>
                  </w14:solidFill>
                </w14:textFill>
              </w:rPr>
            </w:pPr>
            <w:r>
              <w:rPr>
                <w:rFonts w:hint="eastAsia" w:ascii="宋体" w:hAnsi="宋体" w:eastAsia="宋体"/>
                <w:b/>
                <w:color w:val="000000" w:themeColor="text1"/>
                <w:sz w:val="20"/>
                <w:szCs w:val="20"/>
                <w14:textFill>
                  <w14:solidFill>
                    <w14:schemeClr w14:val="tx1"/>
                  </w14:solidFill>
                </w14:textFill>
              </w:rPr>
              <w:t>二、售后服务要求</w:t>
            </w:r>
          </w:p>
          <w:p>
            <w:pPr>
              <w:spacing w:line="312" w:lineRule="auto"/>
              <w:ind w:firstLine="420"/>
              <w:jc w:val="left"/>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原厂技术人员免费提供售后服务，含电话支持、现场响应、远程操作、网上客服中心等多种方式服务，应做到7×24小时全天候电话或微信等常用联系方式响应。当出现故障时，接到故障通知后，原厂技术人员应在30分钟内响应，远程技术支持无法解决的，6小时内需到达现场处理修复，并调查分析事故原因，如现场仍不能解决问题，需24小时内免费提供同档次或更高档次的备用设备解决问题。</w:t>
            </w:r>
          </w:p>
          <w:p>
            <w:pPr>
              <w:spacing w:line="312" w:lineRule="auto"/>
              <w:ind w:firstLine="420"/>
              <w:jc w:val="left"/>
              <w:rPr>
                <w:rFonts w:hint="eastAsia" w:ascii="宋体" w:hAnsi="宋体" w:eastAsia="宋体"/>
                <w:color w:val="000000" w:themeColor="text1"/>
                <w:sz w:val="20"/>
                <w:szCs w:val="20"/>
                <w:lang w:val="en-US" w:eastAsia="zh-CN"/>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2.供应商提按使用单位要求巡检（国家法定节假日前巡检或按</w:t>
            </w:r>
            <w:r>
              <w:rPr>
                <w:rFonts w:hint="eastAsia" w:ascii="宋体" w:hAnsi="宋体" w:eastAsia="宋体"/>
                <w:color w:val="000000" w:themeColor="text1"/>
                <w:sz w:val="20"/>
                <w:szCs w:val="20"/>
                <w:lang w:eastAsia="zh-CN"/>
                <w14:textFill>
                  <w14:solidFill>
                    <w14:schemeClr w14:val="tx1"/>
                  </w14:solidFill>
                </w14:textFill>
              </w:rPr>
              <w:t>使用单位</w:t>
            </w:r>
            <w:r>
              <w:rPr>
                <w:rFonts w:hint="eastAsia" w:ascii="宋体" w:hAnsi="宋体" w:eastAsia="宋体"/>
                <w:color w:val="000000" w:themeColor="text1"/>
                <w:sz w:val="20"/>
                <w:szCs w:val="20"/>
                <w14:textFill>
                  <w14:solidFill>
                    <w14:schemeClr w14:val="tx1"/>
                  </w14:solidFill>
                </w14:textFill>
              </w:rPr>
              <w:t>需求时间巡检），每季度巡检不得少于一次，并形成巡检报告（内容涉及此产品服务器\相关设备的运行情况）反馈给</w:t>
            </w:r>
            <w:r>
              <w:rPr>
                <w:rFonts w:hint="eastAsia" w:ascii="宋体" w:hAnsi="宋体" w:eastAsia="宋体"/>
                <w:color w:val="000000" w:themeColor="text1"/>
                <w:sz w:val="20"/>
                <w:szCs w:val="20"/>
                <w:lang w:eastAsia="zh-CN"/>
                <w14:textFill>
                  <w14:solidFill>
                    <w14:schemeClr w14:val="tx1"/>
                  </w14:solidFill>
                </w14:textFill>
              </w:rPr>
              <w:t>使用单位。</w:t>
            </w:r>
          </w:p>
          <w:p>
            <w:pPr>
              <w:spacing w:line="360" w:lineRule="exact"/>
              <w:ind w:firstLine="402" w:firstLineChars="200"/>
              <w:rPr>
                <w:rFonts w:ascii="宋体" w:hAnsi="宋体" w:eastAsia="宋体"/>
                <w:b/>
                <w:color w:val="000000" w:themeColor="text1"/>
                <w:sz w:val="20"/>
                <w:szCs w:val="20"/>
                <w14:textFill>
                  <w14:solidFill>
                    <w14:schemeClr w14:val="tx1"/>
                  </w14:solidFill>
                </w14:textFill>
              </w:rPr>
            </w:pPr>
            <w:r>
              <w:rPr>
                <w:rFonts w:hint="eastAsia" w:ascii="宋体" w:hAnsi="宋体" w:eastAsia="宋体"/>
                <w:b/>
                <w:color w:val="000000" w:themeColor="text1"/>
                <w:sz w:val="20"/>
                <w:szCs w:val="20"/>
                <w14:textFill>
                  <w14:solidFill>
                    <w14:schemeClr w14:val="tx1"/>
                  </w14:solidFill>
                </w14:textFill>
              </w:rPr>
              <w:t>三、质量和沟通保障</w:t>
            </w:r>
          </w:p>
          <w:p>
            <w:pPr>
              <w:spacing w:line="36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1.项目实施阶段应安排专人（项目负责人或技术组长等）与采购人联系，并提供手机、</w:t>
            </w:r>
            <w:r>
              <w:rPr>
                <w:rFonts w:hint="eastAsia" w:ascii="宋体" w:hAnsi="宋体" w:eastAsia="宋体"/>
                <w:color w:val="000000" w:themeColor="text1"/>
                <w:sz w:val="20"/>
                <w:szCs w:val="20"/>
                <w:lang w:eastAsia="zh-CN"/>
                <w14:textFill>
                  <w14:solidFill>
                    <w14:schemeClr w14:val="tx1"/>
                  </w14:solidFill>
                </w14:textFill>
              </w:rPr>
              <w:t>微信、邮箱</w:t>
            </w:r>
            <w:r>
              <w:rPr>
                <w:rFonts w:hint="eastAsia" w:ascii="宋体" w:hAnsi="宋体" w:eastAsia="宋体"/>
                <w:color w:val="000000" w:themeColor="text1"/>
                <w:sz w:val="20"/>
                <w:szCs w:val="20"/>
                <w14:textFill>
                  <w14:solidFill>
                    <w14:schemeClr w14:val="tx1"/>
                  </w14:solidFill>
                </w14:textFill>
              </w:rPr>
              <w:t>等联系方式，必要时应在30分钟内及时响应采购人需求。</w:t>
            </w:r>
          </w:p>
          <w:p>
            <w:pPr>
              <w:spacing w:line="360" w:lineRule="exact"/>
              <w:ind w:firstLine="400" w:firstLineChars="200"/>
              <w:rPr>
                <w:rFonts w:ascii="宋体" w:hAnsi="宋体" w:eastAsia="宋体"/>
                <w:b/>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2.质保期满后，采购人与供应商另行协商维护费用，其中维护费原则上不超过本项目中标金额的5%。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技术成果及文档要求</w:t>
            </w:r>
          </w:p>
        </w:tc>
        <w:tc>
          <w:tcPr>
            <w:tcW w:w="7023" w:type="dxa"/>
            <w:tcBorders>
              <w:top w:val="single" w:color="auto" w:sz="4" w:space="0"/>
              <w:left w:val="single" w:color="auto" w:sz="4" w:space="0"/>
              <w:bottom w:val="single" w:color="auto" w:sz="4" w:space="0"/>
              <w:right w:val="single" w:color="auto" w:sz="4" w:space="0"/>
            </w:tcBorders>
            <w:vAlign w:val="center"/>
          </w:tcPr>
          <w:p>
            <w:pPr>
              <w:numPr>
                <w:ilvl w:val="0"/>
                <w:numId w:val="5"/>
              </w:numPr>
              <w:spacing w:line="360" w:lineRule="exact"/>
              <w:ind w:right="-57" w:rightChars="-27" w:firstLine="400" w:firstLineChars="200"/>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本次采购内容采购人具有使用权。未经采购人同意，供应商不得将采购人提供的资料和经营信息等作任何修改、复制或向第三人泄露、允许任何第三方使用、或转让、部分转让给第三方，不得用于本项目之外的任何目的。供应商除可用于自身品牌推广与参展、评比等学术研讨等非商业用途外不得将实施资料文件用作其它用途。</w:t>
            </w:r>
          </w:p>
          <w:p>
            <w:pPr>
              <w:spacing w:line="360" w:lineRule="exact"/>
              <w:ind w:right="-57" w:rightChars="-27" w:firstLine="400" w:firstLineChars="200"/>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2.对于采购人提供给供应商的资料及文件，采购人享有知识产权，中标方必须履行保密及保护采购人知识产权责任。采购人在销售期间可在广告、宣传、推广等活动中注明本项目工程实施由中标方完成。</w:t>
            </w:r>
          </w:p>
          <w:p>
            <w:pPr>
              <w:tabs>
                <w:tab w:val="left" w:pos="180"/>
                <w:tab w:val="left" w:pos="1620"/>
              </w:tabs>
              <w:spacing w:line="360" w:lineRule="exact"/>
              <w:ind w:firstLine="400" w:firstLineChars="200"/>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3.在实施过程中如果有合作开发产生的专利技术等知识产权成果，则归属双方共有，供应商未经医院同意，不得以任何名义进行任何形式的成果转化，对外合作，签订合同等。</w:t>
            </w:r>
          </w:p>
          <w:p>
            <w:pPr>
              <w:spacing w:line="360" w:lineRule="exact"/>
              <w:ind w:right="-57" w:rightChars="-27" w:firstLine="400" w:firstLineChars="200"/>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4.版权说明及要求：本项目定制开发软件的所有版权归采购单位所有，未经许可，中标供应商不允许复制或转让第三方。定制软件必须向采购人无条件提供软件系统及源代码、数据、开发取得的成果等技术资料。</w:t>
            </w:r>
          </w:p>
          <w:p>
            <w:pPr>
              <w:spacing w:line="360" w:lineRule="exact"/>
              <w:ind w:right="-57" w:rightChars="-27" w:firstLine="400" w:firstLineChars="200"/>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5.项目文档</w:t>
            </w:r>
          </w:p>
          <w:p>
            <w:pPr>
              <w:spacing w:line="360" w:lineRule="exact"/>
              <w:ind w:right="-57" w:rightChars="-27" w:firstLine="400" w:firstLineChars="200"/>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（1）文档是保证项目的实施连贯性的重要保证，供应商需要提供完善的文档，并对项目进行过程中的文档进行有效的管理，接受用户方对项目各阶段评估分析和监督管理。</w:t>
            </w:r>
          </w:p>
          <w:p>
            <w:pPr>
              <w:spacing w:line="360" w:lineRule="exact"/>
              <w:ind w:right="-57" w:rightChars="-27" w:firstLine="400" w:firstLineChars="200"/>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（2）整个项目的过程包括后期修改维护贯穿ISO9001和CMMI的规范，使用国家标准码，提供齐全的项目管理、设计和开发、操作说明等书面文档和电子版。</w:t>
            </w:r>
          </w:p>
          <w:p>
            <w:pPr>
              <w:spacing w:line="360" w:lineRule="exact"/>
              <w:ind w:right="-57" w:rightChars="-27" w:firstLine="400" w:firstLineChars="200"/>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（3）过程管理文档，包含但不限于：</w:t>
            </w:r>
          </w:p>
          <w:p>
            <w:pPr>
              <w:spacing w:line="360" w:lineRule="exact"/>
              <w:ind w:right="-57" w:rightChars="-27" w:firstLine="400" w:firstLineChars="200"/>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1）各系统说明书；</w:t>
            </w:r>
          </w:p>
          <w:p>
            <w:pPr>
              <w:spacing w:line="360" w:lineRule="exact"/>
              <w:ind w:right="-57" w:rightChars="-27" w:firstLine="400" w:firstLineChars="200"/>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2）数据表</w:t>
            </w:r>
            <w:r>
              <w:rPr>
                <w:rFonts w:hint="eastAsia" w:ascii="宋体" w:hAnsi="宋体" w:eastAsia="宋体"/>
                <w:color w:val="000000" w:themeColor="text1"/>
                <w:sz w:val="20"/>
                <w:szCs w:val="20"/>
                <w:lang w:eastAsia="zh-CN"/>
                <w14:textFill>
                  <w14:solidFill>
                    <w14:schemeClr w14:val="tx1"/>
                  </w14:solidFill>
                </w14:textFill>
              </w:rPr>
              <w:t>结构及说明</w:t>
            </w:r>
            <w:r>
              <w:rPr>
                <w:rFonts w:hint="eastAsia" w:ascii="宋体" w:hAnsi="宋体" w:eastAsia="宋体"/>
                <w:color w:val="000000" w:themeColor="text1"/>
                <w:sz w:val="20"/>
                <w:szCs w:val="20"/>
                <w14:textFill>
                  <w14:solidFill>
                    <w14:schemeClr w14:val="tx1"/>
                  </w14:solidFill>
                </w14:textFill>
              </w:rPr>
              <w:t>；</w:t>
            </w:r>
          </w:p>
          <w:p>
            <w:pPr>
              <w:spacing w:line="360" w:lineRule="exact"/>
              <w:ind w:right="-57" w:rightChars="-27" w:firstLine="400" w:firstLineChars="200"/>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3）系统框架说明与服务器部署说明；</w:t>
            </w:r>
          </w:p>
          <w:p>
            <w:pPr>
              <w:spacing w:line="360" w:lineRule="exact"/>
              <w:ind w:right="-57" w:rightChars="-27" w:firstLine="400" w:firstLineChars="200"/>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4）系统部署说明，系统相应的安装包说明；</w:t>
            </w:r>
          </w:p>
          <w:p>
            <w:pPr>
              <w:spacing w:line="360" w:lineRule="exact"/>
              <w:ind w:right="-57" w:rightChars="-27" w:firstLine="400" w:firstLineChars="200"/>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5）日常维护与问题处理文档；</w:t>
            </w:r>
          </w:p>
          <w:p>
            <w:pPr>
              <w:spacing w:line="360" w:lineRule="exact"/>
              <w:ind w:right="-57" w:rightChars="-27" w:firstLine="400" w:firstLineChars="200"/>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6）系统运行所需客户端配置说明文档；</w:t>
            </w:r>
          </w:p>
          <w:p>
            <w:pPr>
              <w:spacing w:line="360" w:lineRule="exact"/>
              <w:ind w:right="-57" w:rightChars="-27" w:firstLine="400" w:firstLineChars="200"/>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7）系统运行所需网络环境说明文档；</w:t>
            </w:r>
          </w:p>
          <w:p>
            <w:pPr>
              <w:spacing w:line="360" w:lineRule="exact"/>
              <w:ind w:right="-57" w:rightChars="-27" w:firstLine="400" w:firstLineChars="200"/>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8）系统运行所需硬件环境说明文档。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违约条款</w:t>
            </w:r>
          </w:p>
        </w:tc>
        <w:tc>
          <w:tcPr>
            <w:tcW w:w="7023" w:type="dxa"/>
            <w:tcBorders>
              <w:top w:val="single" w:color="auto" w:sz="4" w:space="0"/>
              <w:left w:val="single" w:color="auto" w:sz="4" w:space="0"/>
              <w:bottom w:val="single" w:color="auto" w:sz="4" w:space="0"/>
              <w:right w:val="single" w:color="auto" w:sz="4" w:space="0"/>
            </w:tcBorders>
            <w:vAlign w:val="center"/>
          </w:tcPr>
          <w:p>
            <w:pPr>
              <w:spacing w:line="360" w:lineRule="exact"/>
              <w:ind w:right="-57" w:rightChars="-27" w:firstLine="400" w:firstLineChars="200"/>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1.供应商所提供的软/硬件规格、技术标准、材料等质量不合格的，应及时更换，更换不及时的按逾期交付处罚；因质量问题我院不同意接收，供应商应向我院支付违约货款额5%违约金并赔偿我院经济损失。</w:t>
            </w:r>
          </w:p>
          <w:p>
            <w:pPr>
              <w:spacing w:line="360" w:lineRule="exact"/>
              <w:ind w:right="-57" w:rightChars="-27" w:firstLine="400" w:firstLineChars="200"/>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2.若供应商提供的产品或软件侵犯了第三方合法权益而引发的任何纠纷或诉讼，均由供应商负责交涉并承担全部责任。</w:t>
            </w:r>
          </w:p>
          <w:p>
            <w:pPr>
              <w:spacing w:line="360" w:lineRule="exact"/>
              <w:ind w:right="-57" w:rightChars="-27" w:firstLine="400" w:firstLineChars="200"/>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3.供应商逾期交付的，每天向甲方偿付违约货款额3‰违约金，但违约金累计不得超过违约货款额 5% ，超过30天对方有权解除合同，违约方承担因此给对方造成的经济损失；</w:t>
            </w:r>
          </w:p>
          <w:p>
            <w:pPr>
              <w:spacing w:line="360" w:lineRule="exact"/>
              <w:ind w:right="-57" w:rightChars="-27" w:firstLine="400" w:firstLineChars="200"/>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4.售后服务违约：</w:t>
            </w:r>
          </w:p>
          <w:p>
            <w:pPr>
              <w:spacing w:line="360" w:lineRule="exact"/>
              <w:ind w:right="-57" w:rightChars="-27" w:firstLine="400" w:firstLineChars="200"/>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4.1每缺少1次巡检记录，供应商应向甲方支付违约金5000元；</w:t>
            </w:r>
          </w:p>
          <w:p>
            <w:pPr>
              <w:spacing w:line="360" w:lineRule="exact"/>
              <w:ind w:right="-57" w:rightChars="-27" w:firstLine="400" w:firstLineChars="200"/>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4.2不能按本技术参数文档按时提供设备备件的，故障上报24小时不能免费提供同档次或更高档次的备用设备解决问题，每超期一天，按500元/天向甲方支付违约金；</w:t>
            </w:r>
          </w:p>
          <w:p>
            <w:pPr>
              <w:spacing w:line="360" w:lineRule="exact"/>
              <w:ind w:right="-57" w:rightChars="-27" w:firstLine="400" w:firstLineChars="200"/>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4.3 供应商未按本技术要求和响应文件中规定的其他服务承诺提供售后服务的，每次供应商应按合同合计金额的5% 向甲方支付违约金。</w:t>
            </w:r>
          </w:p>
          <w:p>
            <w:pPr>
              <w:spacing w:line="360" w:lineRule="exact"/>
              <w:ind w:right="-57" w:rightChars="-27" w:firstLine="400" w:firstLineChars="200"/>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5.合同签订后7个工作日内进场实施，每个模块计划实施周期需在合同内写明。因软件提供商原因逾期不进场实施的，需按每天向</w:t>
            </w:r>
            <w:r>
              <w:rPr>
                <w:rFonts w:hint="eastAsia" w:ascii="宋体" w:hAnsi="宋体" w:eastAsia="宋体"/>
                <w:color w:val="000000" w:themeColor="text1"/>
                <w:sz w:val="20"/>
                <w:szCs w:val="20"/>
                <w:lang w:eastAsia="zh-CN"/>
                <w14:textFill>
                  <w14:solidFill>
                    <w14:schemeClr w14:val="tx1"/>
                  </w14:solidFill>
                </w14:textFill>
              </w:rPr>
              <w:t>使用单位</w:t>
            </w:r>
            <w:r>
              <w:rPr>
                <w:rFonts w:hint="eastAsia" w:ascii="宋体" w:hAnsi="宋体" w:eastAsia="宋体"/>
                <w:color w:val="000000" w:themeColor="text1"/>
                <w:sz w:val="20"/>
                <w:szCs w:val="20"/>
                <w14:textFill>
                  <w14:solidFill>
                    <w14:schemeClr w14:val="tx1"/>
                  </w14:solidFill>
                </w14:textFill>
              </w:rPr>
              <w:t>支付合同款金额3‰作为违约金，超过30天，甲有权解除合同，乙方需承担因此给</w:t>
            </w:r>
            <w:r>
              <w:rPr>
                <w:rFonts w:hint="eastAsia" w:ascii="宋体" w:hAnsi="宋体" w:eastAsia="宋体"/>
                <w:color w:val="000000" w:themeColor="text1"/>
                <w:sz w:val="20"/>
                <w:szCs w:val="20"/>
                <w:lang w:eastAsia="zh-CN"/>
                <w14:textFill>
                  <w14:solidFill>
                    <w14:schemeClr w14:val="tx1"/>
                  </w14:solidFill>
                </w14:textFill>
              </w:rPr>
              <w:t>使用单位</w:t>
            </w:r>
            <w:r>
              <w:rPr>
                <w:rFonts w:hint="eastAsia" w:ascii="宋体" w:hAnsi="宋体" w:eastAsia="宋体"/>
                <w:color w:val="000000" w:themeColor="text1"/>
                <w:sz w:val="20"/>
                <w:szCs w:val="20"/>
                <w14:textFill>
                  <w14:solidFill>
                    <w14:schemeClr w14:val="tx1"/>
                  </w14:solidFill>
                </w14:textFill>
              </w:rPr>
              <w:t>造成的经济损失；不能按照合同约定上线期限完成，需要书面申请说明原因，得到医院书面同意后最多延期一个月，否则（或者延期一个月后）按每超期7天（一周）从总合同金额扣除5%的违约金。扣除比例达到总合同金额的50%及以上的，</w:t>
            </w:r>
            <w:r>
              <w:rPr>
                <w:rFonts w:hint="eastAsia" w:ascii="宋体" w:hAnsi="宋体" w:eastAsia="宋体"/>
                <w:color w:val="000000" w:themeColor="text1"/>
                <w:sz w:val="20"/>
                <w:szCs w:val="20"/>
                <w:lang w:eastAsia="zh-CN"/>
                <w14:textFill>
                  <w14:solidFill>
                    <w14:schemeClr w14:val="tx1"/>
                  </w14:solidFill>
                </w14:textFill>
              </w:rPr>
              <w:t>视为供应商</w:t>
            </w:r>
            <w:r>
              <w:rPr>
                <w:rFonts w:hint="eastAsia" w:ascii="宋体" w:hAnsi="宋体" w:eastAsia="宋体"/>
                <w:color w:val="000000" w:themeColor="text1"/>
                <w:sz w:val="20"/>
                <w:szCs w:val="20"/>
                <w14:textFill>
                  <w14:solidFill>
                    <w14:schemeClr w14:val="tx1"/>
                  </w14:solidFill>
                </w14:textFill>
              </w:rPr>
              <w:t>违约，甲方有权单方面解除合同，并要求乙方退回所有医院已支付款项，同时按合同总金额的20%做为违约金支付给甲方。</w:t>
            </w:r>
          </w:p>
          <w:p>
            <w:pPr>
              <w:spacing w:line="360" w:lineRule="exact"/>
              <w:ind w:right="-57" w:rightChars="-27" w:firstLine="400" w:firstLineChars="200"/>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6.任何一方违反本技术要求中“保密、廉洁条款”要求的，应承担相应的违约责任并赔偿由此造成的损失，损失累计金额超过合同款项的5%的，损失方同时有权终止合同并收回已付款项。</w:t>
            </w:r>
          </w:p>
          <w:p>
            <w:pPr>
              <w:spacing w:line="360" w:lineRule="exact"/>
              <w:ind w:right="-57" w:rightChars="-27" w:firstLine="400" w:firstLineChars="200"/>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7.厂商方未按本技术要求和响应文件中规定的其他服务承诺提供售后服务的，按损失情况，每次应按合同合计金额的0.1‰-0.1%由乙方向甲方支付违约金，损失累计金额超过合同款项的5%的，损失方同时有权终止合同并收回已付款项。</w:t>
            </w:r>
          </w:p>
          <w:p>
            <w:pPr>
              <w:spacing w:line="360" w:lineRule="exact"/>
              <w:ind w:right="-57" w:rightChars="-27" w:firstLine="400" w:firstLineChars="200"/>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8.厂商不得在提供的硬件及软件系统中设置包括且不限于如：软硬件加密狗、加密软件、时间锁、授权码等限制硬件及软件系统正常运行的措施，如有特殊需要必须提交纸质文件说明，经过我院签字同意才可设置，否则视为乙方违约，乙方需要支付医院违约金500000元（伍拾万元），在此基础上医院有权要求乙方退回甲方已支付的所有款项。如对医院造成损失的，甲方有权要求乙方赔偿。</w:t>
            </w:r>
          </w:p>
          <w:p>
            <w:pPr>
              <w:spacing w:line="360" w:lineRule="exact"/>
              <w:ind w:right="-57" w:rightChars="-27" w:firstLine="400" w:firstLineChars="200"/>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9.厂商驻场工程师人员变更必须得到医院书面同意，否则视为乙方违约，甲方有权按5000元/人/次从合同总款中扣除。</w:t>
            </w:r>
          </w:p>
          <w:p>
            <w:pPr>
              <w:spacing w:line="360" w:lineRule="exact"/>
              <w:ind w:right="-57" w:rightChars="-27" w:firstLine="400" w:firstLineChars="200"/>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10.如合同乙方非软件提供商，软件提供商需承担连带责任，即本技术参数中对乙方的所有约束要求、违约条件均等同于对软件提供商的要求，甲方在追究乙方违约责任的同时可以同步追究软件提供商同等责任，乙方在投标时必须提供软件提供商的售后服务承诺书原件（须加盖软件提供商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保密、廉洁承诺</w:t>
            </w:r>
          </w:p>
        </w:tc>
        <w:tc>
          <w:tcPr>
            <w:tcW w:w="7023" w:type="dxa"/>
            <w:tcBorders>
              <w:top w:val="single" w:color="auto" w:sz="4" w:space="0"/>
              <w:left w:val="single" w:color="auto" w:sz="4" w:space="0"/>
              <w:bottom w:val="single" w:color="auto" w:sz="4" w:space="0"/>
              <w:right w:val="single" w:color="auto" w:sz="4" w:space="0"/>
            </w:tcBorders>
            <w:vAlign w:val="center"/>
          </w:tcPr>
          <w:p>
            <w:pPr>
              <w:spacing w:line="360" w:lineRule="exact"/>
              <w:ind w:right="-57" w:rightChars="-27" w:firstLine="400" w:firstLineChars="200"/>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pPr>
              <w:spacing w:line="360" w:lineRule="exact"/>
              <w:ind w:right="-57" w:rightChars="-27" w:firstLine="400" w:firstLineChars="200"/>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2. 双方不得以任何方式向第三方泄露本项目的软件技术、设计方案以及功能配置等内容。</w:t>
            </w:r>
          </w:p>
          <w:p>
            <w:pPr>
              <w:spacing w:line="360" w:lineRule="exact"/>
              <w:ind w:right="-57" w:rightChars="-27" w:firstLine="400" w:firstLineChars="200"/>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3.不以任何方式向第三方泄露在本协议开发实施过程中获取的经济、技术、数据以及双方其他非公开的信息。</w:t>
            </w:r>
          </w:p>
          <w:p>
            <w:pPr>
              <w:spacing w:line="360" w:lineRule="exact"/>
              <w:ind w:right="-57" w:rightChars="-27" w:firstLine="400" w:firstLineChars="200"/>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4.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pPr>
              <w:spacing w:line="360" w:lineRule="exact"/>
              <w:ind w:right="-57" w:rightChars="-27" w:firstLine="400" w:firstLineChars="200"/>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5.保密期限自本合同生效之日起永久有效，如乙方需解除保密协议需向甲方提出书面申请，双方协商同意签字确认后方可解除。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付款方式</w:t>
            </w:r>
          </w:p>
        </w:tc>
        <w:tc>
          <w:tcPr>
            <w:tcW w:w="7023" w:type="dxa"/>
            <w:tcBorders>
              <w:top w:val="single" w:color="auto" w:sz="4" w:space="0"/>
              <w:left w:val="single" w:color="auto" w:sz="4" w:space="0"/>
              <w:bottom w:val="single" w:color="auto" w:sz="4" w:space="0"/>
              <w:right w:val="single" w:color="auto" w:sz="4" w:space="0"/>
            </w:tcBorders>
            <w:vAlign w:val="center"/>
          </w:tcPr>
          <w:p>
            <w:pPr>
              <w:shd w:val="clear" w:color="auto"/>
              <w:spacing w:line="360" w:lineRule="exact"/>
              <w:ind w:right="-57" w:rightChars="-27" w:firstLine="400" w:firstLineChars="200"/>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1.合同签订后，供应商7个工作日内进场，并出具等额发票给采购人，采购人收到供应商有效发票后10个工作日内，支付项目合同总额的10%作为预付款；</w:t>
            </w:r>
          </w:p>
          <w:p>
            <w:pPr>
              <w:shd w:val="clear" w:color="auto"/>
              <w:spacing w:line="360" w:lineRule="exact"/>
              <w:ind w:right="-57" w:rightChars="-27" w:firstLine="400" w:firstLineChars="200"/>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2.各子系统功能上线完毕后，使用部门确认上线功能并出具上线完成报告，供应商出具等额发票给采购人，采购人收到供应商有效发票后10个工作日内，支付项目合同各子系统金额的20%；</w:t>
            </w:r>
          </w:p>
          <w:p>
            <w:pPr>
              <w:shd w:val="clear" w:color="auto"/>
              <w:spacing w:line="36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3.项目各子系统实施完毕，子系统试运行满3个月后，经采购人及供应商双方确认通过初步验收后，收到供应商有效发票后10个工作日内，支付项目合同子系统金额的60%；</w:t>
            </w:r>
          </w:p>
          <w:p>
            <w:pPr>
              <w:shd w:val="clear" w:color="auto"/>
              <w:spacing w:line="360" w:lineRule="exact"/>
              <w:ind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4.项目整体实施完成，最终验收合格1年后，采购人在收到供应商有效等额发票后10个工作日内，支付项目合同总额的10%。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报价要求</w:t>
            </w:r>
          </w:p>
        </w:tc>
        <w:tc>
          <w:tcPr>
            <w:tcW w:w="7023"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spacing w:line="360" w:lineRule="exact"/>
              <w:ind w:firstLine="400" w:firstLineChars="200"/>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1.供应商报价为采购人指定地点的现场交货价，包括但不限于：</w:t>
            </w:r>
          </w:p>
          <w:p>
            <w:pPr>
              <w:tabs>
                <w:tab w:val="left" w:pos="180"/>
                <w:tab w:val="left" w:pos="1620"/>
              </w:tabs>
              <w:spacing w:line="360" w:lineRule="exact"/>
              <w:ind w:firstLine="400" w:firstLineChars="200"/>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（1）标的物的价格；</w:t>
            </w:r>
          </w:p>
          <w:p>
            <w:pPr>
              <w:tabs>
                <w:tab w:val="left" w:pos="180"/>
                <w:tab w:val="left" w:pos="1620"/>
              </w:tabs>
              <w:spacing w:line="360" w:lineRule="exact"/>
              <w:ind w:firstLine="400" w:firstLineChars="200"/>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（2）必要的保险费用和各项税金；</w:t>
            </w:r>
          </w:p>
          <w:p>
            <w:pPr>
              <w:tabs>
                <w:tab w:val="left" w:pos="180"/>
                <w:tab w:val="left" w:pos="1620"/>
              </w:tabs>
              <w:spacing w:line="360" w:lineRule="exact"/>
              <w:ind w:firstLine="400" w:firstLineChars="200"/>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（3）其他费用（包括但不限于运输、装卸、软件开发、软件部署、调试、培训、技术支持、售后服务、检测等费用）；</w:t>
            </w:r>
          </w:p>
          <w:p>
            <w:pPr>
              <w:tabs>
                <w:tab w:val="left" w:pos="180"/>
                <w:tab w:val="left" w:pos="1620"/>
              </w:tabs>
              <w:spacing w:line="360" w:lineRule="exact"/>
              <w:ind w:firstLine="400" w:firstLineChars="200"/>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（4）安装费用（包括但不限于各类软件、系统等的安装、集成、试运行等费用）。</w:t>
            </w:r>
          </w:p>
          <w:p>
            <w:pPr>
              <w:tabs>
                <w:tab w:val="left" w:pos="180"/>
                <w:tab w:val="left" w:pos="1620"/>
              </w:tabs>
              <w:spacing w:line="360" w:lineRule="exact"/>
              <w:ind w:firstLine="400" w:firstLineChars="200"/>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2.报价人自行考虑完成项目所需的辅材、杂配件等数量、设备租借、通信费用、系统兼容，报价中应包含全部内容，采购人不再另行支付任何费用。</w:t>
            </w:r>
          </w:p>
          <w:p>
            <w:pPr>
              <w:tabs>
                <w:tab w:val="left" w:pos="180"/>
                <w:tab w:val="left" w:pos="1620"/>
              </w:tabs>
              <w:spacing w:line="360" w:lineRule="exact"/>
              <w:ind w:firstLine="400" w:firstLineChars="200"/>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3.报价文件需提供产品报价表、技术方案、实施方案、技术偏离表、商务偏离表、售后服务方案、培训方案格式自拟。</w:t>
            </w:r>
          </w:p>
        </w:tc>
      </w:tr>
    </w:tbl>
    <w:p>
      <w:pPr>
        <w:pStyle w:val="14"/>
        <w:spacing w:line="360" w:lineRule="auto"/>
        <w:ind w:firstLine="614" w:firstLineChars="256"/>
        <w:rPr>
          <w:color w:val="000000" w:themeColor="text1"/>
          <w:sz w:val="24"/>
          <w14:textFill>
            <w14:solidFill>
              <w14:schemeClr w14:val="tx1"/>
            </w14:solidFill>
          </w14:textFill>
        </w:rPr>
      </w:pPr>
    </w:p>
    <w:p>
      <w:pPr>
        <w:pStyle w:val="14"/>
        <w:spacing w:line="360" w:lineRule="auto"/>
        <w:ind w:firstLine="614" w:firstLineChars="256"/>
        <w:rPr>
          <w:color w:val="000000" w:themeColor="text1"/>
          <w:sz w:val="24"/>
          <w14:textFill>
            <w14:solidFill>
              <w14:schemeClr w14:val="tx1"/>
            </w14:solidFill>
          </w14:textFill>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简体">
    <w:altName w:val="宋体"/>
    <w:panose1 w:val="00000000000000000000"/>
    <w:charset w:val="86"/>
    <w:family w:val="auto"/>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bookmarkStart w:id="2" w:name="_GoBack"/>
    <w:bookmarkEnd w:id="2"/>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019B52"/>
    <w:multiLevelType w:val="singleLevel"/>
    <w:tmpl w:val="FD019B52"/>
    <w:lvl w:ilvl="0" w:tentative="0">
      <w:start w:val="3"/>
      <w:numFmt w:val="chineseCounting"/>
      <w:suff w:val="nothing"/>
      <w:lvlText w:val="%1、"/>
      <w:lvlJc w:val="left"/>
      <w:rPr>
        <w:rFonts w:hint="eastAsia"/>
      </w:rPr>
    </w:lvl>
  </w:abstractNum>
  <w:abstractNum w:abstractNumId="1">
    <w:nsid w:val="087FA654"/>
    <w:multiLevelType w:val="multilevel"/>
    <w:tmpl w:val="087FA654"/>
    <w:lvl w:ilvl="0" w:tentative="0">
      <w:start w:val="1"/>
      <w:numFmt w:val="chineseCounting"/>
      <w:suff w:val="space"/>
      <w:lvlText w:val="第%1章"/>
      <w:lvlJc w:val="left"/>
      <w:pPr>
        <w:tabs>
          <w:tab w:val="left" w:pos="0"/>
        </w:tabs>
        <w:ind w:left="0" w:firstLine="0"/>
      </w:pPr>
      <w:rPr>
        <w:rFonts w:hint="eastAsia" w:ascii="仿宋_GB2312" w:hAnsi="仿宋_GB2312" w:eastAsia="仿宋_GB2312" w:cs="仿宋_GB2312"/>
        <w:b/>
        <w:bCs/>
      </w:rPr>
    </w:lvl>
    <w:lvl w:ilvl="1" w:tentative="0">
      <w:start w:val="1"/>
      <w:numFmt w:val="decimal"/>
      <w:isLgl/>
      <w:suff w:val="space"/>
      <w:lvlText w:val="%1.%2"/>
      <w:lvlJc w:val="left"/>
      <w:pPr>
        <w:ind w:left="0" w:firstLine="0"/>
      </w:pPr>
      <w:rPr>
        <w:rFonts w:hint="eastAsia" w:ascii="仿宋_GB2312" w:hAnsi="仿宋_GB2312" w:eastAsia="仿宋_GB2312" w:cs="仿宋_GB2312"/>
        <w:b/>
        <w:bCs/>
      </w:rPr>
    </w:lvl>
    <w:lvl w:ilvl="2" w:tentative="0">
      <w:start w:val="1"/>
      <w:numFmt w:val="decimal"/>
      <w:isLgl/>
      <w:suff w:val="space"/>
      <w:lvlText w:val="%1.%2.%3"/>
      <w:lvlJc w:val="left"/>
      <w:pPr>
        <w:ind w:left="568" w:firstLine="0"/>
      </w:pPr>
      <w:rPr>
        <w:rFonts w:hint="eastAsia" w:ascii="仿宋_GB2312" w:hAnsi="仿宋_GB2312" w:eastAsia="仿宋_GB2312" w:cs="仿宋_GB2312"/>
        <w:b/>
        <w:bCs/>
        <w:sz w:val="30"/>
        <w:szCs w:val="30"/>
      </w:rPr>
    </w:lvl>
    <w:lvl w:ilvl="3" w:tentative="0">
      <w:start w:val="1"/>
      <w:numFmt w:val="decimal"/>
      <w:isLgl/>
      <w:suff w:val="space"/>
      <w:lvlText w:val="%1.%2.%3.%4"/>
      <w:lvlJc w:val="left"/>
      <w:pPr>
        <w:ind w:left="710" w:firstLine="0"/>
      </w:pPr>
      <w:rPr>
        <w:b/>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pStyle w:val="6"/>
      <w:isLgl/>
      <w:suff w:val="space"/>
      <w:lvlText w:val="%1.%2.%3.%4.%5"/>
      <w:lvlJc w:val="left"/>
      <w:pPr>
        <w:ind w:left="142" w:firstLine="0"/>
      </w:pPr>
      <w:rPr>
        <w:rFonts w:hint="eastAsia" w:ascii="宋体" w:hAnsi="宋体" w:eastAsia="宋体" w:cs="宋体"/>
      </w:rPr>
    </w:lvl>
    <w:lvl w:ilvl="5" w:tentative="0">
      <w:start w:val="1"/>
      <w:numFmt w:val="decimal"/>
      <w:isLgl/>
      <w:suff w:val="space"/>
      <w:lvlText w:val="%1.%2.%3.%4.%5.%6"/>
      <w:lvlJc w:val="left"/>
      <w:pPr>
        <w:ind w:left="0" w:firstLine="0"/>
      </w:pPr>
      <w:rPr>
        <w:rFonts w:hint="eastAsia"/>
      </w:rPr>
    </w:lvl>
    <w:lvl w:ilvl="6" w:tentative="0">
      <w:start w:val="1"/>
      <w:numFmt w:val="decimal"/>
      <w:isLgl/>
      <w:suff w:val="space"/>
      <w:lvlText w:val="%1.%2.%3.%4.%5.%6.%7"/>
      <w:lvlJc w:val="left"/>
      <w:pPr>
        <w:ind w:left="0" w:firstLine="0"/>
      </w:pPr>
      <w:rPr>
        <w:rFonts w:hint="eastAsia" w:ascii="仿宋_GB2312" w:eastAsia="仿宋_GB2312"/>
      </w:rPr>
    </w:lvl>
    <w:lvl w:ilvl="7" w:tentative="0">
      <w:start w:val="1"/>
      <w:numFmt w:val="decimal"/>
      <w:isLgl/>
      <w:suff w:val="space"/>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abstractNum w:abstractNumId="2">
    <w:nsid w:val="11E53400"/>
    <w:multiLevelType w:val="singleLevel"/>
    <w:tmpl w:val="11E53400"/>
    <w:lvl w:ilvl="0" w:tentative="0">
      <w:start w:val="1"/>
      <w:numFmt w:val="decimal"/>
      <w:lvlText w:val="%1."/>
      <w:lvlJc w:val="left"/>
      <w:pPr>
        <w:tabs>
          <w:tab w:val="left" w:pos="312"/>
        </w:tabs>
      </w:pPr>
    </w:lvl>
  </w:abstractNum>
  <w:abstractNum w:abstractNumId="3">
    <w:nsid w:val="14D84B87"/>
    <w:multiLevelType w:val="multilevel"/>
    <w:tmpl w:val="14D84B87"/>
    <w:lvl w:ilvl="0" w:tentative="0">
      <w:start w:val="1"/>
      <w:numFmt w:val="chineseCountingThousand"/>
      <w:pStyle w:val="5"/>
      <w:lvlText w:val="%1"/>
      <w:lvlJc w:val="left"/>
      <w:pPr>
        <w:ind w:left="425" w:hanging="425"/>
      </w:pPr>
      <w:rPr>
        <w:rFonts w:hint="eastAsia"/>
      </w:rPr>
    </w:lvl>
    <w:lvl w:ilvl="1" w:tentative="0">
      <w:start w:val="1"/>
      <w:numFmt w:val="chineseCountingThousand"/>
      <w:lvlText w:val="(%2)"/>
      <w:lvlJc w:val="left"/>
      <w:pPr>
        <w:ind w:left="850" w:hanging="567"/>
      </w:pPr>
      <w:rPr>
        <w:rFonts w:hint="eastAsia"/>
      </w:rPr>
    </w:lvl>
    <w:lvl w:ilvl="2" w:tentative="0">
      <w:start w:val="1"/>
      <w:numFmt w:val="decimal"/>
      <w:lvlText w:val="%3."/>
      <w:lvlJc w:val="left"/>
      <w:pPr>
        <w:ind w:left="1356" w:hanging="567"/>
      </w:pPr>
      <w:rPr>
        <w:rFonts w:hint="eastAsia"/>
      </w:rPr>
    </w:lvl>
    <w:lvl w:ilvl="3" w:tentative="0">
      <w:start w:val="1"/>
      <w:numFmt w:val="decimal"/>
      <w:isLgl/>
      <w:lvlText w:val="%1.%2.%3.%4"/>
      <w:lvlJc w:val="left"/>
      <w:pPr>
        <w:ind w:left="1984" w:hanging="708"/>
      </w:pPr>
      <w:rPr>
        <w:rFonts w:hint="eastAsia"/>
      </w:rPr>
    </w:lvl>
    <w:lvl w:ilvl="4" w:tentative="0">
      <w:start w:val="1"/>
      <w:numFmt w:val="decimal"/>
      <w:isLgl/>
      <w:lvlText w:val="%1.%2.%3.%4.%5"/>
      <w:lvlJc w:val="left"/>
      <w:pPr>
        <w:ind w:left="2551" w:hanging="850"/>
      </w:pPr>
      <w:rPr>
        <w:rFonts w:hint="eastAsia"/>
      </w:rPr>
    </w:lvl>
    <w:lvl w:ilvl="5" w:tentative="0">
      <w:start w:val="1"/>
      <w:numFmt w:val="decimal"/>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abstractNum w:abstractNumId="4">
    <w:nsid w:val="6F9D1F1C"/>
    <w:multiLevelType w:val="singleLevel"/>
    <w:tmpl w:val="6F9D1F1C"/>
    <w:lvl w:ilvl="0" w:tentative="0">
      <w:start w:val="4"/>
      <w:numFmt w:val="decimal"/>
      <w:lvlText w:val="%1."/>
      <w:lvlJc w:val="left"/>
      <w:pPr>
        <w:tabs>
          <w:tab w:val="left" w:pos="312"/>
        </w:tabs>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yYjk0MmVmN2M5NTFkMTIwYTMwZTNhYjRhMGE3NmYifQ=="/>
    <w:docVar w:name="KSO_WPS_MARK_KEY" w:val="01e3969b-3b3f-4432-9ed2-67944f20bafd"/>
  </w:docVars>
  <w:rsids>
    <w:rsidRoot w:val="003E62DF"/>
    <w:rsid w:val="000E2410"/>
    <w:rsid w:val="001A11FC"/>
    <w:rsid w:val="001A1C12"/>
    <w:rsid w:val="0021149A"/>
    <w:rsid w:val="002A29C0"/>
    <w:rsid w:val="002F4BF2"/>
    <w:rsid w:val="00302DA2"/>
    <w:rsid w:val="00306E6E"/>
    <w:rsid w:val="003C101B"/>
    <w:rsid w:val="003E62DF"/>
    <w:rsid w:val="00435C7C"/>
    <w:rsid w:val="00464C46"/>
    <w:rsid w:val="00481560"/>
    <w:rsid w:val="00482C03"/>
    <w:rsid w:val="00491534"/>
    <w:rsid w:val="004D1471"/>
    <w:rsid w:val="004D3BA6"/>
    <w:rsid w:val="004E0EEA"/>
    <w:rsid w:val="004F7243"/>
    <w:rsid w:val="00501A5E"/>
    <w:rsid w:val="00507737"/>
    <w:rsid w:val="005766B3"/>
    <w:rsid w:val="005B378E"/>
    <w:rsid w:val="005D0168"/>
    <w:rsid w:val="005D449A"/>
    <w:rsid w:val="00604157"/>
    <w:rsid w:val="00614C77"/>
    <w:rsid w:val="00631DC2"/>
    <w:rsid w:val="00641B80"/>
    <w:rsid w:val="00643641"/>
    <w:rsid w:val="00652755"/>
    <w:rsid w:val="006A3CAE"/>
    <w:rsid w:val="006C202C"/>
    <w:rsid w:val="00745AF6"/>
    <w:rsid w:val="00820A4C"/>
    <w:rsid w:val="00873BB6"/>
    <w:rsid w:val="008C0E6C"/>
    <w:rsid w:val="008C322F"/>
    <w:rsid w:val="00983175"/>
    <w:rsid w:val="00A140D3"/>
    <w:rsid w:val="00A22B34"/>
    <w:rsid w:val="00A23E5B"/>
    <w:rsid w:val="00A751ED"/>
    <w:rsid w:val="00A928F0"/>
    <w:rsid w:val="00AB3B31"/>
    <w:rsid w:val="00AC7F3B"/>
    <w:rsid w:val="00AF7CF2"/>
    <w:rsid w:val="00B759E0"/>
    <w:rsid w:val="00BC2F97"/>
    <w:rsid w:val="00C56CA0"/>
    <w:rsid w:val="00C8221E"/>
    <w:rsid w:val="00CE4408"/>
    <w:rsid w:val="00D5380E"/>
    <w:rsid w:val="00DC1FBB"/>
    <w:rsid w:val="00DF052F"/>
    <w:rsid w:val="00E114D5"/>
    <w:rsid w:val="00E3629E"/>
    <w:rsid w:val="00E61AD4"/>
    <w:rsid w:val="00F13AA1"/>
    <w:rsid w:val="00F464BA"/>
    <w:rsid w:val="00F71D37"/>
    <w:rsid w:val="00F7438E"/>
    <w:rsid w:val="00FB5B37"/>
    <w:rsid w:val="036914A1"/>
    <w:rsid w:val="038608DA"/>
    <w:rsid w:val="043321DE"/>
    <w:rsid w:val="05087ABC"/>
    <w:rsid w:val="06DF14B2"/>
    <w:rsid w:val="06DF2215"/>
    <w:rsid w:val="06F217EB"/>
    <w:rsid w:val="072E01FC"/>
    <w:rsid w:val="08741252"/>
    <w:rsid w:val="08E81855"/>
    <w:rsid w:val="0A791D80"/>
    <w:rsid w:val="0AF43949"/>
    <w:rsid w:val="0D843D28"/>
    <w:rsid w:val="0D993087"/>
    <w:rsid w:val="0F2A1F3D"/>
    <w:rsid w:val="0FE424B0"/>
    <w:rsid w:val="109B068D"/>
    <w:rsid w:val="11D9041C"/>
    <w:rsid w:val="123507D0"/>
    <w:rsid w:val="12D1790A"/>
    <w:rsid w:val="14782DB8"/>
    <w:rsid w:val="14AF00BD"/>
    <w:rsid w:val="14EF0366"/>
    <w:rsid w:val="153D4F2B"/>
    <w:rsid w:val="15581B10"/>
    <w:rsid w:val="165C1DAE"/>
    <w:rsid w:val="16ED2D59"/>
    <w:rsid w:val="174D1CA9"/>
    <w:rsid w:val="17536FF6"/>
    <w:rsid w:val="17541870"/>
    <w:rsid w:val="19151124"/>
    <w:rsid w:val="1A251034"/>
    <w:rsid w:val="1AA944D3"/>
    <w:rsid w:val="1B4161D2"/>
    <w:rsid w:val="1B5C436C"/>
    <w:rsid w:val="1B91509A"/>
    <w:rsid w:val="1D000C40"/>
    <w:rsid w:val="1D9262D5"/>
    <w:rsid w:val="1D9E7E23"/>
    <w:rsid w:val="1E560BB7"/>
    <w:rsid w:val="1EE441E9"/>
    <w:rsid w:val="205A2083"/>
    <w:rsid w:val="22293C01"/>
    <w:rsid w:val="224243ED"/>
    <w:rsid w:val="24DA1462"/>
    <w:rsid w:val="251F0377"/>
    <w:rsid w:val="25D43FBF"/>
    <w:rsid w:val="26AA16D4"/>
    <w:rsid w:val="2808223B"/>
    <w:rsid w:val="28331A56"/>
    <w:rsid w:val="284C2F0D"/>
    <w:rsid w:val="290632D5"/>
    <w:rsid w:val="297B4456"/>
    <w:rsid w:val="2A211E01"/>
    <w:rsid w:val="2C6E439E"/>
    <w:rsid w:val="2C8F073A"/>
    <w:rsid w:val="2CA67011"/>
    <w:rsid w:val="2D1333F1"/>
    <w:rsid w:val="2DA06AFC"/>
    <w:rsid w:val="2E55261B"/>
    <w:rsid w:val="32C6197C"/>
    <w:rsid w:val="335808B5"/>
    <w:rsid w:val="34906983"/>
    <w:rsid w:val="34A02F04"/>
    <w:rsid w:val="367D4F11"/>
    <w:rsid w:val="36C04858"/>
    <w:rsid w:val="3764472C"/>
    <w:rsid w:val="395C56DE"/>
    <w:rsid w:val="39A726BF"/>
    <w:rsid w:val="39B45A72"/>
    <w:rsid w:val="3A6B42DB"/>
    <w:rsid w:val="3A6B617C"/>
    <w:rsid w:val="3A965B44"/>
    <w:rsid w:val="3B4F3BCB"/>
    <w:rsid w:val="3B8659A8"/>
    <w:rsid w:val="3D655CAD"/>
    <w:rsid w:val="3DCF123E"/>
    <w:rsid w:val="3E3103B1"/>
    <w:rsid w:val="3FFE146B"/>
    <w:rsid w:val="41953C17"/>
    <w:rsid w:val="41971DBD"/>
    <w:rsid w:val="42AF5C08"/>
    <w:rsid w:val="43577C97"/>
    <w:rsid w:val="43A322E2"/>
    <w:rsid w:val="43CC4B30"/>
    <w:rsid w:val="44511123"/>
    <w:rsid w:val="455A3219"/>
    <w:rsid w:val="457173F8"/>
    <w:rsid w:val="45AB0DDF"/>
    <w:rsid w:val="47FA24B7"/>
    <w:rsid w:val="480C0CC5"/>
    <w:rsid w:val="49C017DB"/>
    <w:rsid w:val="49ED7D72"/>
    <w:rsid w:val="4BF413EA"/>
    <w:rsid w:val="4C4F5036"/>
    <w:rsid w:val="4E6E7357"/>
    <w:rsid w:val="4F640350"/>
    <w:rsid w:val="507D710A"/>
    <w:rsid w:val="50844495"/>
    <w:rsid w:val="508670F0"/>
    <w:rsid w:val="50A873B9"/>
    <w:rsid w:val="52C84CF5"/>
    <w:rsid w:val="53E3695D"/>
    <w:rsid w:val="54361EC0"/>
    <w:rsid w:val="54E82BB7"/>
    <w:rsid w:val="55B43D13"/>
    <w:rsid w:val="562C3FA0"/>
    <w:rsid w:val="56864135"/>
    <w:rsid w:val="585573E7"/>
    <w:rsid w:val="5A334C18"/>
    <w:rsid w:val="5C2974BB"/>
    <w:rsid w:val="5C4B79F0"/>
    <w:rsid w:val="5C6164F3"/>
    <w:rsid w:val="5E6D567A"/>
    <w:rsid w:val="5EC44925"/>
    <w:rsid w:val="5EEF047E"/>
    <w:rsid w:val="606A2F3D"/>
    <w:rsid w:val="607B2E53"/>
    <w:rsid w:val="61D867EE"/>
    <w:rsid w:val="63556B90"/>
    <w:rsid w:val="63EF6D4C"/>
    <w:rsid w:val="65036648"/>
    <w:rsid w:val="65155A69"/>
    <w:rsid w:val="65EF576E"/>
    <w:rsid w:val="66BC1CB0"/>
    <w:rsid w:val="67234BE8"/>
    <w:rsid w:val="67C37F93"/>
    <w:rsid w:val="686C39B1"/>
    <w:rsid w:val="68B72934"/>
    <w:rsid w:val="69A9737D"/>
    <w:rsid w:val="6A5B6461"/>
    <w:rsid w:val="6B9E401E"/>
    <w:rsid w:val="6C1A6998"/>
    <w:rsid w:val="708741CD"/>
    <w:rsid w:val="711C77D0"/>
    <w:rsid w:val="72021B5A"/>
    <w:rsid w:val="73051406"/>
    <w:rsid w:val="73F71B2F"/>
    <w:rsid w:val="749516C4"/>
    <w:rsid w:val="7524075C"/>
    <w:rsid w:val="76C64F98"/>
    <w:rsid w:val="774C3647"/>
    <w:rsid w:val="77622DCD"/>
    <w:rsid w:val="77BC6A0C"/>
    <w:rsid w:val="79792DFF"/>
    <w:rsid w:val="79FA7331"/>
    <w:rsid w:val="7A5B3017"/>
    <w:rsid w:val="7AB427B8"/>
    <w:rsid w:val="7CA00296"/>
    <w:rsid w:val="7D600B81"/>
    <w:rsid w:val="7ED45A9B"/>
    <w:rsid w:val="7F895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18"/>
    <w:qFormat/>
    <w:uiPriority w:val="9"/>
    <w:pPr>
      <w:keepNext/>
      <w:keepLines/>
      <w:numPr>
        <w:ilvl w:val="0"/>
        <w:numId w:val="1"/>
      </w:numPr>
      <w:spacing w:before="340" w:after="330" w:line="578" w:lineRule="auto"/>
      <w:outlineLvl w:val="0"/>
    </w:pPr>
    <w:rPr>
      <w:b/>
      <w:bCs/>
      <w:kern w:val="44"/>
      <w:sz w:val="44"/>
      <w:szCs w:val="44"/>
    </w:rPr>
  </w:style>
  <w:style w:type="paragraph" w:styleId="6">
    <w:name w:val="heading 5"/>
    <w:basedOn w:val="7"/>
    <w:next w:val="1"/>
    <w:qFormat/>
    <w:uiPriority w:val="9"/>
    <w:pPr>
      <w:numPr>
        <w:ilvl w:val="4"/>
        <w:numId w:val="2"/>
      </w:numPr>
      <w:tabs>
        <w:tab w:val="left" w:pos="0"/>
      </w:tabs>
      <w:spacing w:before="190" w:beforeLines="50" w:after="120" w:line="360" w:lineRule="auto"/>
      <w:ind w:left="0"/>
      <w:outlineLvl w:val="4"/>
    </w:pPr>
    <w:rPr>
      <w:rFonts w:ascii="仿宋_GB2312" w:hAnsi="宋体" w:eastAsia="仿宋_GB2312" w:cs="宋体"/>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kern w:val="0"/>
      <w:sz w:val="20"/>
      <w:szCs w:val="24"/>
      <w:lang w:val="zh-CN"/>
    </w:rPr>
  </w:style>
  <w:style w:type="paragraph" w:customStyle="1" w:styleId="3">
    <w:name w:val="Default"/>
    <w:next w:val="4"/>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4">
    <w:name w:val="header"/>
    <w:basedOn w:val="1"/>
    <w:next w:val="1"/>
    <w:link w:val="16"/>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标题5"/>
    <w:basedOn w:val="1"/>
    <w:next w:val="1"/>
    <w:qFormat/>
    <w:uiPriority w:val="0"/>
    <w:pPr>
      <w:overflowPunct w:val="0"/>
      <w:snapToGrid w:val="0"/>
      <w:spacing w:line="590" w:lineRule="exact"/>
      <w:ind w:firstLine="200"/>
    </w:pPr>
    <w:rPr>
      <w:rFonts w:ascii="方正楷体简体" w:hAnsi="Times" w:eastAsia="方正楷体简体" w:cs="Times New Roman"/>
      <w:sz w:val="32"/>
      <w:szCs w:val="20"/>
    </w:rPr>
  </w:style>
  <w:style w:type="paragraph" w:styleId="8">
    <w:name w:val="Body Text Indent 2"/>
    <w:basedOn w:val="1"/>
    <w:qFormat/>
    <w:uiPriority w:val="0"/>
    <w:pPr>
      <w:ind w:firstLine="630"/>
    </w:pPr>
    <w:rPr>
      <w:sz w:val="32"/>
      <w:szCs w:val="20"/>
    </w:rPr>
  </w:style>
  <w:style w:type="paragraph" w:styleId="9">
    <w:name w:val="footer"/>
    <w:basedOn w:val="1"/>
    <w:link w:val="17"/>
    <w:qFormat/>
    <w:uiPriority w:val="0"/>
    <w:pPr>
      <w:tabs>
        <w:tab w:val="center" w:pos="4153"/>
        <w:tab w:val="right" w:pos="8306"/>
      </w:tabs>
      <w:snapToGrid w:val="0"/>
      <w:jc w:val="left"/>
    </w:pPr>
    <w:rPr>
      <w:sz w:val="18"/>
      <w:szCs w:val="18"/>
    </w:rPr>
  </w:style>
  <w:style w:type="paragraph" w:styleId="10">
    <w:name w:val="Normal (Web)"/>
    <w:basedOn w:val="1"/>
    <w:unhideWhenUsed/>
    <w:qFormat/>
    <w:uiPriority w:val="0"/>
    <w:pPr>
      <w:widowControl/>
      <w:spacing w:before="100" w:beforeAutospacing="1" w:after="100" w:afterAutospacing="1"/>
    </w:pPr>
    <w:rPr>
      <w:rFonts w:ascii="宋体" w:hAnsi="宋体" w:eastAsia="宋体" w:cs="宋体"/>
      <w:kern w:val="0"/>
      <w:sz w:val="24"/>
      <w:szCs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列出段落1"/>
    <w:basedOn w:val="1"/>
    <w:qFormat/>
    <w:uiPriority w:val="34"/>
    <w:pPr>
      <w:ind w:firstLine="420" w:firstLineChars="200"/>
    </w:pPr>
  </w:style>
  <w:style w:type="paragraph" w:customStyle="1" w:styleId="15">
    <w:name w:val="p15"/>
    <w:basedOn w:val="1"/>
    <w:qFormat/>
    <w:uiPriority w:val="0"/>
    <w:pPr>
      <w:widowControl/>
      <w:ind w:firstLine="420"/>
    </w:pPr>
    <w:rPr>
      <w:kern w:val="0"/>
      <w:szCs w:val="21"/>
    </w:rPr>
  </w:style>
  <w:style w:type="character" w:customStyle="1" w:styleId="16">
    <w:name w:val="页眉 字符"/>
    <w:basedOn w:val="13"/>
    <w:link w:val="4"/>
    <w:qFormat/>
    <w:uiPriority w:val="0"/>
    <w:rPr>
      <w:rFonts w:asciiTheme="minorHAnsi" w:hAnsiTheme="minorHAnsi" w:eastAsiaTheme="minorEastAsia" w:cstheme="minorBidi"/>
      <w:kern w:val="2"/>
      <w:sz w:val="18"/>
      <w:szCs w:val="18"/>
    </w:rPr>
  </w:style>
  <w:style w:type="character" w:customStyle="1" w:styleId="17">
    <w:name w:val="页脚 字符"/>
    <w:basedOn w:val="13"/>
    <w:link w:val="9"/>
    <w:qFormat/>
    <w:uiPriority w:val="0"/>
    <w:rPr>
      <w:rFonts w:asciiTheme="minorHAnsi" w:hAnsiTheme="minorHAnsi" w:eastAsiaTheme="minorEastAsia" w:cstheme="minorBidi"/>
      <w:kern w:val="2"/>
      <w:sz w:val="18"/>
      <w:szCs w:val="18"/>
    </w:rPr>
  </w:style>
  <w:style w:type="character" w:customStyle="1" w:styleId="18">
    <w:name w:val="标题 1 字符"/>
    <w:basedOn w:val="13"/>
    <w:link w:val="5"/>
    <w:qFormat/>
    <w:uiPriority w:val="9"/>
    <w:rPr>
      <w:rFonts w:asciiTheme="minorHAnsi" w:hAnsiTheme="minorHAnsi" w:eastAsiaTheme="minorEastAsia" w:cstheme="minorBidi"/>
      <w:b/>
      <w:bCs/>
      <w:kern w:val="44"/>
      <w:sz w:val="44"/>
      <w:szCs w:val="44"/>
    </w:rPr>
  </w:style>
  <w:style w:type="paragraph" w:customStyle="1" w:styleId="19">
    <w:name w:val="msolistparagraph"/>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11523</Words>
  <Characters>11739</Characters>
  <Lines>87</Lines>
  <Paragraphs>24</Paragraphs>
  <TotalTime>225</TotalTime>
  <ScaleCrop>false</ScaleCrop>
  <LinksUpToDate>false</LinksUpToDate>
  <CharactersWithSpaces>11745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2025-04-29T06:23:00Z</dcterms:created>
  <dc:creator>LGYY-USER</dc:creator>
  <cp:lastModifiedBy>yy</cp:lastModifiedBy>
  <dcterms:modified xsi:type="dcterms:W3CDTF">2025-05-21T00:46:42Z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eyJoZGlkIjoiYmRlNGQ1ZjU3MjI2Mjc5OGQyNmEwZjVkN2FlOTUyMGQiLCJ1c2VySWQiOiI4MjU2MjIwOTUifQ==</vt:lpwstr>
  </property>
  <property fmtid="{D5CDD505-2E9C-101B-9397-08002B2CF9AE}" pid="4" name="ICV">
    <vt:lpwstr>F4E3642AE42D49A8913F75742FFEB095_13</vt:lpwstr>
  </property>
</Properties>
</file>