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12" w:lineRule="auto"/>
        <w:ind w:left="420" w:leftChars="200"/>
        <w:jc w:val="center"/>
        <w:rPr>
          <w:rFonts w:hint="eastAsia" w:ascii="宋体" w:hAnsi="宋体" w:eastAsia="宋体" w:cs="微软雅黑"/>
          <w:b/>
          <w:bCs/>
          <w:kern w:val="44"/>
          <w:sz w:val="30"/>
          <w:szCs w:val="30"/>
        </w:rPr>
      </w:pPr>
      <w:bookmarkStart w:id="0" w:name="_Toc344816509"/>
      <w:r>
        <w:rPr>
          <w:rFonts w:hint="eastAsia" w:ascii="宋体" w:hAnsi="宋体" w:eastAsia="宋体" w:cs="微软雅黑"/>
          <w:b/>
          <w:bCs/>
          <w:kern w:val="44"/>
          <w:sz w:val="30"/>
          <w:szCs w:val="30"/>
        </w:rPr>
        <w:t>柳州市工人医院信息化能力提升建设项目（一期）</w:t>
      </w:r>
    </w:p>
    <w:p>
      <w:pPr>
        <w:keepNext/>
        <w:keepLines/>
        <w:spacing w:line="312" w:lineRule="auto"/>
        <w:ind w:left="420" w:leftChars="200"/>
        <w:jc w:val="center"/>
        <w:rPr>
          <w:rFonts w:hint="eastAsia" w:ascii="宋体" w:hAnsi="宋体" w:eastAsia="宋体" w:cs="微软雅黑"/>
          <w:b/>
          <w:bCs/>
          <w:kern w:val="44"/>
          <w:sz w:val="24"/>
          <w:szCs w:val="24"/>
          <w:lang w:eastAsia="zh-CN"/>
        </w:rPr>
      </w:pPr>
      <w:r>
        <w:rPr>
          <w:rFonts w:hint="eastAsia" w:ascii="宋体" w:hAnsi="宋体" w:eastAsia="宋体" w:cs="微软雅黑"/>
          <w:b/>
          <w:bCs/>
          <w:kern w:val="44"/>
          <w:sz w:val="30"/>
          <w:szCs w:val="30"/>
        </w:rPr>
        <w:t>急救专科 绿色通道（一期）技术参数</w:t>
      </w:r>
      <w:r>
        <w:rPr>
          <w:rFonts w:hint="eastAsia" w:ascii="宋体" w:hAnsi="宋体" w:eastAsia="宋体" w:cs="微软雅黑"/>
          <w:b/>
          <w:bCs/>
          <w:kern w:val="44"/>
          <w:sz w:val="30"/>
          <w:szCs w:val="30"/>
          <w:lang w:eastAsia="zh-CN"/>
        </w:rPr>
        <w:t>要求</w:t>
      </w:r>
    </w:p>
    <w:bookmarkEnd w:id="0"/>
    <w:p>
      <w:pPr>
        <w:pStyle w:val="10"/>
        <w:numPr>
          <w:ilvl w:val="0"/>
          <w:numId w:val="2"/>
        </w:numPr>
        <w:spacing w:line="312" w:lineRule="auto"/>
        <w:ind w:firstLineChars="0"/>
        <w:outlineLvl w:val="0"/>
        <w:rPr>
          <w:rFonts w:ascii="宋体" w:hAnsi="宋体" w:eastAsia="宋体"/>
          <w:sz w:val="24"/>
          <w:szCs w:val="24"/>
        </w:rPr>
      </w:pPr>
      <w:r>
        <w:rPr>
          <w:rFonts w:hint="eastAsia" w:ascii="宋体" w:hAnsi="宋体" w:eastAsia="宋体"/>
          <w:b/>
          <w:sz w:val="28"/>
          <w:szCs w:val="28"/>
        </w:rPr>
        <w:t>项目背景</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目前，柳州市工人医院鱼峰山院区院前急救、院内急诊、专病中心（胸痛中心、卒中中心、创伤中心、危重孕产妇中心、危重儿童和新生儿救治中心、急性上消化道出血中心）的信息化建设却相对落后，无法满足科室急危重症患者救治能力和服务质量提升、中心认证评级、以及科室高质量运营管理的需要</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因此，需要基于信创标准，在院内构建一套新一代集院前急救、院内急诊、多病种一站式的协同救治平台，解决科室需求与信息化水平现状的突出矛盾，加快医院急危重症救治体系数字化建设，应用5G互联网、人工智能、物联网、大数据等新型信息技术，创新急诊急救服务，优化院前医疗急救网络，继续推进专病中心建设，为患者提供医疗救治绿色通道和一体化综合救治服务，提升服务质量，改善服务体验，合作共创中国特色的数字化紧急医疗服务体系。</w:t>
      </w:r>
    </w:p>
    <w:p>
      <w:pPr>
        <w:pStyle w:val="10"/>
        <w:numPr>
          <w:ilvl w:val="0"/>
          <w:numId w:val="2"/>
        </w:numPr>
        <w:spacing w:line="312" w:lineRule="auto"/>
        <w:ind w:firstLineChars="0"/>
        <w:outlineLvl w:val="0"/>
        <w:rPr>
          <w:rFonts w:ascii="宋体" w:hAnsi="宋体" w:eastAsia="宋体"/>
          <w:b/>
          <w:sz w:val="28"/>
          <w:szCs w:val="28"/>
        </w:rPr>
      </w:pPr>
      <w:r>
        <w:rPr>
          <w:rFonts w:hint="eastAsia" w:ascii="宋体" w:hAnsi="宋体" w:eastAsia="宋体"/>
          <w:b/>
          <w:sz w:val="28"/>
          <w:szCs w:val="28"/>
        </w:rPr>
        <w:t>项目建设内容及要求</w:t>
      </w:r>
    </w:p>
    <w:p>
      <w:pPr>
        <w:pStyle w:val="10"/>
        <w:numPr>
          <w:ilvl w:val="0"/>
          <w:numId w:val="3"/>
        </w:numPr>
        <w:spacing w:line="312" w:lineRule="auto"/>
        <w:ind w:firstLine="482"/>
        <w:outlineLvl w:val="1"/>
        <w:rPr>
          <w:rFonts w:ascii="宋体" w:hAnsi="宋体"/>
          <w:b/>
          <w:sz w:val="24"/>
          <w:szCs w:val="24"/>
        </w:rPr>
      </w:pPr>
      <w:r>
        <w:rPr>
          <w:rFonts w:hint="eastAsia" w:ascii="宋体" w:hAnsi="宋体"/>
          <w:b/>
          <w:sz w:val="24"/>
          <w:szCs w:val="24"/>
        </w:rPr>
        <w:t>项目整体信息化建设要求</w:t>
      </w:r>
    </w:p>
    <w:tbl>
      <w:tblPr>
        <w:tblStyle w:val="7"/>
        <w:tblW w:w="10494" w:type="dxa"/>
        <w:jc w:val="center"/>
        <w:tblInd w:w="0" w:type="dxa"/>
        <w:shd w:val="clear" w:color="auto" w:fill="auto"/>
        <w:tblLayout w:type="fixed"/>
        <w:tblCellMar>
          <w:top w:w="0" w:type="dxa"/>
          <w:left w:w="108" w:type="dxa"/>
          <w:bottom w:w="0" w:type="dxa"/>
          <w:right w:w="108" w:type="dxa"/>
        </w:tblCellMar>
      </w:tblPr>
      <w:tblGrid>
        <w:gridCol w:w="642"/>
        <w:gridCol w:w="1153"/>
        <w:gridCol w:w="1181"/>
        <w:gridCol w:w="4718"/>
        <w:gridCol w:w="663"/>
        <w:gridCol w:w="687"/>
        <w:gridCol w:w="413"/>
        <w:gridCol w:w="602"/>
        <w:gridCol w:w="435"/>
      </w:tblGrid>
      <w:tr>
        <w:tblPrEx>
          <w:shd w:val="clear" w:color="auto" w:fill="auto"/>
          <w:tblLayout w:type="fixed"/>
          <w:tblCellMar>
            <w:top w:w="0" w:type="dxa"/>
            <w:left w:w="108" w:type="dxa"/>
            <w:bottom w:w="0" w:type="dxa"/>
            <w:right w:w="108" w:type="dxa"/>
          </w:tblCellMar>
        </w:tblPrEx>
        <w:trPr>
          <w:trHeight w:val="277" w:hRule="atLeast"/>
          <w:tblHeader/>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模块</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功能内涵描述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等线"/>
                <w:b/>
                <w:bCs/>
                <w:color w:val="000000"/>
                <w:kern w:val="0"/>
                <w:sz w:val="20"/>
                <w:szCs w:val="20"/>
                <w:lang w:bidi="ar"/>
              </w:rPr>
            </w:pPr>
            <w:r>
              <w:rPr>
                <w:rFonts w:hint="eastAsia" w:ascii="宋体" w:hAnsi="宋体" w:eastAsia="宋体" w:cs="等线"/>
                <w:b/>
                <w:bCs/>
                <w:color w:val="000000"/>
                <w:kern w:val="0"/>
                <w:sz w:val="20"/>
                <w:szCs w:val="20"/>
                <w:lang w:bidi="ar"/>
              </w:rPr>
              <w:t>产品厂家</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等线"/>
                <w:b/>
                <w:bCs/>
                <w:color w:val="000000"/>
                <w:kern w:val="0"/>
                <w:sz w:val="20"/>
                <w:szCs w:val="20"/>
                <w:lang w:bidi="ar"/>
              </w:rPr>
            </w:pPr>
            <w:r>
              <w:rPr>
                <w:rFonts w:hint="eastAsia" w:ascii="宋体" w:hAnsi="宋体" w:eastAsia="宋体" w:cs="等线"/>
                <w:b/>
                <w:bCs/>
                <w:color w:val="000000"/>
                <w:kern w:val="0"/>
                <w:sz w:val="20"/>
                <w:szCs w:val="20"/>
                <w:lang w:bidi="ar"/>
              </w:rPr>
              <w:t>产品型号</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等线"/>
                <w:b/>
                <w:bCs/>
                <w:color w:val="000000"/>
                <w:sz w:val="20"/>
                <w:szCs w:val="20"/>
              </w:rPr>
            </w:pPr>
            <w:r>
              <w:rPr>
                <w:rFonts w:hint="eastAsia" w:ascii="宋体" w:hAnsi="宋体" w:eastAsia="宋体" w:cs="等线"/>
                <w:b/>
                <w:bCs/>
                <w:color w:val="000000"/>
                <w:kern w:val="0"/>
                <w:sz w:val="20"/>
                <w:szCs w:val="20"/>
                <w:lang w:bidi="ar"/>
              </w:rPr>
              <w:t>数量</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等线"/>
                <w:b/>
                <w:bCs/>
                <w:color w:val="000000"/>
                <w:sz w:val="20"/>
                <w:szCs w:val="20"/>
              </w:rPr>
            </w:pPr>
            <w:r>
              <w:rPr>
                <w:rFonts w:hint="eastAsia" w:ascii="宋体" w:hAnsi="宋体" w:eastAsia="宋体" w:cs="等线"/>
                <w:b/>
                <w:bCs/>
                <w:color w:val="000000"/>
                <w:kern w:val="0"/>
                <w:sz w:val="20"/>
                <w:szCs w:val="20"/>
                <w:lang w:bidi="ar"/>
              </w:rPr>
              <w:t>报价</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等线"/>
                <w:b/>
                <w:bCs/>
                <w:color w:val="000000"/>
                <w:sz w:val="20"/>
                <w:szCs w:val="20"/>
              </w:rPr>
            </w:pPr>
            <w:r>
              <w:rPr>
                <w:rFonts w:hint="eastAsia" w:ascii="宋体" w:hAnsi="宋体" w:eastAsia="宋体" w:cs="等线"/>
                <w:b/>
                <w:bCs/>
                <w:color w:val="000000"/>
                <w:kern w:val="0"/>
                <w:sz w:val="20"/>
                <w:szCs w:val="20"/>
                <w:lang w:bidi="ar"/>
              </w:rPr>
              <w:t>质保</w:t>
            </w:r>
          </w:p>
        </w:tc>
      </w:tr>
      <w:tr>
        <w:tblPrEx>
          <w:tblLayout w:type="fixed"/>
          <w:tblCellMar>
            <w:top w:w="0" w:type="dxa"/>
            <w:left w:w="108" w:type="dxa"/>
            <w:bottom w:w="0" w:type="dxa"/>
            <w:right w:w="108" w:type="dxa"/>
          </w:tblCellMar>
        </w:tblPrEx>
        <w:trPr>
          <w:trHeight w:val="1050"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院前急救电子病历管理信息系统</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院前急救任务管理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管理医院急救车辆、派发急救任务、急救车辆定位、跟踪患者急救转运状态；便于院内医护人员即时获取车辆任务情况，提前做好院内绿色通道救治准备。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313"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院前质控统计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1、通过柱状图、折线图等统计图的形式，统计展示院前急救质控指标。2、满足医院根据自定义的统计时间范围进行病历质控报表数据的统计、查询、与导出的需求。支持进行统计报表的打印。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788"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院前急救知识库</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为了方便院前急救医生进行急救相关知识体系的自我学习。系统内置了急危重症相关知识、诊断、治疗方案知识库以供查阅。</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262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院前急救电子病历管理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统一院前急救的电子病历管理，主要功能包括：标准化数据字典和院前急救基础信息维护；规范化、可扩展的院前急救病历模板维护，病情评分量表管理、语音录入规则管理等,以支撑满足PC端、移动端院前急救病历信息记录，如患者基本信息、生命体征、体格检查、时间轴、急救病史、心电图、实验室辅助检查、初步诊断、急救措施、诊疗总结、照片视频等。支持签署知情同意书、手写签名的院前病历打印，便于院前和院内医护人员规范化交接。</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78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院前急救移动应用</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通过4G/5G移动终端为院前急救人员提供患者身份快速识别、病情快速评估、院前急救病历信息录入、现场照片上传和车辆实时定位。2、与救护车车载设备集成及时准确的获取患者体征数据，实时将患者院前救治信息传输到院内，从而达到院前院内患者信息无缝衔接，医护人员高效协同救治，进一步提高患者救治成功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76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120指挥调度系统任务对接</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支持与120调度系统进行数据对接，直接获取120急救调度任务数据，支持派单到院与派单到车两种模式。</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27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院前院内急诊数据对接</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支持院前院内数据对接，提供院前急救患者信息接口，急诊预检分诊人工确认后直接进入院内信息系统，避免信息重复录入，支撑院前急救（含自有和外院急救车）与院内救治流程准确、快速衔接。</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76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院前建档挂号</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通过5G移动互联网，实现患者在院前救治场景下的提前建档挂号操作，减少二次排队，提高救治效率，达到救治前移的目的。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27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院前医嘱缴费</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实现院前患者在院前救治场景下的医嘱开立，检查检验申请，医疗耗材和收费项目计费操作，可以查询缴费项目的状态，并通过二维码完成患者扫码缴费，真正实现“上车及入院”的院前急救服务新理念。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27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院前院内协作电子屏软件</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供各医院（急诊科）在院内壁挂一体机上安装使用，及时获得正在向该院转运或转诊的急救患者的实时数据，进行院前病情预报和转运过程示踪，便于院内急诊医护人员，提前准备急救物资。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78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多学科急救协作（5G-MDT）</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5G、音视频技术即时获取患者救治信息和救治现场情况，协同院前救治团队、院内急救团队、院内创伤中心急救团队、院内多学科救治团队随时随地的为患者开展急救会诊服务，达到以患者为中心的高效协作救治目的，音视频会诊功能需同步部署并应用在院内急诊临床管理信息系统及创伤中心管理信息系统中。</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多院区转诊协作（5G-MHT）</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面向多院区间的患者转诊，支持患者急救转诊信息填写、历史病历资料上传、申请审核与急救派车，派车任务直接同步院前，真正实现“患者未到、信息先到”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530"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院内急诊临床管理信息系统</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急诊预检分诊工作站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遵循卫健委的《急诊患者病情分级试点指导原则（2011 征求意见稿）》 ，符合《急诊预检分诊专家共识（2018年版）》标准，规范急诊预检分诊流程，在实现分诊数据采集自动化，分诊分级智能化、均质化的基础上，整合急诊重点病种绿色通道的一站式信息化工作平台。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急诊专科排队叫号工作站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规范急诊患者就诊排队叫号流程，优化急诊科医疗资源，按照急诊科标准患者病情级别实现不同病情的患者不同的排队规则，有效利用有限的急诊资源，确保急诊患者生命安全。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27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患者管理工作站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对患者基础信息进行全方位交互式管理，支持针对患者的医疗行为基础操作。以患者为中心，全面记录患者诊疗过程医疗数据，通过患者管理全面搭建院内一站式急救信息管理平台，是急诊急救信息化管理的基础服务模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电子医嘱集成工作站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基于现有医院CPOE模块，进行产品集成，实现急诊科一站式办公，结合我司设计的医护一体化框架，以患者管理为主线，整合CPOE模块，实现，诊断，医嘱，病历，护理，一站式办公。</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27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急诊电子病历工作站[抢救区/留观/诊区]</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采用结构化电子病历，提供个性化的抢救区、留观区、诊区模板定制，满足多病种的病历需求，实现快速高效准确的病历记录。同时支持个人信息维护、生命体征与评分展示、检查化验等医技数据引用、就诊区域流转展示。</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传染病上报</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患者传染病等级上报到院内系统的功能，是临床传染病管理不可或缺的一部分。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急诊会诊工作站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支持急会诊、普通会诊、多学科联合会诊，支持完整会诊流程记录。支持会诊文书引用检查检验结果，支持会诊时间轴展示，支持会诊文书打印，提供会诊评价功能。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27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急诊护理工作站[抢救区/留观区]</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抢救区、留观区护理管理，包括床位管理、患者流转、医嘱核对与执行，医嘱执行分类管理与展示，文书记录，文书打印，观察项记录，出入量管理，导管管理，体温单自动绘制管理，评分管理，特殊护理记录。</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急诊移动护理[抢救区/留观区]</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支持移动终端在抢救区、留观区床旁核对患者信息、执行医嘱，包括用药医嘱，治疗医护等。通过医嘱闭环实现患者安全管理。同时，方便护士移动记录，提高护理效率。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53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急诊交接班工作站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BAR模式交接班，最大程度的详细记录患者病情概要，同时保障医患沟通顺畅，减少医患矛盾。支持一键快速交接班，支持快速提取患者诊断，分诊级别，主诉等信息，支持检查检验报告结果快速引用，支持病情记录，导管记录快速引用，支持交接班记录打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76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急诊质控及统计查询工作站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支持2024版16项急诊质控指标。常规提供：急诊就诊人次，死亡病例数，24小时患者分诊分级比，24小时就诊时间患者流量分布。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急诊智慧看板工作站</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部署于急诊科（分诊台，留观区，抢救区），以大屏幕实时清晰呈现急诊医疗资源占用情况、区域内病人一览信息，值班医护基本信息， 是急诊精细化管理的必要组成部分。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76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突发公共卫生事件管理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专有模块，便于上报医务科/总值班及卫健委。</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胸痛患者管理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急性胸痛患者时间管理录入（具体内容见现用“急性胸痛患者时间管理表”）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特殊患者管理（“三无”、死亡）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专有模块，可以合成到分诊系统进行标记，可以自动汇总到该模块中，便于汇总、统计、缴费追踪。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76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患者入院交接</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与病房、手术室交接患者实现电子化签名（含手术交接核查内容），完善急诊患者闭环管理，并可以导出入院患者信息及交接记录，便于上报</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2805"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创伤中心管理信息系统</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无感绿通患者定位和时间采集系统</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将定位/时间采集节点关联不同的专病救治环节，通过患者室内定位基站及定位标签（腕带手环）实现数据自动采集。支持将室内定位基站安装在院内需要进行时间/定位采集的各个位置,如急诊科抢救室、CT室、导管室等，实现院内急诊、绿道相关区域的定位网络覆盖；患者入科后，分诊/绿道护士为绿道患者分配可重复使用的定位标签（腕带手环），通过与物联网定位基站进行感应，实现专病患者绿道内全流程关键救治时间节点和移动轨迹采集，满足医生护士对绿道患者时间、空间多维度的实时监控。</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204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时钟同步管理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依据国家法律法规和卫生行业质量管理要求，对医院运行过程中的总体质量状况进行全方位的质量监督、检查、分析评价的过程中会涉及到很多的时间节点。在信息化医院里时间节点的记录是由电脑进行记录的，这个条件下就体现出了医院内部内网PC机系统时间同步的重要性和必要性。该系统时间同步方案旨在解决医院内部内网PC机的时间同步问题</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280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创伤患者急救路径管理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针对创伤患者，通过“可编程的”创伤路径配置引擎，将创伤患者诊疗指南转化成标准、规范、可遵循的急救路径规则，在创伤患者入径后，借助多种方式，自动化、智能化、无感化的采集患者救治全流程的关键救治时间节点和院内绿道移动轨迹，满足医生护士对创伤患者救治过程中时间、空间多维度的实时监控。在患者绿色通道救治过程中，将临床质量控制与临床决策支持高度融合，通过可触达的预报提醒、消息通知以及可视化的绿道运行监控与质量分析，实现创伤绿道救治流程的过程质控和持续改进。</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78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创伤患者急救路径移动应用</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急救小组可以在患者急救过程中结合急救路径移动应用，进行绿色通道患者管理、腕带绑定，患者绿道病情评分操作；可以结合人工点击、NFC感应、二维码扫描等方式，在移动端实现绿道关键环节的诊疗动作执行确认。有权限的人员，根据角色权限分配，可以进行移动端的患者病历数据填报。</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3413"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创伤患者治疗AI辅助管理</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在严重创伤患者的救治体系中，构建基于AI 辅助的时间轴管理框架，通过多模态交互系统实现智能化辅助。该系统支持自训练和本地化调试形成急救领域大模型，可整合患者生理数据、创伤类型及救治资源等多维度信息，构建动态决策辅助方案。在救治全流程中，通过 Ai 语音交互实时记录关键诊疗信息，并结合人机协同对话机制，为医护团队提供创伤评分指导、检查优化及多学科协作调度等决策支持。该系统重点应能通过持续学习临床案例与循证医学指南，动态调整救治策略，形成"数据采集→智能分析→决策反馈→执行监控"的闭环式管理，提升团队救治效率与标准化水平。</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创伤专病数据库</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1、为实现创伤救治的PDCA闭环管理，系统具备创伤患者数据管理功能。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2、支持已有创伤患者病案查询、创伤患者信息补录、对接院内系统自动获取患者的创伤救治诊疗数据、创伤专病病历归档等功能，形成以患者为中心的创伤救治全过程的完整档案。</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51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创伤质控统计</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提供创伤急救质控指标统计、图形化展示、数据导出。</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102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创伤中心认证数据采集上报模块</w:t>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按照医院提供的国家创伤联盟的上报数据标准，将院内创伤病历上报至创伤中心数据平台。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kern w:val="0"/>
                <w:sz w:val="20"/>
                <w:szCs w:val="20"/>
                <w:lang w:bidi="ar"/>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等线"/>
                <w:color w:val="000000"/>
                <w:sz w:val="20"/>
                <w:szCs w:val="20"/>
              </w:rPr>
            </w:pPr>
            <w:r>
              <w:rPr>
                <w:rFonts w:hint="eastAsia" w:ascii="宋体" w:hAnsi="宋体" w:eastAsia="宋体" w:cs="等线"/>
                <w:color w:val="000000"/>
                <w:kern w:val="0"/>
                <w:sz w:val="20"/>
                <w:szCs w:val="20"/>
                <w:lang w:bidi="ar"/>
              </w:rPr>
              <w:t>1项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等线"/>
                <w:color w:val="000000"/>
                <w:sz w:val="20"/>
                <w:szCs w:val="20"/>
              </w:rPr>
            </w:pPr>
          </w:p>
        </w:tc>
      </w:tr>
      <w:tr>
        <w:tblPrEx>
          <w:tblLayout w:type="fixed"/>
          <w:tblCellMar>
            <w:top w:w="0" w:type="dxa"/>
            <w:left w:w="108" w:type="dxa"/>
            <w:bottom w:w="0" w:type="dxa"/>
            <w:right w:w="108" w:type="dxa"/>
          </w:tblCellMar>
        </w:tblPrEx>
        <w:trPr>
          <w:trHeight w:val="7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等线"/>
                <w:b/>
                <w:bCs/>
                <w:color w:val="000000"/>
                <w:kern w:val="0"/>
                <w:sz w:val="20"/>
                <w:szCs w:val="20"/>
                <w:lang w:bidi="ar"/>
              </w:rPr>
            </w:pPr>
          </w:p>
        </w:tc>
        <w:tc>
          <w:tcPr>
            <w:tcW w:w="9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等线"/>
                <w:b/>
                <w:bCs/>
                <w:color w:val="000000"/>
                <w:sz w:val="20"/>
                <w:szCs w:val="20"/>
              </w:rPr>
            </w:pPr>
            <w:r>
              <w:rPr>
                <w:rFonts w:hint="eastAsia" w:ascii="宋体" w:hAnsi="宋体" w:eastAsia="宋体" w:cs="等线"/>
                <w:b/>
                <w:bCs/>
                <w:color w:val="000000"/>
                <w:kern w:val="0"/>
                <w:sz w:val="20"/>
                <w:szCs w:val="20"/>
                <w:lang w:bidi="ar"/>
              </w:rPr>
              <w:t>以上报价包含包系统软硬件费用、产品安装、调试实施、培训费用、产品升级费用、接口费（包括第三方厂家的接口费）等费用，整体</w:t>
            </w:r>
            <w:bookmarkStart w:id="1" w:name="_GoBack"/>
            <w:r>
              <w:rPr>
                <w:rFonts w:hint="eastAsia" w:ascii="宋体" w:hAnsi="宋体" w:eastAsia="宋体" w:cs="等线"/>
                <w:b/>
                <w:bCs/>
                <w:color w:val="000000"/>
                <w:kern w:val="0"/>
                <w:sz w:val="20"/>
                <w:szCs w:val="20"/>
                <w:lang w:bidi="ar"/>
              </w:rPr>
              <w:t>质保</w:t>
            </w:r>
            <w:bookmarkEnd w:id="1"/>
            <w:r>
              <w:rPr>
                <w:rFonts w:hint="eastAsia" w:ascii="宋体" w:hAnsi="宋体" w:eastAsia="宋体" w:cs="等线"/>
                <w:b/>
                <w:bCs/>
                <w:color w:val="000000"/>
                <w:kern w:val="0"/>
                <w:sz w:val="20"/>
                <w:szCs w:val="20"/>
                <w:lang w:bidi="ar"/>
              </w:rPr>
              <w:t>期为项目验收后三年。</w:t>
            </w:r>
          </w:p>
        </w:tc>
      </w:tr>
    </w:tbl>
    <w:p>
      <w:pPr>
        <w:rPr>
          <w:rFonts w:ascii="宋体" w:hAnsi="宋体"/>
          <w:b/>
          <w:color w:val="000000"/>
          <w:sz w:val="24"/>
          <w:szCs w:val="24"/>
        </w:rPr>
      </w:pPr>
    </w:p>
    <w:p>
      <w:pPr>
        <w:numPr>
          <w:ilvl w:val="0"/>
          <w:numId w:val="4"/>
        </w:numPr>
        <w:outlineLvl w:val="1"/>
        <w:rPr>
          <w:rFonts w:ascii="宋体" w:hAnsi="宋体"/>
          <w:b/>
          <w:color w:val="000000"/>
          <w:sz w:val="24"/>
          <w:szCs w:val="24"/>
        </w:rPr>
      </w:pPr>
      <w:r>
        <w:rPr>
          <w:rFonts w:hint="eastAsia" w:ascii="宋体" w:hAnsi="宋体"/>
          <w:b/>
          <w:color w:val="000000"/>
          <w:sz w:val="24"/>
          <w:szCs w:val="24"/>
        </w:rPr>
        <w:t>硬件配置要求</w:t>
      </w:r>
    </w:p>
    <w:tbl>
      <w:tblPr>
        <w:tblStyle w:val="7"/>
        <w:tblW w:w="9248" w:type="dxa"/>
        <w:jc w:val="center"/>
        <w:tblInd w:w="0" w:type="dxa"/>
        <w:tblLayout w:type="fixed"/>
        <w:tblCellMar>
          <w:top w:w="0" w:type="dxa"/>
          <w:left w:w="108" w:type="dxa"/>
          <w:bottom w:w="0" w:type="dxa"/>
          <w:right w:w="108" w:type="dxa"/>
        </w:tblCellMar>
      </w:tblPr>
      <w:tblGrid>
        <w:gridCol w:w="608"/>
        <w:gridCol w:w="850"/>
        <w:gridCol w:w="4050"/>
        <w:gridCol w:w="533"/>
        <w:gridCol w:w="467"/>
        <w:gridCol w:w="593"/>
        <w:gridCol w:w="750"/>
        <w:gridCol w:w="712"/>
        <w:gridCol w:w="685"/>
      </w:tblGrid>
      <w:tr>
        <w:tblPrEx>
          <w:tblLayout w:type="fixed"/>
          <w:tblCellMar>
            <w:top w:w="0" w:type="dxa"/>
            <w:left w:w="108" w:type="dxa"/>
            <w:bottom w:w="0" w:type="dxa"/>
            <w:right w:w="108" w:type="dxa"/>
          </w:tblCellMar>
        </w:tblPrEx>
        <w:trPr>
          <w:trHeight w:val="20" w:hRule="atLeast"/>
          <w:tblHeader/>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产品名称</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配置要求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品牌</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w:t>
            </w:r>
          </w:p>
        </w:tc>
      </w:tr>
      <w:tr>
        <w:tblPrEx>
          <w:tblLayout w:type="fixed"/>
          <w:tblCellMar>
            <w:top w:w="0" w:type="dxa"/>
            <w:left w:w="108" w:type="dxa"/>
            <w:bottom w:w="0" w:type="dxa"/>
            <w:right w:w="108" w:type="dxa"/>
          </w:tblCellMar>
        </w:tblPrEx>
        <w:trPr>
          <w:trHeight w:val="2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院前预报屏幕一体机</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CPU:4核8线程 3.0GHz/16GB-DDR4内存 /256GB SSD固态盘 //USB键鼠 /WIFI6+蓝牙/Win11 Home 64bit /三年上门保修/55寸商业无广告屏，带安装与壁挂支架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串口服务器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以太网端口数量：1  串口端口数量：1；串口类型：RS-232</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速率：10/100 Mbps，自适应MDI/MDIX；接头：8针RJ45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电磁隔离保护：内建1.5 KV 接头：DB9针式；支持Windows/Linux COM/TTY串口驱动程序模式，支持有线网络</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NTP网络子钟</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1.NTP网络子钟从母钟上获取时间信息 ，接口方式为RJ45网口</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2.子钟带后备电池，内部时钟可连续运行1年</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3.独立计时精度≤±0.2秒/天，可出具第三方计量单位检测证书</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4.LED显示屏MTBF≥30000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5.子钟的外观结构采用表面喷黑色亚光塑，框内镶嵌浅色有机玻璃，可悬挂可壁挂</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6.2联显示年月日星期和时分秒,单面为尺寸为750*280*55mm</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人员定位系统软件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实时显示人员位置及行动轨迹，点击图标可显示人员信息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定位基站</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1.可多种无线通信技术方式工作，包括不限于蓝牙、RFID、UWB等</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2.覆盖范围：无遮挡下可达30米</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3.定位精度：最高精度可达10cm</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4.EMC认证</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5.RoHS认证</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6.唯一ID标识</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7.可双向通讯</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8.支持无线同步</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9.支持远程升级</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10.面板指示灯：包括电源连接指示灯、网络通信指示灯、定位状态指示灯</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11.360度全内置天线，无需调整天线方向，无需复杂调试</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12.具备复位键，当长按复位键超过预设时间时，设备应能自动复位；同时支持软件复位</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13.支持外部电源供电</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14.支持RJ45和DC 5.5mm等接口</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15.支持吸顶安装，不破坏整体环境；支持支架壁装、吊装</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16.工作温度： -20 ℃ ~ 65 ℃        </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智能腕带/手坏</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1.高精度定位，测距精度可达10cm</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Times New Roman"/>
                <w:color w:val="000000"/>
                <w:sz w:val="20"/>
                <w:szCs w:val="20"/>
              </w:rPr>
            </w:pPr>
            <w:r>
              <w:rPr>
                <w:rFonts w:ascii="宋体" w:hAnsi="宋体" w:eastAsia="宋体" w:cs="Times New Roman"/>
                <w:color w:val="000000"/>
                <w:kern w:val="0"/>
                <w:sz w:val="20"/>
                <w:szCs w:val="20"/>
                <w:lang w:bidi="ar"/>
              </w:rPr>
              <w:t>2.IP67</w:t>
            </w:r>
            <w:r>
              <w:rPr>
                <w:rFonts w:hint="eastAsia" w:ascii="宋体" w:hAnsi="宋体" w:eastAsia="宋体" w:cs="宋体"/>
                <w:color w:val="000000"/>
                <w:kern w:val="0"/>
                <w:sz w:val="20"/>
                <w:szCs w:val="20"/>
                <w:lang w:bidi="ar"/>
              </w:rPr>
              <w:t>防水等级</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Times New Roman"/>
                <w:color w:val="000000"/>
                <w:sz w:val="20"/>
                <w:szCs w:val="20"/>
              </w:rPr>
            </w:pPr>
            <w:r>
              <w:rPr>
                <w:rFonts w:ascii="宋体" w:hAnsi="宋体" w:eastAsia="宋体" w:cs="Times New Roman"/>
                <w:color w:val="000000"/>
                <w:kern w:val="0"/>
                <w:sz w:val="20"/>
                <w:szCs w:val="20"/>
                <w:lang w:bidi="ar"/>
              </w:rPr>
              <w:t>3.</w:t>
            </w:r>
            <w:r>
              <w:rPr>
                <w:rFonts w:hint="eastAsia" w:ascii="宋体" w:hAnsi="宋体" w:eastAsia="宋体" w:cs="宋体"/>
                <w:color w:val="000000"/>
                <w:kern w:val="0"/>
                <w:sz w:val="20"/>
                <w:szCs w:val="20"/>
                <w:lang w:bidi="ar"/>
              </w:rPr>
              <w:t>标签具有全球唯一</w:t>
            </w:r>
            <w:r>
              <w:rPr>
                <w:rFonts w:ascii="宋体" w:hAnsi="宋体" w:eastAsia="宋体" w:cs="Times New Roman"/>
                <w:color w:val="000000"/>
                <w:kern w:val="0"/>
                <w:sz w:val="20"/>
                <w:szCs w:val="20"/>
                <w:lang w:bidi="ar"/>
              </w:rPr>
              <w:t>ID</w:t>
            </w:r>
            <w:r>
              <w:rPr>
                <w:rFonts w:hint="eastAsia" w:ascii="宋体" w:hAnsi="宋体" w:eastAsia="宋体" w:cs="宋体"/>
                <w:color w:val="000000"/>
                <w:kern w:val="0"/>
                <w:sz w:val="20"/>
                <w:szCs w:val="20"/>
                <w:lang w:bidi="ar"/>
              </w:rPr>
              <w:t>号</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Times New Roman"/>
                <w:color w:val="000000"/>
                <w:sz w:val="20"/>
                <w:szCs w:val="20"/>
              </w:rPr>
            </w:pPr>
            <w:r>
              <w:rPr>
                <w:rFonts w:ascii="宋体" w:hAnsi="宋体" w:eastAsia="宋体" w:cs="Times New Roman"/>
                <w:color w:val="000000"/>
                <w:kern w:val="0"/>
                <w:sz w:val="20"/>
                <w:szCs w:val="20"/>
                <w:lang w:bidi="ar"/>
              </w:rPr>
              <w:t>4.</w:t>
            </w:r>
            <w:r>
              <w:rPr>
                <w:rFonts w:hint="eastAsia" w:ascii="宋体" w:hAnsi="宋体" w:eastAsia="宋体" w:cs="宋体"/>
                <w:color w:val="000000"/>
                <w:kern w:val="0"/>
                <w:sz w:val="20"/>
                <w:szCs w:val="20"/>
                <w:lang w:bidi="ar"/>
              </w:rPr>
              <w:t>工作温湿度范围宽：工作温度：</w:t>
            </w:r>
            <w:r>
              <w:rPr>
                <w:rFonts w:ascii="宋体" w:hAnsi="宋体" w:eastAsia="宋体" w:cs="Times New Roman"/>
                <w:color w:val="000000"/>
                <w:kern w:val="0"/>
                <w:sz w:val="20"/>
                <w:szCs w:val="20"/>
                <w:lang w:bidi="ar"/>
              </w:rPr>
              <w:t>-10 ~ 60</w:t>
            </w:r>
            <w:r>
              <w:rPr>
                <w:rFonts w:hint="eastAsia" w:ascii="宋体" w:hAnsi="宋体" w:eastAsia="宋体" w:cs="宋体"/>
                <w:color w:val="000000"/>
                <w:kern w:val="0"/>
                <w:sz w:val="20"/>
                <w:szCs w:val="20"/>
                <w:lang w:bidi="ar"/>
              </w:rPr>
              <w:t>℃、储存温度：</w:t>
            </w:r>
            <w:r>
              <w:rPr>
                <w:rFonts w:ascii="宋体" w:hAnsi="宋体" w:eastAsia="宋体" w:cs="Times New Roman"/>
                <w:color w:val="000000"/>
                <w:kern w:val="0"/>
                <w:sz w:val="20"/>
                <w:szCs w:val="20"/>
                <w:lang w:bidi="ar"/>
              </w:rPr>
              <w:t>-20 ~ 70</w:t>
            </w:r>
            <w:r>
              <w:rPr>
                <w:rFonts w:hint="eastAsia" w:ascii="宋体" w:hAnsi="宋体" w:eastAsia="宋体" w:cs="宋体"/>
                <w:color w:val="000000"/>
                <w:kern w:val="0"/>
                <w:sz w:val="20"/>
                <w:szCs w:val="20"/>
                <w:lang w:bidi="ar"/>
              </w:rPr>
              <w:t>℃、工作湿度：</w:t>
            </w:r>
            <w:r>
              <w:rPr>
                <w:rFonts w:ascii="宋体" w:hAnsi="宋体" w:eastAsia="宋体" w:cs="Times New Roman"/>
                <w:color w:val="000000"/>
                <w:kern w:val="0"/>
                <w:sz w:val="20"/>
                <w:szCs w:val="20"/>
                <w:lang w:bidi="ar"/>
              </w:rPr>
              <w:t>10% ~ 90%</w:t>
            </w:r>
            <w:r>
              <w:rPr>
                <w:rFonts w:hint="eastAsia" w:ascii="宋体" w:hAnsi="宋体" w:eastAsia="宋体" w:cs="宋体"/>
                <w:color w:val="000000"/>
                <w:kern w:val="0"/>
                <w:sz w:val="20"/>
                <w:szCs w:val="20"/>
                <w:lang w:bidi="ar"/>
              </w:rPr>
              <w:t>无凝结、储存湿度：</w:t>
            </w:r>
            <w:r>
              <w:rPr>
                <w:rFonts w:ascii="宋体" w:hAnsi="宋体" w:eastAsia="宋体" w:cs="Times New Roman"/>
                <w:color w:val="000000"/>
                <w:kern w:val="0"/>
                <w:sz w:val="20"/>
                <w:szCs w:val="20"/>
                <w:lang w:bidi="ar"/>
              </w:rPr>
              <w:t>5% ~ 95%</w:t>
            </w:r>
            <w:r>
              <w:rPr>
                <w:rFonts w:hint="eastAsia" w:ascii="宋体" w:hAnsi="宋体" w:eastAsia="宋体" w:cs="宋体"/>
                <w:color w:val="000000"/>
                <w:kern w:val="0"/>
                <w:sz w:val="20"/>
                <w:szCs w:val="20"/>
                <w:lang w:bidi="ar"/>
              </w:rPr>
              <w:t>无凝结</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Times New Roman"/>
                <w:color w:val="000000"/>
                <w:sz w:val="20"/>
                <w:szCs w:val="20"/>
              </w:rPr>
            </w:pPr>
            <w:r>
              <w:rPr>
                <w:rFonts w:ascii="宋体" w:hAnsi="宋体" w:eastAsia="宋体" w:cs="Times New Roman"/>
                <w:color w:val="000000"/>
                <w:kern w:val="0"/>
                <w:sz w:val="20"/>
                <w:szCs w:val="20"/>
                <w:lang w:bidi="ar"/>
              </w:rPr>
              <w:t>5.</w:t>
            </w:r>
            <w:r>
              <w:rPr>
                <w:rFonts w:hint="eastAsia" w:ascii="宋体" w:hAnsi="宋体" w:eastAsia="宋体" w:cs="宋体"/>
                <w:color w:val="000000"/>
                <w:kern w:val="0"/>
                <w:sz w:val="20"/>
                <w:szCs w:val="20"/>
                <w:lang w:bidi="ar"/>
              </w:rPr>
              <w:t>功耗低，使用寿命长</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Times New Roman"/>
                <w:color w:val="000000"/>
                <w:sz w:val="20"/>
                <w:szCs w:val="20"/>
              </w:rPr>
            </w:pPr>
            <w:r>
              <w:rPr>
                <w:rFonts w:ascii="宋体" w:hAnsi="宋体" w:eastAsia="宋体" w:cs="Times New Roman"/>
                <w:color w:val="000000"/>
                <w:kern w:val="0"/>
                <w:sz w:val="20"/>
                <w:szCs w:val="20"/>
                <w:lang w:bidi="ar"/>
              </w:rPr>
              <w:t>6.</w:t>
            </w:r>
            <w:r>
              <w:rPr>
                <w:rFonts w:hint="eastAsia" w:ascii="宋体" w:hAnsi="宋体" w:eastAsia="宋体" w:cs="宋体"/>
                <w:color w:val="000000"/>
                <w:kern w:val="0"/>
                <w:sz w:val="20"/>
                <w:szCs w:val="20"/>
                <w:lang w:bidi="ar"/>
              </w:rPr>
              <w:t>通信范围：</w:t>
            </w:r>
            <w:r>
              <w:rPr>
                <w:rFonts w:ascii="宋体" w:hAnsi="宋体" w:eastAsia="宋体" w:cs="Times New Roman"/>
                <w:color w:val="000000"/>
                <w:kern w:val="0"/>
                <w:sz w:val="20"/>
                <w:szCs w:val="20"/>
                <w:lang w:bidi="ar"/>
              </w:rPr>
              <w:t>&gt;50m</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服务器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eastAsia="宋体" w:cs="Times New Roman"/>
                <w:color w:val="000000"/>
                <w:kern w:val="0"/>
                <w:sz w:val="20"/>
                <w:szCs w:val="20"/>
                <w:lang w:bidi="ar"/>
              </w:rPr>
            </w:pPr>
            <w:r>
              <w:rPr>
                <w:rFonts w:hint="eastAsia" w:ascii="宋体" w:hAnsi="宋体" w:eastAsia="宋体" w:cs="宋体"/>
                <w:color w:val="000000"/>
                <w:kern w:val="0"/>
                <w:sz w:val="20"/>
                <w:szCs w:val="20"/>
                <w:lang w:bidi="ar"/>
              </w:rPr>
              <w:t>1、≥2路服务器，≥2U高度机架式，非OEM产品，与虚拟化软件同一品牌；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2、处理器：≥2个C86架构国产信创处理器，单颗主频≥2.2GHz，核心数≥32，线程数≥64，L3 cache≥40MB，TDP≤220W；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3、内存：≥2048GB 3200MHz DDR4 支持ECC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4、硬盘：≥2*480GB SSD；支持≥20个LFF硬盘槽位，支持SAS/SATA/NVMe接口，支持≥2个后置基于SATA总线的M.2 SSD硬盘，支持≥2个内置SD存储器；配置≥4G缓存raid卡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5、网口：≥2个千兆电口，≥4个万兆光口(满配多模光模块)，≥1个专用管理接口；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6、配置≥2块双端口≥32G FC HBA卡（满配光模块）；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7、配件：冗余电源、冗余风扇，默认带导轨；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提供与服务器同一品牌的操作系统，供货时提供操作系统软件著作权登记证书复印件，具备同品牌的服务器操作系统性能调优软件、服务器操作系统分析软件和服务器操作系统迁移软件等配套产品，提供服务器批量配置管理功能，包括固件管理、硬件配置、操作系统部署和克隆、压力测试、带内管理等服务器批量管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9、五年原厂维保；</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20" w:hRule="atLeast"/>
          <w:jc w:val="center"/>
        </w:trPr>
        <w:tc>
          <w:tcPr>
            <w:tcW w:w="92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ascii="宋体" w:hAnsi="宋体" w:eastAsia="宋体" w:cs="等线"/>
                <w:color w:val="000000"/>
                <w:kern w:val="0"/>
                <w:sz w:val="20"/>
                <w:szCs w:val="20"/>
                <w:lang w:bidi="ar"/>
              </w:rPr>
              <w:t>以上报价包含包系统软硬件费用、产品安装、调试实施、培训费用、产品升级费用、接口费（包括第三方厂家的接口费）等费用，整体质保期为项目验收后五年</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outlineLvl w:val="0"/>
        <w:rPr>
          <w:rFonts w:ascii="宋体" w:hAnsi="宋体" w:eastAsia="宋体" w:cs="宋体"/>
          <w:b/>
          <w:bCs/>
          <w:sz w:val="28"/>
          <w:lang w:val="en-US"/>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outlineLvl w:val="0"/>
        <w:rPr>
          <w:rFonts w:ascii="宋体" w:hAnsi="宋体" w:eastAsia="宋体" w:cs="宋体"/>
          <w:b/>
          <w:bCs/>
          <w:sz w:val="28"/>
          <w:lang w:val="en-US"/>
        </w:rPr>
      </w:pPr>
      <w:r>
        <w:rPr>
          <w:rFonts w:hint="eastAsia" w:ascii="宋体" w:hAnsi="宋体" w:eastAsia="宋体" w:cs="宋体"/>
          <w:b/>
          <w:bCs/>
          <w:sz w:val="28"/>
          <w:lang w:val="en-US"/>
        </w:rPr>
        <w:t>商务要求</w:t>
      </w:r>
    </w:p>
    <w:tbl>
      <w:tblPr>
        <w:tblStyle w:val="7"/>
        <w:tblpPr w:leftFromText="180" w:rightFromText="180" w:vertAnchor="text" w:horzAnchor="page" w:tblpXSpec="center" w:tblpY="615"/>
        <w:tblOverlap w:val="never"/>
        <w:tblW w:w="913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8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blHeade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sz w:val="20"/>
                <w:szCs w:val="20"/>
              </w:rPr>
            </w:pPr>
            <w:r>
              <w:rPr>
                <w:rFonts w:hint="eastAsia" w:ascii="宋体" w:hAnsi="宋体" w:eastAsia="宋体"/>
                <w:b/>
                <w:bCs/>
                <w:sz w:val="20"/>
                <w:szCs w:val="20"/>
              </w:rPr>
              <w:t>需求项</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sz w:val="20"/>
                <w:szCs w:val="20"/>
              </w:rPr>
            </w:pPr>
            <w:r>
              <w:rPr>
                <w:rFonts w:hint="eastAsia" w:ascii="宋体" w:hAnsi="宋体" w:eastAsia="宋体"/>
                <w:b/>
                <w:bCs/>
                <w:sz w:val="20"/>
                <w:szCs w:val="20"/>
              </w:rPr>
              <w:t>具体要求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0"/>
                <w:szCs w:val="20"/>
              </w:rPr>
            </w:pPr>
            <w:r>
              <w:rPr>
                <w:rFonts w:hint="eastAsia" w:ascii="宋体" w:hAnsi="宋体" w:eastAsia="宋体"/>
                <w:sz w:val="20"/>
                <w:szCs w:val="20"/>
              </w:rPr>
              <w:t>报价人资格要求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宋体" w:hAnsi="宋体" w:eastAsia="宋体"/>
                <w:sz w:val="20"/>
                <w:szCs w:val="20"/>
              </w:rPr>
            </w:pPr>
            <w:r>
              <w:rPr>
                <w:rFonts w:hint="eastAsia" w:ascii="宋体" w:hAnsi="宋体" w:eastAsia="宋体"/>
                <w:sz w:val="20"/>
                <w:szCs w:val="20"/>
              </w:rPr>
              <w:t>1.具有独立法人资格或是具有独立承担民事责任能力的其他组织（提供营业执照或事业单位法人证书等证明资料扫描件；如果参与报价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报价，也不接受集团（或总公司）与分公司同时参与本项目报价，如出现上述情形，该两家或以上供应商的投标文件均按报价无效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0"/>
                <w:szCs w:val="20"/>
              </w:rPr>
            </w:pPr>
            <w:r>
              <w:rPr>
                <w:rFonts w:hint="eastAsia" w:ascii="宋体" w:hAnsi="宋体" w:eastAsia="宋体"/>
                <w:sz w:val="20"/>
                <w:szCs w:val="20"/>
              </w:rPr>
              <w:t>2.满足《中华人民共和国政府采购法》第二十二条规定；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0"/>
                <w:szCs w:val="20"/>
              </w:rPr>
            </w:pPr>
            <w:r>
              <w:rPr>
                <w:rFonts w:hint="eastAsia" w:ascii="宋体" w:hAnsi="宋体" w:eastAsia="宋体"/>
                <w:sz w:val="20"/>
                <w:szCs w:val="20"/>
                <w:lang w:val="en-US" w:eastAsia="zh-CN"/>
              </w:rPr>
              <w:t>3</w:t>
            </w:r>
            <w:r>
              <w:rPr>
                <w:rFonts w:hint="eastAsia" w:ascii="宋体" w:hAnsi="宋体" w:eastAsia="宋体"/>
                <w:sz w:val="20"/>
                <w:szCs w:val="20"/>
              </w:rPr>
              <w:t>、报价公司具有院前急救信息系统管理软件著作权；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 w:val="20"/>
                <w:szCs w:val="20"/>
              </w:rPr>
            </w:pPr>
            <w:r>
              <w:rPr>
                <w:rFonts w:hint="eastAsia" w:ascii="宋体" w:hAnsi="宋体" w:eastAsia="宋体"/>
                <w:sz w:val="20"/>
                <w:szCs w:val="20"/>
                <w:lang w:val="en-US" w:eastAsia="zh-CN"/>
              </w:rPr>
              <w:t>4</w:t>
            </w:r>
            <w:r>
              <w:rPr>
                <w:rFonts w:hint="eastAsia" w:ascii="宋体" w:hAnsi="宋体" w:eastAsia="宋体"/>
                <w:sz w:val="20"/>
                <w:szCs w:val="20"/>
              </w:rPr>
              <w:t>、报价公司近三年以来具有院前急救信息系统成功案例。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交付使用时间及地点</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1.交付使用：签订合同生效后7个工作日内</w:t>
            </w:r>
            <w:r>
              <w:rPr>
                <w:rFonts w:hint="eastAsia" w:ascii="宋体" w:hAnsi="宋体"/>
                <w:color w:val="000000" w:themeColor="text1"/>
                <w:szCs w:val="21"/>
                <w14:textFill>
                  <w14:solidFill>
                    <w14:schemeClr w14:val="tx1"/>
                  </w14:solidFill>
                </w14:textFill>
              </w:rPr>
              <w:t>入</w:t>
            </w:r>
            <w:r>
              <w:rPr>
                <w:rFonts w:hint="eastAsia" w:ascii="宋体" w:hAnsi="宋体"/>
                <w:szCs w:val="21"/>
              </w:rPr>
              <w:t>场，</w:t>
            </w:r>
            <w:r>
              <w:rPr>
                <w:rFonts w:hint="eastAsia" w:ascii="宋体" w:hAnsi="宋体"/>
                <w:color w:val="000000" w:themeColor="text1"/>
                <w:szCs w:val="21"/>
                <w14:textFill>
                  <w14:solidFill>
                    <w14:schemeClr w14:val="tx1"/>
                  </w14:solidFill>
                </w14:textFill>
              </w:rPr>
              <w:t>合同签订30天内完成硬件到货安装调试，90天内完成软件交付。</w:t>
            </w:r>
          </w:p>
          <w:p>
            <w:pPr>
              <w:spacing w:line="360" w:lineRule="exact"/>
              <w:ind w:firstLine="420" w:firstLineChars="200"/>
              <w:rPr>
                <w:rFonts w:ascii="宋体" w:hAnsi="宋体"/>
                <w:szCs w:val="21"/>
              </w:rPr>
            </w:pPr>
            <w:r>
              <w:rPr>
                <w:rFonts w:hint="eastAsia" w:ascii="宋体" w:hAnsi="宋体"/>
                <w:szCs w:val="21"/>
              </w:rPr>
              <w:t>2.交货地点：采购人指定地点。</w:t>
            </w:r>
          </w:p>
          <w:p>
            <w:pPr>
              <w:spacing w:line="360" w:lineRule="exact"/>
              <w:ind w:firstLine="420" w:firstLineChars="200"/>
              <w:rPr>
                <w:rFonts w:ascii="宋体" w:hAnsi="宋体"/>
                <w:szCs w:val="21"/>
              </w:rPr>
            </w:pPr>
            <w:r>
              <w:rPr>
                <w:rFonts w:hint="eastAsia" w:ascii="宋体" w:hAnsi="宋体"/>
                <w:szCs w:val="21"/>
              </w:rPr>
              <w:t>3.交货方式：现场交货。</w:t>
            </w:r>
          </w:p>
          <w:p>
            <w:pPr>
              <w:spacing w:line="360" w:lineRule="exact"/>
              <w:rPr>
                <w:rFonts w:ascii="宋体" w:hAnsi="宋体" w:eastAsia="宋体"/>
                <w:sz w:val="20"/>
                <w:szCs w:val="20"/>
              </w:rPr>
            </w:pPr>
            <w:r>
              <w:rPr>
                <w:rFonts w:hint="eastAsia" w:ascii="宋体" w:hAnsi="宋体"/>
                <w:szCs w:val="21"/>
              </w:rPr>
              <w:t>4.安装调试要求：免费送货上门、安装调试、提供完善的设备及软件系统使用中文操作手册、图纸、网络详细拓扑图、系统配置、功能配置、设备配置及互联记录。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cs="Times New Roman"/>
                <w:sz w:val="20"/>
                <w:szCs w:val="20"/>
              </w:rPr>
            </w:pPr>
            <w:r>
              <w:rPr>
                <w:rFonts w:hint="eastAsia" w:ascii="宋体" w:hAnsi="宋体" w:eastAsia="宋体"/>
                <w:sz w:val="20"/>
                <w:szCs w:val="20"/>
              </w:rPr>
              <w:t>技术人员投入要求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00" w:firstLineChars="200"/>
              <w:rPr>
                <w:rFonts w:ascii="宋体" w:hAnsi="宋体" w:eastAsia="宋体"/>
                <w:sz w:val="20"/>
                <w:szCs w:val="20"/>
              </w:rPr>
            </w:pPr>
            <w:r>
              <w:rPr>
                <w:rFonts w:hint="eastAsia" w:ascii="宋体" w:hAnsi="宋体" w:eastAsia="宋体"/>
                <w:sz w:val="20"/>
                <w:szCs w:val="20"/>
              </w:rPr>
              <w:t>（一）项目实施期间，供应商应成立针对本项目工作组，成员至少包括：</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1.项目经理：全权代表供应商执行各项技术及管理工作，报采购人认可。全权代表供应商执行各项技术及管理工作；</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2.后备项目经理：在项目经理无法按合同要求胜任工作或离职等情况下负责项目管理；</w:t>
            </w:r>
          </w:p>
          <w:p>
            <w:pPr>
              <w:pStyle w:val="2"/>
              <w:spacing w:after="0" w:line="312" w:lineRule="auto"/>
              <w:ind w:firstLine="420"/>
              <w:rPr>
                <w:rFonts w:ascii="宋体" w:hAnsi="宋体" w:eastAsia="宋体" w:cs="宋体"/>
                <w:szCs w:val="20"/>
                <w:lang w:val="en-US"/>
              </w:rPr>
            </w:pPr>
            <w:r>
              <w:rPr>
                <w:rFonts w:hint="eastAsia" w:ascii="宋体" w:hAnsi="宋体" w:eastAsia="宋体"/>
                <w:szCs w:val="20"/>
              </w:rPr>
              <w:t>3.项目实施人员</w:t>
            </w:r>
            <w:r>
              <w:rPr>
                <w:rFonts w:hint="eastAsia" w:ascii="宋体" w:hAnsi="宋体" w:eastAsia="宋体" w:cs="Times New Roman"/>
                <w:kern w:val="2"/>
                <w:szCs w:val="20"/>
                <w:lang w:val="en-US"/>
              </w:rPr>
              <w:t>：项目驻场实施工程师需有2年以上本厂商同等项目实施经验。项目实施阶段，驻场实施工程师不得少于1名。</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4.项目管理与上线支持人员：系统上线期间，供应商须提供项目管理与上线支持人员；人员须为供应商正式员工，且任职一年以上。</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5.维护人员：项目验收后，项目原厂技术人员负责售后服务。</w:t>
            </w:r>
          </w:p>
          <w:p>
            <w:pPr>
              <w:spacing w:line="360" w:lineRule="exact"/>
              <w:ind w:firstLine="400" w:firstLineChars="200"/>
              <w:rPr>
                <w:rFonts w:ascii="宋体" w:hAnsi="宋体" w:eastAsia="宋体" w:cs="Times New Roman"/>
                <w:sz w:val="20"/>
                <w:szCs w:val="20"/>
              </w:rPr>
            </w:pPr>
            <w:r>
              <w:rPr>
                <w:rFonts w:hint="eastAsia" w:ascii="宋体" w:hAnsi="宋体" w:eastAsia="宋体"/>
                <w:sz w:val="20"/>
                <w:szCs w:val="20"/>
              </w:rPr>
              <w:t>（二）项目实施期间，项目经理与常驻团队成员严格按投标文件并在合同中予以明确。项目实施过程中，供应商如果需要临时调动外部实施人员，则必须由采购人和供应商双方共同确认，但不得在此期间抽调本项目常驻团队成员。如果团队成员（含项目经理）不能有效履行本项目实施工作，采购人有权要求供应商予以更换并由采购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系统试运行要求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1.系统试运行前进行必要的功能和性能测试。</w:t>
            </w:r>
          </w:p>
          <w:p>
            <w:pPr>
              <w:spacing w:line="360" w:lineRule="exact"/>
              <w:rPr>
                <w:rFonts w:ascii="宋体" w:hAnsi="宋体" w:eastAsia="宋体"/>
                <w:sz w:val="20"/>
                <w:szCs w:val="20"/>
              </w:rPr>
            </w:pPr>
            <w:r>
              <w:rPr>
                <w:rFonts w:hint="eastAsia" w:ascii="宋体" w:hAnsi="宋体" w:eastAsia="宋体"/>
                <w:sz w:val="20"/>
                <w:szCs w:val="20"/>
              </w:rPr>
              <w:t>2.系统上线之前，对系统管理员进行技术培训，保证管理人员掌握必要的管理工具和规范；提供详细的数据集定义文档及项目相关文档资料。</w:t>
            </w:r>
          </w:p>
          <w:p>
            <w:pPr>
              <w:spacing w:line="360" w:lineRule="exact"/>
              <w:rPr>
                <w:rFonts w:ascii="宋体" w:hAnsi="宋体" w:eastAsia="宋体"/>
                <w:sz w:val="20"/>
                <w:szCs w:val="20"/>
              </w:rPr>
            </w:pPr>
            <w:r>
              <w:rPr>
                <w:rFonts w:hint="eastAsia" w:ascii="宋体" w:hAnsi="宋体" w:eastAsia="宋体"/>
                <w:sz w:val="20"/>
                <w:szCs w:val="20"/>
              </w:rPr>
              <w:t>3.系统上线运行和维护阶段，持续系统调优工作，保障系统稳定高效。</w:t>
            </w:r>
          </w:p>
          <w:p>
            <w:pPr>
              <w:spacing w:line="360" w:lineRule="exact"/>
              <w:rPr>
                <w:rFonts w:ascii="宋体" w:hAnsi="宋体" w:eastAsia="宋体"/>
                <w:sz w:val="20"/>
                <w:szCs w:val="20"/>
              </w:rPr>
            </w:pPr>
            <w:r>
              <w:rPr>
                <w:rFonts w:hint="eastAsia" w:ascii="宋体" w:hAnsi="宋体" w:eastAsia="宋体"/>
                <w:sz w:val="20"/>
                <w:szCs w:val="20"/>
              </w:rPr>
              <w:t>4.在试运行期间，项目原厂技术人员在现场负责系统的运行和维护，若系统出现问题或故障，应及时进行故障处理和软件更新。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培训要求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00" w:firstLineChars="200"/>
              <w:rPr>
                <w:rFonts w:ascii="宋体" w:hAnsi="宋体" w:eastAsia="宋体"/>
                <w:sz w:val="20"/>
                <w:szCs w:val="20"/>
              </w:rPr>
            </w:pPr>
            <w:r>
              <w:rPr>
                <w:rFonts w:hint="eastAsia" w:ascii="宋体" w:hAnsi="宋体" w:eastAsia="宋体"/>
                <w:sz w:val="20"/>
                <w:szCs w:val="20"/>
              </w:rPr>
              <w:t>1.供应商必须根据产品的功能和特点，充分考虑到系统使用人员的实际水平，提出详细的系统培训方案。通过系统培训以达到系统管理人员能够具备独立管理系统软件的日常维护处理能力，各级业务人员能够熟练使用产品和系统软件。</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2.供应商应制定详细的系统应用培训计划，免费为所有被培训人员提供培训用文字资料和讲义等相关用品。所有的资料必须是中文书写。按计划对人员进行培训，确保系统能够尽快应用。</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3.供应商应保证提供有经验的教员，使采购人相关人员在培训后能够独立地对系统进行管理、维护，而不需供应商的人员在场指导。</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4.供应商必须为所有被培训人员进行现场培训。</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5.业务系统操作培训工作应在系统安装之前结束。</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6.采购人仅负责提供培训场地、培训电脑和培训人员的召集。</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7.供应商负责培训环境的搭建、培训文档的准备、培训的实施、培训人员的考核等。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cs="Times New Roman"/>
                <w:sz w:val="20"/>
                <w:szCs w:val="20"/>
              </w:rPr>
            </w:pPr>
            <w:r>
              <w:rPr>
                <w:rFonts w:hint="eastAsia" w:ascii="宋体" w:hAnsi="宋体" w:eastAsia="宋体"/>
                <w:sz w:val="20"/>
                <w:szCs w:val="20"/>
              </w:rPr>
              <w:t>验收要求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1.本项目有独立第三方监理公司进行全过程项目管理，严格按监理程序执行。</w:t>
            </w:r>
          </w:p>
          <w:p>
            <w:pPr>
              <w:spacing w:line="360" w:lineRule="exact"/>
              <w:ind w:right="-57" w:rightChars="-27" w:firstLine="400" w:firstLineChars="200"/>
              <w:jc w:val="left"/>
              <w:rPr>
                <w:rFonts w:hint="eastAsia" w:ascii="宋体" w:hAnsi="宋体" w:eastAsia="宋体"/>
                <w:sz w:val="20"/>
                <w:szCs w:val="20"/>
                <w:lang w:eastAsia="zh-CN"/>
              </w:rPr>
            </w:pPr>
            <w:r>
              <w:rPr>
                <w:rFonts w:hint="eastAsia" w:ascii="宋体" w:hAnsi="宋体" w:eastAsia="宋体"/>
                <w:sz w:val="20"/>
                <w:szCs w:val="20"/>
              </w:rPr>
              <w:t>2.采购人和供应商在签订合同前需共同制定实施方案和验收标准，并作为合同附件。</w:t>
            </w:r>
          </w:p>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3.供应商应按实施方案中相关计划进行部署调试，合同约定功能基本实现后，供应商才可提出上线申请，项目系统上线试运行。</w:t>
            </w:r>
          </w:p>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4.当满足以下条件时，供应商才可提出项目验收申请：</w:t>
            </w:r>
          </w:p>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w:t>
            </w:r>
            <w:r>
              <w:rPr>
                <w:rFonts w:hint="eastAsia" w:ascii="宋体" w:hAnsi="宋体" w:eastAsia="宋体"/>
                <w:sz w:val="20"/>
                <w:szCs w:val="20"/>
                <w:lang w:val="en-US" w:eastAsia="zh-CN"/>
              </w:rPr>
              <w:t>1</w:t>
            </w:r>
            <w:r>
              <w:rPr>
                <w:rFonts w:hint="eastAsia" w:ascii="宋体" w:hAnsi="宋体" w:eastAsia="宋体"/>
                <w:sz w:val="20"/>
                <w:szCs w:val="20"/>
              </w:rPr>
              <w:t>）项目系统软件及配套硬件上线定试运行满3个月；</w:t>
            </w:r>
          </w:p>
          <w:p>
            <w:pPr>
              <w:spacing w:line="360" w:lineRule="exact"/>
              <w:ind w:right="-57" w:rightChars="-27" w:firstLine="400" w:firstLineChars="200"/>
              <w:jc w:val="left"/>
              <w:rPr>
                <w:rFonts w:hint="eastAsia" w:ascii="宋体" w:hAnsi="宋体" w:eastAsia="宋体"/>
                <w:sz w:val="20"/>
                <w:szCs w:val="20"/>
                <w:lang w:eastAsia="zh-CN"/>
              </w:rPr>
            </w:pPr>
            <w:r>
              <w:rPr>
                <w:rFonts w:hint="eastAsia" w:ascii="宋体" w:hAnsi="宋体" w:eastAsia="宋体"/>
                <w:sz w:val="20"/>
                <w:szCs w:val="20"/>
              </w:rPr>
              <w:t>（</w:t>
            </w:r>
            <w:r>
              <w:rPr>
                <w:rFonts w:hint="eastAsia" w:ascii="宋体" w:hAnsi="宋体" w:eastAsia="宋体"/>
                <w:sz w:val="20"/>
                <w:szCs w:val="20"/>
                <w:lang w:val="en-US" w:eastAsia="zh-CN"/>
              </w:rPr>
              <w:t>2</w:t>
            </w:r>
            <w:r>
              <w:rPr>
                <w:rFonts w:hint="eastAsia" w:ascii="宋体" w:hAnsi="宋体" w:eastAsia="宋体"/>
                <w:sz w:val="20"/>
                <w:szCs w:val="20"/>
              </w:rPr>
              <w:t>）项目已按合同约定完成所有工作内容，项目系统功能达标</w:t>
            </w:r>
            <w:r>
              <w:rPr>
                <w:rFonts w:hint="eastAsia" w:ascii="宋体" w:hAnsi="宋体" w:eastAsia="宋体"/>
                <w:sz w:val="20"/>
                <w:szCs w:val="20"/>
                <w:lang w:eastAsia="zh-CN"/>
              </w:rPr>
              <w:t>。</w:t>
            </w:r>
          </w:p>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5.采购人自行组织验收或委托专家（或第三方机构）并依据验收标准进行验收，涉及的验收费用由供应商承担。验收合格后签署验收报告。</w:t>
            </w:r>
          </w:p>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6.当满足以下条件时，采购人才向供应商签发项目验收报告：</w:t>
            </w:r>
          </w:p>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（1）供应商已按照合同规定提供了全部产品及完整的技术资料；</w:t>
            </w:r>
          </w:p>
          <w:p>
            <w:pPr>
              <w:spacing w:line="360" w:lineRule="exact"/>
              <w:ind w:right="-57" w:rightChars="-27" w:firstLine="400" w:firstLineChars="200"/>
              <w:jc w:val="left"/>
              <w:rPr>
                <w:rFonts w:hint="eastAsia" w:ascii="宋体" w:hAnsi="宋体" w:eastAsia="宋体"/>
                <w:sz w:val="20"/>
                <w:szCs w:val="20"/>
              </w:rPr>
            </w:pPr>
            <w:r>
              <w:rPr>
                <w:rFonts w:hint="eastAsia" w:ascii="宋体" w:hAnsi="宋体" w:eastAsia="宋体"/>
                <w:sz w:val="20"/>
                <w:szCs w:val="20"/>
              </w:rPr>
              <w:t>（2）项目符合验收标准的要求，性能满足要求。</w:t>
            </w:r>
          </w:p>
          <w:p>
            <w:pPr>
              <w:spacing w:line="360" w:lineRule="exact"/>
              <w:ind w:right="-57" w:rightChars="-27" w:firstLine="400" w:firstLineChars="200"/>
              <w:jc w:val="left"/>
              <w:rPr>
                <w:rFonts w:ascii="宋体" w:hAnsi="宋体" w:eastAsia="宋体" w:cs="Times New Roman"/>
                <w:sz w:val="20"/>
                <w:szCs w:val="20"/>
              </w:rPr>
            </w:pPr>
            <w:r>
              <w:rPr>
                <w:rFonts w:hint="eastAsia" w:ascii="宋体" w:hAnsi="宋体" w:eastAsia="宋体"/>
                <w:sz w:val="20"/>
                <w:szCs w:val="20"/>
              </w:rPr>
              <w:t>7.项目质保期自验收合格之日起算，由供应商提供产品说明书。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bCs/>
                <w:sz w:val="20"/>
                <w:szCs w:val="20"/>
              </w:rPr>
            </w:pPr>
            <w:r>
              <w:rPr>
                <w:rFonts w:hint="eastAsia" w:ascii="宋体" w:hAnsi="宋体" w:eastAsia="宋体"/>
                <w:sz w:val="20"/>
                <w:szCs w:val="20"/>
                <w:lang w:bidi="ar"/>
              </w:rPr>
              <w:t>统一接口的维护与管理、信创要求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lang w:eastAsia="zh-CN"/>
              </w:rPr>
              <w:t>质保期内</w:t>
            </w:r>
            <w:r>
              <w:rPr>
                <w:rFonts w:hint="eastAsia" w:ascii="宋体" w:hAnsi="宋体" w:eastAsia="宋体"/>
                <w:sz w:val="20"/>
                <w:szCs w:val="20"/>
              </w:rPr>
              <w:t>提供全面的接口技术，与第三方系统共享数据和功能，这些接口技术包括中间件技术接口、WEBSEVICE通用接口、数据库级接口、文件文本接口等。提供与医院第三方系统统一接口的维护与管理，与LIS、PACS、心电系统、重症系统、手术麻醉系统、院前急救/院内急诊系统、医保接口、工伤接口、血费直免、体检系统、集成平台、统一支付平台、多院区运营一体化平台、多院区后勤一体化平台、数据资产管理平台、自助服务平台、统一预约平台、OA综合管理平台、智慧运营平台、成本管理系统、排班系统、人力资源管理系统、财务管理系统、互联网医院、SPD耗材管理系统、绩效管理系统、电子发票系统护理管理系统、短信平台、医务管理系统、DRG综合评价管理软件系统、血糖管理系统、老年综合评估信息软件、代谢性疾病管理系统（MMC）接口、病历质控系统、CDSS系统、膳食通系统、运营决策支持系统、医联体处方前置审方、合理用药、院感管理系统、血透系统、血栓防治VTE系统、供应室追溯系统、云胶片系统、防统方系统、静配中心系统PIVAS、宁养院住院系统、生命体征系统、慢病随访、抗肿瘤药物上传、儿童肿瘤上传、罕见病上传、国家药品不良反应哨点医院、传染病上报、智护屏、床头交互系统、科研管理系统、国家传染病前置软件、全民健康信息平台、高效运营管理平台、门诊叫号系统、无纸化病历、骨科康复指导监测与随访、电子签名系统、CA单点登录系统、医保结算清单上传等所有医院第三方相关业务系统（包括以上医院系统但不仅限于以上系统）及上级单位要求所有系统进行免费接口对接，实现数据交换。项目软硬件系统不限定用户数、并发数、不限定医疗集团内部及院区使用。报价人提供系统需免费改造支持信创电脑和服务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bCs/>
                <w:sz w:val="20"/>
                <w:szCs w:val="20"/>
              </w:rPr>
            </w:pPr>
            <w:r>
              <w:rPr>
                <w:rFonts w:hint="eastAsia" w:ascii="宋体" w:hAnsi="宋体" w:eastAsia="宋体"/>
                <w:bCs/>
                <w:sz w:val="20"/>
                <w:szCs w:val="20"/>
              </w:rPr>
              <w:t>系统评级要求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20" w:firstLineChars="200"/>
              <w:rPr>
                <w:rFonts w:ascii="宋体" w:hAnsi="宋体" w:eastAsia="宋体"/>
                <w:sz w:val="20"/>
                <w:szCs w:val="20"/>
              </w:rPr>
            </w:pPr>
            <w:r>
              <w:rPr>
                <w:rFonts w:hint="eastAsia"/>
                <w:lang w:bidi="ar"/>
              </w:rPr>
              <w:t>供应商本次所提供系统需确保通过医院电子病历系统功能应用水平分级6级以上评审、医院信息互联互通标准化成熟度测评达到五级乙等以上水平评审、信息系统安全等级保护三级测评、密码应用三级评测、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bCs/>
                <w:sz w:val="20"/>
                <w:szCs w:val="20"/>
              </w:rPr>
            </w:pPr>
            <w:r>
              <w:rPr>
                <w:rFonts w:hint="eastAsia" w:ascii="宋体" w:hAnsi="宋体" w:eastAsia="宋体"/>
                <w:bCs/>
                <w:sz w:val="20"/>
                <w:szCs w:val="20"/>
              </w:rPr>
              <w:t>质保期及售后服务要求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02" w:firstLineChars="200"/>
              <w:rPr>
                <w:rFonts w:ascii="宋体" w:hAnsi="宋体" w:eastAsia="宋体"/>
                <w:b/>
                <w:sz w:val="20"/>
                <w:szCs w:val="20"/>
              </w:rPr>
            </w:pPr>
            <w:r>
              <w:rPr>
                <w:rFonts w:hint="eastAsia" w:ascii="宋体" w:hAnsi="宋体" w:eastAsia="宋体"/>
                <w:b/>
                <w:sz w:val="20"/>
                <w:szCs w:val="20"/>
              </w:rPr>
              <w:t>一、质量保证期要求</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1.质量保证期：自本项目整体最终验收之日起，软硬件产品要求提供三年的免费质保服务，维保服务包含软硬件维护和系统软件升级、系统BUG及漏洞修复、技术支持服务、系统管理及操作培训服务，免费提供系统个性化修改需求。</w:t>
            </w:r>
          </w:p>
          <w:p>
            <w:pPr>
              <w:spacing w:line="360" w:lineRule="exact"/>
              <w:ind w:firstLine="402" w:firstLineChars="200"/>
              <w:rPr>
                <w:rFonts w:ascii="宋体" w:hAnsi="宋体" w:eastAsia="宋体"/>
                <w:b/>
                <w:sz w:val="20"/>
                <w:szCs w:val="20"/>
              </w:rPr>
            </w:pPr>
            <w:r>
              <w:rPr>
                <w:rFonts w:hint="eastAsia" w:ascii="宋体" w:hAnsi="宋体" w:eastAsia="宋体"/>
                <w:b/>
                <w:sz w:val="20"/>
                <w:szCs w:val="20"/>
              </w:rPr>
              <w:t>二、售后服务要求</w:t>
            </w:r>
          </w:p>
          <w:p>
            <w:pPr>
              <w:spacing w:line="312" w:lineRule="auto"/>
              <w:ind w:firstLine="420"/>
              <w:jc w:val="left"/>
              <w:rPr>
                <w:rFonts w:ascii="宋体" w:hAnsi="宋体" w:eastAsia="宋体" w:cs="宋体"/>
                <w:sz w:val="20"/>
                <w:szCs w:val="20"/>
              </w:rPr>
            </w:pPr>
            <w:r>
              <w:rPr>
                <w:rFonts w:hint="eastAsia" w:ascii="宋体" w:hAnsi="宋体" w:eastAsia="宋体"/>
                <w:sz w:val="20"/>
                <w:szCs w:val="20"/>
              </w:rPr>
              <w:t>1.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spacing w:line="312" w:lineRule="auto"/>
              <w:ind w:firstLine="420"/>
              <w:jc w:val="left"/>
              <w:rPr>
                <w:rFonts w:ascii="宋体" w:hAnsi="宋体" w:eastAsia="宋体"/>
                <w:sz w:val="20"/>
                <w:szCs w:val="20"/>
              </w:rPr>
            </w:pPr>
            <w:r>
              <w:rPr>
                <w:rFonts w:hint="eastAsia" w:ascii="宋体" w:hAnsi="宋体" w:eastAsia="宋体"/>
                <w:sz w:val="20"/>
                <w:szCs w:val="20"/>
              </w:rPr>
              <w:t>2.供应商</w:t>
            </w:r>
            <w:r>
              <w:rPr>
                <w:rFonts w:hint="eastAsia" w:ascii="宋体" w:hAnsi="宋体" w:eastAsia="宋体"/>
                <w:sz w:val="20"/>
                <w:szCs w:val="20"/>
                <w:lang w:eastAsia="zh-CN"/>
              </w:rPr>
              <w:t>按使用单位要求巡检（国家法定</w:t>
            </w:r>
            <w:r>
              <w:rPr>
                <w:rFonts w:hint="eastAsia" w:ascii="宋体" w:hAnsi="宋体" w:eastAsia="宋体"/>
                <w:sz w:val="20"/>
                <w:szCs w:val="20"/>
              </w:rPr>
              <w:t>节假日前巡检或按</w:t>
            </w:r>
            <w:r>
              <w:rPr>
                <w:rFonts w:hint="eastAsia" w:ascii="宋体" w:hAnsi="宋体" w:eastAsia="宋体"/>
                <w:sz w:val="20"/>
                <w:szCs w:val="20"/>
                <w:lang w:eastAsia="zh-CN"/>
              </w:rPr>
              <w:t>使用单位</w:t>
            </w:r>
            <w:r>
              <w:rPr>
                <w:rFonts w:hint="eastAsia" w:ascii="宋体" w:hAnsi="宋体" w:eastAsia="宋体"/>
                <w:sz w:val="20"/>
                <w:szCs w:val="20"/>
              </w:rPr>
              <w:t>需求时间巡检），每季度巡检不得少于一次，并形成巡检报告（内容涉及此产品服务器\相关设备的运行情况）反</w:t>
            </w:r>
            <w:r>
              <w:rPr>
                <w:rFonts w:hint="eastAsia" w:ascii="宋体" w:hAnsi="宋体" w:eastAsia="宋体"/>
                <w:sz w:val="20"/>
                <w:szCs w:val="20"/>
                <w:lang w:eastAsia="zh-CN"/>
              </w:rPr>
              <w:t>馈给使用单位。</w:t>
            </w:r>
          </w:p>
          <w:p>
            <w:pPr>
              <w:spacing w:line="360" w:lineRule="exact"/>
              <w:ind w:firstLine="402" w:firstLineChars="200"/>
              <w:rPr>
                <w:rFonts w:ascii="宋体" w:hAnsi="宋体" w:eastAsia="宋体"/>
                <w:b/>
                <w:sz w:val="20"/>
                <w:szCs w:val="20"/>
              </w:rPr>
            </w:pPr>
            <w:r>
              <w:rPr>
                <w:rFonts w:hint="eastAsia" w:ascii="宋体" w:hAnsi="宋体" w:eastAsia="宋体"/>
                <w:b/>
                <w:sz w:val="20"/>
                <w:szCs w:val="20"/>
              </w:rPr>
              <w:t>三、质量和沟通保障</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1.项目实施阶段应安排专人（项目负责人或技术组长等）与采购人联系，并提供手机、微信、邮箱等联系方式，必要时应在30分钟内及时响应采购人需求。</w:t>
            </w:r>
          </w:p>
          <w:p>
            <w:pPr>
              <w:spacing w:line="360" w:lineRule="exact"/>
              <w:ind w:firstLine="400" w:firstLineChars="200"/>
              <w:rPr>
                <w:rFonts w:ascii="宋体" w:hAnsi="宋体" w:eastAsia="宋体"/>
                <w:b/>
                <w:sz w:val="20"/>
                <w:szCs w:val="20"/>
              </w:rPr>
            </w:pPr>
            <w:r>
              <w:rPr>
                <w:rFonts w:hint="eastAsia" w:ascii="宋体" w:hAnsi="宋体" w:eastAsia="宋体"/>
                <w:sz w:val="20"/>
                <w:szCs w:val="20"/>
              </w:rPr>
              <w:t>2.质保期满后，采购人与供应商另行协商维护费用，其中维护费原则上不超过本项目中标金额</w:t>
            </w:r>
            <w:r>
              <w:rPr>
                <w:rFonts w:hint="eastAsia" w:ascii="宋体" w:hAnsi="宋体" w:eastAsia="宋体"/>
                <w:sz w:val="20"/>
                <w:szCs w:val="20"/>
                <w:lang w:eastAsia="zh-CN"/>
              </w:rPr>
              <w:t>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技术成果及文档要求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5"/>
              </w:num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本次采购内容采购人具有使用权。未经采购人同意，供应商不得将采购人提供的资料和经营信息等作任何修改、复制或向第三人泄露、允许任何第三方使用、或转让、部分转让给第三方，不得用于本项目之外的任何目的。供应商除可用于自身品牌推广与参展、评比等学术研讨等非商业用途外不得将实施资料文件用作其它用途。</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2.对于采购人提供给供应商的资料及文件，采购人享有知识产权，中标方必须履行保密及保护采购人知识产权责任。采购人在销售期间可在广告、宣传、推广等活动中注明本项目工程实施由中标方完成。</w:t>
            </w:r>
          </w:p>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3.在实施过程中如果有合作开发产生的专利技术等知识产权成果，则归属双方共有，供应商未经医院同意，不得以任何名义进行任何形式的成果转化，对外合作，签订合同等。</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4.版权说明及要求：本项目定制开发软件的所有版权归采购单位所有，未经许可，中标供应商不允许复制或转让第三方。定制软件必须向采购人无条件提供软件系统及源代码、数据、开发取得的成果等技术资料。</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5.项目文档</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（1）文档是保证项目的实施连贯性的重要保证，供应商需要提供完善的文档，并对项目进行过程中的文档进行有效的管理，接受用户方对项目各阶段评估分析和监督管理。</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（2）整个项目的过程包括后期修改维护贯穿ISO9001和CMMI的规范，使用国家标准码，提供齐全的项目管理、设计和开发、操作说明等书面文档和电子版。</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（3）过程管理文档，包含但不限于：</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1）各系统说明书；</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2）数据表结构及说明；</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3）系统框架说明与服务器部署说明；</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4）系统部署说明，系统相应的安装包说明；</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5）日常维护与问题处理文档；</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6）系统运行所需客户端配置说明文档；</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7）系统运行所需网络环境说明文档；</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8）系统运行所需硬件环境说明文档。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违约条款</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1.供应商所提供的软/硬件规格、技术标准、材料等质量不合格的，应及时更换，更换不及时的按逾期交付处罚；因质量问题我院不同意接收，供应商应向我院支付违约货款额5%违约金并赔偿我院经济损失。</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2.若供应商提供的产品或软件侵犯了第三方合法权益而引发的任何纠纷或诉讼，均由供应商负责交涉并承担全部责任。</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3.供应商逾期交付的，每天向甲方偿付违约货款额3‰违约金，但违约金累计不得超过违约货款额 5% ，超过30天对方有权解除合同，违约方承担因此给对方造成的经济损失；</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4.售后服务违约：</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4.1每缺少1次巡检记录，供应商应向甲方支付违约金5000元；</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4.2不能按本技术参数文档按时提供设备备件的，故障上报24小时不能免费提供同档次或更高档次的备用设备解决问题，每超期一天，按500元/天向甲方支付违约金；</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4.3 供应商未按本技术要求和响应文件中规定的其他服务承诺提供售后服务的，每次供应商应按合同合计金额的5% 向甲方支付违约金。</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5.合同签订后7个工作日内进场实施，每个模块计划实施周期需在合同内写明。因软件提供商原因逾期不进场实施的，需按每天向</w:t>
            </w:r>
            <w:r>
              <w:rPr>
                <w:rFonts w:hint="eastAsia" w:ascii="宋体" w:hAnsi="宋体" w:eastAsia="宋体"/>
                <w:sz w:val="20"/>
                <w:szCs w:val="20"/>
                <w:lang w:eastAsia="zh-CN"/>
              </w:rPr>
              <w:t>使用单位</w:t>
            </w:r>
            <w:r>
              <w:rPr>
                <w:rFonts w:hint="eastAsia" w:ascii="宋体" w:hAnsi="宋体" w:eastAsia="宋体"/>
                <w:sz w:val="20"/>
                <w:szCs w:val="20"/>
              </w:rPr>
              <w:t>支付合同款金额3‰作为违约金，超过30天，甲有权解除合同，乙方需承担因此给</w:t>
            </w:r>
            <w:r>
              <w:rPr>
                <w:rFonts w:hint="eastAsia" w:ascii="宋体" w:hAnsi="宋体" w:eastAsia="宋体"/>
                <w:sz w:val="20"/>
                <w:szCs w:val="20"/>
                <w:lang w:eastAsia="zh-CN"/>
              </w:rPr>
              <w:t>使用单位</w:t>
            </w:r>
            <w:r>
              <w:rPr>
                <w:rFonts w:hint="eastAsia" w:ascii="宋体" w:hAnsi="宋体" w:eastAsia="宋体"/>
                <w:sz w:val="20"/>
                <w:szCs w:val="20"/>
              </w:rPr>
              <w:t>造成的经济损失；不能按照合同约定上线期限完成，需要书面申请说明原因，得到医院书面同意后最多延期一个月，否则（或者延期一个月后）按每超期7天（一周）从总合同金额扣除5%的违约金。扣除比例达到总合同金额的50%及以上的，视为供应商违约，甲方有权单方面解除合同，并要求乙方退回所有医院已支付款项，同时按合同总金额的20%做为违约金支付给甲方。</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6.任何一方违反本技术要求中“保密、廉洁条款”要求的，应承担相应的违约责任并赔偿由此造成的损失，损失累计金额超过合同款项的5%的，损失方同时有权终止合同并收回已付款项。</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7.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8.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9.厂商驻场工程师人员变更必须得到医院书面同意，否则视为乙方违约，甲方有权按5000元/人/次从合同总款中扣除。</w:t>
            </w:r>
          </w:p>
          <w:p>
            <w:pPr>
              <w:pStyle w:val="2"/>
              <w:ind w:firstLine="400" w:firstLineChars="200"/>
            </w:pPr>
            <w:r>
              <w:rPr>
                <w:rFonts w:hint="eastAsia"/>
              </w:rPr>
              <w:t>10.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保密、廉洁承诺</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1.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2. 双方不得以任何方式向第三方泄露本项目的软件技术、设计方案以及功能配置等内容。</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3.不以任何方式向第三方泄露在本协议开发实施过程中获取的经济、技术、数据以及双方其他非公开的信息。</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4.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spacing w:line="360" w:lineRule="exact"/>
              <w:ind w:right="-57" w:rightChars="-27" w:firstLine="400" w:firstLineChars="200"/>
              <w:jc w:val="left"/>
              <w:rPr>
                <w:rFonts w:ascii="宋体" w:hAnsi="宋体" w:eastAsia="宋体"/>
                <w:sz w:val="20"/>
                <w:szCs w:val="20"/>
              </w:rPr>
            </w:pPr>
            <w:r>
              <w:rPr>
                <w:rFonts w:hint="eastAsia" w:ascii="宋体" w:hAnsi="宋体" w:eastAsia="宋体"/>
                <w:sz w:val="20"/>
                <w:szCs w:val="20"/>
              </w:rPr>
              <w:t>5.保密期限自本合同生效之日起永久有效，如乙方需解除保密协议需向甲方提出书面申请，双方协商同意签字确认后方可解除。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eastAsia="宋体"/>
                <w:sz w:val="20"/>
                <w:szCs w:val="20"/>
              </w:rPr>
            </w:pPr>
            <w:r>
              <w:rPr>
                <w:rFonts w:hint="eastAsia" w:ascii="宋体" w:hAnsi="宋体" w:eastAsia="宋体"/>
                <w:sz w:val="20"/>
                <w:szCs w:val="20"/>
              </w:rPr>
              <w:t>付款方式</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00" w:firstLineChars="200"/>
              <w:rPr>
                <w:rFonts w:ascii="宋体" w:hAnsi="宋体" w:eastAsia="宋体"/>
                <w:sz w:val="20"/>
                <w:szCs w:val="20"/>
              </w:rPr>
            </w:pPr>
            <w:r>
              <w:rPr>
                <w:rFonts w:hint="eastAsia" w:ascii="宋体" w:hAnsi="宋体" w:eastAsia="宋体"/>
                <w:sz w:val="20"/>
                <w:szCs w:val="20"/>
              </w:rPr>
              <w:t>1.合同签订后，供应商7个工作日内进场，并出具等额发票给采购人，采购人收到供应商有效发票后，支付项目合同总额的10%作为预付款；</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2.</w:t>
            </w:r>
            <w:r>
              <w:rPr>
                <w:rFonts w:hint="eastAsia" w:ascii="宋体" w:hAnsi="宋体" w:eastAsia="宋体"/>
                <w:sz w:val="20"/>
                <w:szCs w:val="20"/>
                <w:lang w:val="en-US" w:eastAsia="zh-CN"/>
              </w:rPr>
              <w:t>硬件设备和</w:t>
            </w:r>
            <w:r>
              <w:rPr>
                <w:rFonts w:hint="eastAsia" w:ascii="宋体" w:hAnsi="宋体" w:eastAsia="宋体"/>
                <w:sz w:val="20"/>
                <w:szCs w:val="20"/>
              </w:rPr>
              <w:t>系统安装调试完毕并上线试运行1个月后，供应商出具等额发票给采购人，采购人收到供应商有效发票后，支付项目合同总额的40%；</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3.</w:t>
            </w:r>
            <w:r>
              <w:rPr>
                <w:rFonts w:hint="eastAsia" w:ascii="宋体" w:hAnsi="宋体" w:eastAsia="宋体"/>
                <w:sz w:val="20"/>
                <w:szCs w:val="20"/>
                <w:lang w:val="en-US" w:eastAsia="zh-CN"/>
              </w:rPr>
              <w:t>项目</w:t>
            </w:r>
            <w:r>
              <w:rPr>
                <w:rFonts w:hint="eastAsia" w:ascii="宋体" w:hAnsi="宋体" w:eastAsia="宋体"/>
                <w:sz w:val="20"/>
                <w:szCs w:val="20"/>
              </w:rPr>
              <w:t>整体实施完毕，</w:t>
            </w:r>
            <w:r>
              <w:rPr>
                <w:rFonts w:hint="eastAsia" w:ascii="宋体" w:hAnsi="宋体" w:eastAsia="宋体"/>
                <w:sz w:val="20"/>
                <w:szCs w:val="20"/>
                <w:lang w:val="en-US" w:eastAsia="zh-CN"/>
              </w:rPr>
              <w:t>软硬件</w:t>
            </w:r>
            <w:r>
              <w:rPr>
                <w:rFonts w:hint="eastAsia" w:ascii="宋体" w:hAnsi="宋体" w:eastAsia="宋体"/>
                <w:sz w:val="20"/>
                <w:szCs w:val="20"/>
              </w:rPr>
              <w:t>试运行满3个月后，经采购人及供应商双方确认通过验收后，收到供应商有效发票后，支付项目合同总额的40%；</w:t>
            </w:r>
          </w:p>
          <w:p>
            <w:pPr>
              <w:spacing w:line="360" w:lineRule="exact"/>
              <w:ind w:firstLine="400" w:firstLineChars="200"/>
              <w:rPr>
                <w:rFonts w:ascii="宋体" w:hAnsi="宋体" w:eastAsia="宋体"/>
                <w:sz w:val="20"/>
                <w:szCs w:val="20"/>
              </w:rPr>
            </w:pPr>
            <w:r>
              <w:rPr>
                <w:rFonts w:hint="eastAsia" w:ascii="宋体" w:hAnsi="宋体" w:eastAsia="宋体"/>
                <w:sz w:val="20"/>
                <w:szCs w:val="20"/>
              </w:rPr>
              <w:t>4.项目整体最终验收合格1年后，采购人在收到供应商有效等额发票后，支付项目合同总额的10%。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eastAsia="宋体"/>
                <w:sz w:val="20"/>
                <w:szCs w:val="20"/>
              </w:rPr>
            </w:pPr>
            <w:r>
              <w:rPr>
                <w:rFonts w:hint="eastAsia" w:ascii="宋体" w:hAnsi="宋体" w:eastAsia="宋体"/>
                <w:sz w:val="20"/>
                <w:szCs w:val="20"/>
              </w:rPr>
              <w:t>报价要求</w:t>
            </w:r>
          </w:p>
        </w:tc>
        <w:tc>
          <w:tcPr>
            <w:tcW w:w="801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1.供应商报价为采购人指定地点的现场交货价，包括但不限于：</w:t>
            </w:r>
          </w:p>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（1）标的物的价格；</w:t>
            </w:r>
          </w:p>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（2）必要的保险费用和各项税金；</w:t>
            </w:r>
          </w:p>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（3）其他费用（包括但不限于运输、装卸、软件开发、软件部署、调试、培训、技术支持、售后服务、检测等费用）；</w:t>
            </w:r>
          </w:p>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（4）安装费用（包括但不限于各类软件、系统等的安装、集成、试运行等费用）。</w:t>
            </w:r>
          </w:p>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2.报价人自行考虑完成项目所需的辅材、杂配件等数量、设备租借、通信费用、系统兼容，报价中应包含全部内容，采购人不再另行支付任何费用。</w:t>
            </w:r>
          </w:p>
          <w:p>
            <w:pPr>
              <w:tabs>
                <w:tab w:val="left" w:pos="180"/>
                <w:tab w:val="left" w:pos="1620"/>
              </w:tabs>
              <w:spacing w:line="360" w:lineRule="exact"/>
              <w:ind w:firstLine="400" w:firstLineChars="200"/>
              <w:jc w:val="left"/>
              <w:rPr>
                <w:rFonts w:ascii="宋体" w:hAnsi="宋体" w:eastAsia="宋体"/>
                <w:sz w:val="20"/>
                <w:szCs w:val="20"/>
              </w:rPr>
            </w:pPr>
            <w:r>
              <w:rPr>
                <w:rFonts w:hint="eastAsia" w:ascii="宋体" w:hAnsi="宋体" w:eastAsia="宋体"/>
                <w:sz w:val="20"/>
                <w:szCs w:val="20"/>
              </w:rPr>
              <w:t>3.报价文件需提供产品报价表、技术方案、技术偏离表、商务偏离表、售后服务方案、培训方案格式自拟。</w:t>
            </w:r>
          </w:p>
        </w:tc>
      </w:tr>
    </w:tbl>
    <w:p>
      <w:pPr>
        <w:pStyle w:val="2"/>
        <w:spacing w:after="0" w:line="312" w:lineRule="auto"/>
        <w:rPr>
          <w:rFonts w:ascii="宋体" w:hAnsi="宋体" w:eastAsia="宋体" w:cs="宋体"/>
          <w:b/>
          <w:bCs/>
          <w:sz w:val="28"/>
          <w:lang w:val="en-US"/>
        </w:rPr>
      </w:pPr>
    </w:p>
    <w:p>
      <w:pPr>
        <w:pStyle w:val="2"/>
        <w:spacing w:after="0" w:line="312" w:lineRule="auto"/>
        <w:rPr>
          <w:rFonts w:ascii="宋体" w:hAnsi="宋体" w:eastAsia="宋体" w:cs="宋体"/>
          <w:b/>
          <w:bCs/>
          <w:sz w:val="28"/>
          <w:lang w:val="en-US"/>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A0568"/>
    <w:multiLevelType w:val="singleLevel"/>
    <w:tmpl w:val="DD4A0568"/>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2"/>
      <w:numFmt w:val="chineseCounting"/>
      <w:suff w:val="nothing"/>
      <w:lvlText w:val="（%1）"/>
      <w:lvlJc w:val="left"/>
      <w:rPr>
        <w:rFonts w:hint="eastAsia"/>
      </w:rPr>
    </w:lvl>
  </w:abstractNum>
  <w:abstractNum w:abstractNumId="2">
    <w:nsid w:val="11E53400"/>
    <w:multiLevelType w:val="singleLevel"/>
    <w:tmpl w:val="11E53400"/>
    <w:lvl w:ilvl="0" w:tentative="0">
      <w:start w:val="1"/>
      <w:numFmt w:val="decimal"/>
      <w:lvlText w:val="%1."/>
      <w:lvlJc w:val="left"/>
      <w:pPr>
        <w:tabs>
          <w:tab w:val="left" w:pos="312"/>
        </w:tabs>
      </w:pPr>
    </w:lvl>
  </w:abstractNum>
  <w:abstractNum w:abstractNumId="3">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4">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6D6675"/>
    <w:rsid w:val="006F21F3"/>
    <w:rsid w:val="008C322F"/>
    <w:rsid w:val="009F4C1B"/>
    <w:rsid w:val="00A140D3"/>
    <w:rsid w:val="00B32B98"/>
    <w:rsid w:val="00B759E0"/>
    <w:rsid w:val="00BE473F"/>
    <w:rsid w:val="00D5380E"/>
    <w:rsid w:val="00D61A9A"/>
    <w:rsid w:val="00DC1FBB"/>
    <w:rsid w:val="00E61AD4"/>
    <w:rsid w:val="00EA7DE1"/>
    <w:rsid w:val="00EC7EF1"/>
    <w:rsid w:val="00F13AA1"/>
    <w:rsid w:val="00F9257D"/>
    <w:rsid w:val="016025FC"/>
    <w:rsid w:val="018067FB"/>
    <w:rsid w:val="01E200EE"/>
    <w:rsid w:val="02641C78"/>
    <w:rsid w:val="038608DA"/>
    <w:rsid w:val="03E76AEF"/>
    <w:rsid w:val="03F10EDE"/>
    <w:rsid w:val="04927A04"/>
    <w:rsid w:val="067B18B8"/>
    <w:rsid w:val="06DF14B2"/>
    <w:rsid w:val="07256D45"/>
    <w:rsid w:val="072E01FC"/>
    <w:rsid w:val="08741252"/>
    <w:rsid w:val="09C6758D"/>
    <w:rsid w:val="0A3927A2"/>
    <w:rsid w:val="0A791D80"/>
    <w:rsid w:val="0B1E3309"/>
    <w:rsid w:val="0B665638"/>
    <w:rsid w:val="0BA650B0"/>
    <w:rsid w:val="0C3B69E4"/>
    <w:rsid w:val="0C7D1CCF"/>
    <w:rsid w:val="0EE77EB9"/>
    <w:rsid w:val="0F2A1F3D"/>
    <w:rsid w:val="100B36F2"/>
    <w:rsid w:val="105A46BB"/>
    <w:rsid w:val="109B068D"/>
    <w:rsid w:val="10AC760C"/>
    <w:rsid w:val="110018B9"/>
    <w:rsid w:val="1112467A"/>
    <w:rsid w:val="1134315E"/>
    <w:rsid w:val="12876C72"/>
    <w:rsid w:val="12D135BD"/>
    <w:rsid w:val="12D1790A"/>
    <w:rsid w:val="12D90B2E"/>
    <w:rsid w:val="13A4281C"/>
    <w:rsid w:val="14782DB8"/>
    <w:rsid w:val="14813F25"/>
    <w:rsid w:val="14AF00BD"/>
    <w:rsid w:val="15347BD0"/>
    <w:rsid w:val="153D4F2B"/>
    <w:rsid w:val="15A9114D"/>
    <w:rsid w:val="165C1DAE"/>
    <w:rsid w:val="16EB42BE"/>
    <w:rsid w:val="16ED2D59"/>
    <w:rsid w:val="174D1CA9"/>
    <w:rsid w:val="17536FF6"/>
    <w:rsid w:val="17541870"/>
    <w:rsid w:val="176F15D2"/>
    <w:rsid w:val="17FD587B"/>
    <w:rsid w:val="1846212A"/>
    <w:rsid w:val="1904771B"/>
    <w:rsid w:val="19151124"/>
    <w:rsid w:val="19232435"/>
    <w:rsid w:val="192D6E10"/>
    <w:rsid w:val="1A204BC7"/>
    <w:rsid w:val="1A251034"/>
    <w:rsid w:val="1A2A3350"/>
    <w:rsid w:val="1AA944D3"/>
    <w:rsid w:val="1AF35E37"/>
    <w:rsid w:val="1B5C436C"/>
    <w:rsid w:val="1B91509A"/>
    <w:rsid w:val="1C654B13"/>
    <w:rsid w:val="1C6F65CE"/>
    <w:rsid w:val="1D04601E"/>
    <w:rsid w:val="1D9262D5"/>
    <w:rsid w:val="1DBC4C07"/>
    <w:rsid w:val="1E414E81"/>
    <w:rsid w:val="1F396481"/>
    <w:rsid w:val="1F7A7C7C"/>
    <w:rsid w:val="1FEC6EA4"/>
    <w:rsid w:val="20E45A65"/>
    <w:rsid w:val="211C3A1C"/>
    <w:rsid w:val="21780E44"/>
    <w:rsid w:val="21B46321"/>
    <w:rsid w:val="21DE339D"/>
    <w:rsid w:val="22293C01"/>
    <w:rsid w:val="223B5680"/>
    <w:rsid w:val="224243ED"/>
    <w:rsid w:val="22806243"/>
    <w:rsid w:val="233B4088"/>
    <w:rsid w:val="235B0100"/>
    <w:rsid w:val="235C24DC"/>
    <w:rsid w:val="23A06ACE"/>
    <w:rsid w:val="23A72D1A"/>
    <w:rsid w:val="240D7F6A"/>
    <w:rsid w:val="24664763"/>
    <w:rsid w:val="24DA1462"/>
    <w:rsid w:val="251F0377"/>
    <w:rsid w:val="25624527"/>
    <w:rsid w:val="258B383C"/>
    <w:rsid w:val="25AA0D7C"/>
    <w:rsid w:val="25D43FBF"/>
    <w:rsid w:val="26AA16D4"/>
    <w:rsid w:val="26E602B0"/>
    <w:rsid w:val="284C2F0D"/>
    <w:rsid w:val="28C25271"/>
    <w:rsid w:val="290632D5"/>
    <w:rsid w:val="294F0B8E"/>
    <w:rsid w:val="29C467B9"/>
    <w:rsid w:val="2A0C2A72"/>
    <w:rsid w:val="2AFA28CA"/>
    <w:rsid w:val="2C3342E6"/>
    <w:rsid w:val="2C575892"/>
    <w:rsid w:val="2C6E439E"/>
    <w:rsid w:val="2C732934"/>
    <w:rsid w:val="2C8F073A"/>
    <w:rsid w:val="2CA67011"/>
    <w:rsid w:val="2D746964"/>
    <w:rsid w:val="2E55261B"/>
    <w:rsid w:val="2EB060C2"/>
    <w:rsid w:val="2F452CAE"/>
    <w:rsid w:val="2F657FC2"/>
    <w:rsid w:val="30EA318F"/>
    <w:rsid w:val="313905F0"/>
    <w:rsid w:val="314A3316"/>
    <w:rsid w:val="31AF08B2"/>
    <w:rsid w:val="3279475B"/>
    <w:rsid w:val="32EB0977"/>
    <w:rsid w:val="32FC18D5"/>
    <w:rsid w:val="334453A4"/>
    <w:rsid w:val="34906983"/>
    <w:rsid w:val="34A02F04"/>
    <w:rsid w:val="34B8035D"/>
    <w:rsid w:val="35E13004"/>
    <w:rsid w:val="3647287E"/>
    <w:rsid w:val="366F37EB"/>
    <w:rsid w:val="367D10F2"/>
    <w:rsid w:val="367D4F11"/>
    <w:rsid w:val="36B36B59"/>
    <w:rsid w:val="36E8167B"/>
    <w:rsid w:val="37C5786B"/>
    <w:rsid w:val="37E8067A"/>
    <w:rsid w:val="38282E3F"/>
    <w:rsid w:val="38733E92"/>
    <w:rsid w:val="395C56DE"/>
    <w:rsid w:val="3A6B617C"/>
    <w:rsid w:val="3A965B44"/>
    <w:rsid w:val="3B450A85"/>
    <w:rsid w:val="3B4F3BCB"/>
    <w:rsid w:val="3C8C1F1C"/>
    <w:rsid w:val="3CCF59FC"/>
    <w:rsid w:val="3D2B59E9"/>
    <w:rsid w:val="3D655CAD"/>
    <w:rsid w:val="3DC3562A"/>
    <w:rsid w:val="3DCF123E"/>
    <w:rsid w:val="3DF633C5"/>
    <w:rsid w:val="3E3103B1"/>
    <w:rsid w:val="3FC733A8"/>
    <w:rsid w:val="3FFE146B"/>
    <w:rsid w:val="408455A0"/>
    <w:rsid w:val="40FE2CBD"/>
    <w:rsid w:val="413D18AA"/>
    <w:rsid w:val="41751DDC"/>
    <w:rsid w:val="41971DBD"/>
    <w:rsid w:val="41DD6D76"/>
    <w:rsid w:val="42886D23"/>
    <w:rsid w:val="435B43F6"/>
    <w:rsid w:val="43607C5E"/>
    <w:rsid w:val="437047E1"/>
    <w:rsid w:val="43AE0137"/>
    <w:rsid w:val="43CC4B30"/>
    <w:rsid w:val="44511123"/>
    <w:rsid w:val="44973170"/>
    <w:rsid w:val="452B604A"/>
    <w:rsid w:val="45462E84"/>
    <w:rsid w:val="455A3219"/>
    <w:rsid w:val="457173F8"/>
    <w:rsid w:val="45A34DF4"/>
    <w:rsid w:val="466C3785"/>
    <w:rsid w:val="46843C64"/>
    <w:rsid w:val="47AE7CCF"/>
    <w:rsid w:val="47E171AC"/>
    <w:rsid w:val="47FA24B7"/>
    <w:rsid w:val="480C0CC5"/>
    <w:rsid w:val="48554C50"/>
    <w:rsid w:val="4956395B"/>
    <w:rsid w:val="49C017DB"/>
    <w:rsid w:val="4A4F6337"/>
    <w:rsid w:val="4A565917"/>
    <w:rsid w:val="4ADA75AB"/>
    <w:rsid w:val="4AE65862"/>
    <w:rsid w:val="4B3519D1"/>
    <w:rsid w:val="4BC845F3"/>
    <w:rsid w:val="4BF33C39"/>
    <w:rsid w:val="4BF413EA"/>
    <w:rsid w:val="4C9B3AB5"/>
    <w:rsid w:val="4CF431C6"/>
    <w:rsid w:val="4D5A127B"/>
    <w:rsid w:val="4E524648"/>
    <w:rsid w:val="4E697BF2"/>
    <w:rsid w:val="4F640350"/>
    <w:rsid w:val="4F8C1172"/>
    <w:rsid w:val="507D710A"/>
    <w:rsid w:val="50844495"/>
    <w:rsid w:val="508670F0"/>
    <w:rsid w:val="50A873B9"/>
    <w:rsid w:val="50C52CA1"/>
    <w:rsid w:val="50E7551B"/>
    <w:rsid w:val="50F32112"/>
    <w:rsid w:val="51516E38"/>
    <w:rsid w:val="52176C0D"/>
    <w:rsid w:val="52B01ABB"/>
    <w:rsid w:val="52C26DA5"/>
    <w:rsid w:val="52C84CF5"/>
    <w:rsid w:val="54361EC0"/>
    <w:rsid w:val="54E82BB7"/>
    <w:rsid w:val="551F6F5A"/>
    <w:rsid w:val="55B43D13"/>
    <w:rsid w:val="55EB160A"/>
    <w:rsid w:val="562C3FA0"/>
    <w:rsid w:val="56864135"/>
    <w:rsid w:val="56E13AC8"/>
    <w:rsid w:val="57BF2F9F"/>
    <w:rsid w:val="582E1C82"/>
    <w:rsid w:val="585573E7"/>
    <w:rsid w:val="59EA1396"/>
    <w:rsid w:val="5A334C18"/>
    <w:rsid w:val="5AF947C9"/>
    <w:rsid w:val="5C2974BB"/>
    <w:rsid w:val="5C4B79F0"/>
    <w:rsid w:val="5C6164F3"/>
    <w:rsid w:val="5CB84210"/>
    <w:rsid w:val="5E2A2EEB"/>
    <w:rsid w:val="5EB804F7"/>
    <w:rsid w:val="5EEF047E"/>
    <w:rsid w:val="5EF84D97"/>
    <w:rsid w:val="606A2F3D"/>
    <w:rsid w:val="607B2E53"/>
    <w:rsid w:val="60A77C5F"/>
    <w:rsid w:val="62196213"/>
    <w:rsid w:val="626A7D5A"/>
    <w:rsid w:val="62E640E7"/>
    <w:rsid w:val="638B5099"/>
    <w:rsid w:val="63EF6D4C"/>
    <w:rsid w:val="641F55CF"/>
    <w:rsid w:val="642E30AE"/>
    <w:rsid w:val="64E8140A"/>
    <w:rsid w:val="65EF576E"/>
    <w:rsid w:val="66EC10AB"/>
    <w:rsid w:val="67234BE8"/>
    <w:rsid w:val="675A37D7"/>
    <w:rsid w:val="67C237A0"/>
    <w:rsid w:val="67C37F93"/>
    <w:rsid w:val="68565E67"/>
    <w:rsid w:val="686C39B1"/>
    <w:rsid w:val="68835A51"/>
    <w:rsid w:val="68B72934"/>
    <w:rsid w:val="69A9737D"/>
    <w:rsid w:val="69C02956"/>
    <w:rsid w:val="6A1567FD"/>
    <w:rsid w:val="6A554B18"/>
    <w:rsid w:val="6A5B6461"/>
    <w:rsid w:val="6AC929D4"/>
    <w:rsid w:val="6B817AEE"/>
    <w:rsid w:val="6B8D6867"/>
    <w:rsid w:val="6B9E401E"/>
    <w:rsid w:val="6BCC7390"/>
    <w:rsid w:val="6BFD1C3F"/>
    <w:rsid w:val="6C1A6998"/>
    <w:rsid w:val="6C270A6A"/>
    <w:rsid w:val="6E1B45FE"/>
    <w:rsid w:val="6E436E69"/>
    <w:rsid w:val="6EE07203"/>
    <w:rsid w:val="711C77D0"/>
    <w:rsid w:val="713B4279"/>
    <w:rsid w:val="71AD1D19"/>
    <w:rsid w:val="73051406"/>
    <w:rsid w:val="73ED0541"/>
    <w:rsid w:val="73F71B2F"/>
    <w:rsid w:val="74BA33B6"/>
    <w:rsid w:val="74C90768"/>
    <w:rsid w:val="7524075C"/>
    <w:rsid w:val="76872831"/>
    <w:rsid w:val="76C07BAD"/>
    <w:rsid w:val="76C64F98"/>
    <w:rsid w:val="772D450F"/>
    <w:rsid w:val="7808527E"/>
    <w:rsid w:val="785115BB"/>
    <w:rsid w:val="791F31F5"/>
    <w:rsid w:val="79792DFF"/>
    <w:rsid w:val="7A5E1AFB"/>
    <w:rsid w:val="7AB20098"/>
    <w:rsid w:val="7AB427B8"/>
    <w:rsid w:val="7ADC6EC3"/>
    <w:rsid w:val="7AF44B79"/>
    <w:rsid w:val="7B3D3E06"/>
    <w:rsid w:val="7C886563"/>
    <w:rsid w:val="7DBA5E29"/>
    <w:rsid w:val="7DE92023"/>
    <w:rsid w:val="7ECE1CDB"/>
    <w:rsid w:val="7ED45A9B"/>
    <w:rsid w:val="7F774919"/>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Body Text Indent 2"/>
    <w:basedOn w:val="1"/>
    <w:qFormat/>
    <w:uiPriority w:val="0"/>
    <w:pPr>
      <w:ind w:firstLine="630"/>
    </w:pPr>
    <w:rPr>
      <w:sz w:val="32"/>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列出段落1"/>
    <w:basedOn w:val="1"/>
    <w:qFormat/>
    <w:uiPriority w:val="34"/>
    <w:pPr>
      <w:ind w:firstLine="420" w:firstLineChars="200"/>
    </w:pPr>
  </w:style>
  <w:style w:type="paragraph" w:customStyle="1" w:styleId="11">
    <w:name w:val="p15"/>
    <w:basedOn w:val="1"/>
    <w:qFormat/>
    <w:uiPriority w:val="0"/>
    <w:pPr>
      <w:widowControl/>
      <w:ind w:firstLine="420"/>
    </w:pPr>
    <w:rPr>
      <w:kern w:val="0"/>
      <w:szCs w:val="21"/>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font21"/>
    <w:basedOn w:val="9"/>
    <w:qFormat/>
    <w:uiPriority w:val="0"/>
    <w:rPr>
      <w:rFonts w:hint="eastAsia" w:ascii="宋体" w:hAnsi="宋体" w:eastAsia="宋体" w:cs="宋体"/>
      <w:color w:val="000000"/>
      <w:sz w:val="20"/>
      <w:szCs w:val="20"/>
      <w:u w:val="none"/>
    </w:rPr>
  </w:style>
  <w:style w:type="character" w:customStyle="1" w:styleId="15">
    <w:name w:val="font31"/>
    <w:basedOn w:val="9"/>
    <w:qFormat/>
    <w:uiPriority w:val="0"/>
    <w:rPr>
      <w:rFonts w:hint="eastAsia" w:ascii="宋体" w:hAnsi="宋体" w:eastAsia="宋体" w:cs="宋体"/>
      <w:color w:val="000000"/>
      <w:sz w:val="20"/>
      <w:szCs w:val="20"/>
      <w:u w:val="none"/>
    </w:rPr>
  </w:style>
  <w:style w:type="character" w:customStyle="1" w:styleId="16">
    <w:name w:val="font11"/>
    <w:basedOn w:val="9"/>
    <w:qFormat/>
    <w:uiPriority w:val="0"/>
    <w:rPr>
      <w:rFonts w:hint="eastAsia" w:ascii="宋体" w:hAnsi="宋体" w:eastAsia="宋体" w:cs="宋体"/>
      <w:color w:val="000000"/>
      <w:sz w:val="20"/>
      <w:szCs w:val="20"/>
      <w:u w:val="none"/>
    </w:rPr>
  </w:style>
  <w:style w:type="character" w:customStyle="1" w:styleId="17">
    <w:name w:val="font4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11532</Words>
  <Characters>12044</Characters>
  <Lines>93</Lines>
  <Paragraphs>26</Paragraphs>
  <TotalTime>8</TotalTime>
  <ScaleCrop>false</ScaleCrop>
  <LinksUpToDate>false</LinksUpToDate>
  <CharactersWithSpaces>12341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2025-05-15T01:57:00Z</dcterms:created>
  <dc:creator>LGYY-USER</dc:creator>
  <cp:lastModifiedBy>yy</cp:lastModifiedBy>
  <cp:lastPrinted>2025-05-21T01:41:15Z</cp:lastPrinted>
  <dcterms:modified xsi:type="dcterms:W3CDTF">2025-05-21T01:46:12Z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eyJoZGlkIjoiYmRlNGQ1ZjU3MjI2Mjc5OGQyNmEwZjVkN2FlOTUyMGQiLCJ1c2VySWQiOiI4MjU2MjIwOTUifQ==</vt:lpwstr>
  </property>
  <property fmtid="{D5CDD505-2E9C-101B-9397-08002B2CF9AE}" pid="4" name="ICV">
    <vt:lpwstr>2F1240B31D914787A316784C956F736C_13</vt:lpwstr>
  </property>
</Properties>
</file>