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D676">
      <w:pPr>
        <w:keepNext/>
        <w:keepLines/>
        <w:spacing w:line="312" w:lineRule="auto"/>
        <w:jc w:val="center"/>
        <w:rPr>
          <w:rFonts w:ascii="宋体" w:hAnsi="宋体" w:eastAsia="宋体" w:cs="微软雅黑"/>
          <w:b/>
          <w:bCs/>
          <w:color w:val="auto"/>
          <w:kern w:val="44"/>
          <w:sz w:val="30"/>
          <w:szCs w:val="30"/>
          <w:highlight w:val="none"/>
        </w:rPr>
      </w:pPr>
      <w:bookmarkStart w:id="0" w:name="_Toc344816509"/>
      <w:r>
        <w:rPr>
          <w:rFonts w:hint="eastAsia" w:ascii="宋体" w:hAnsi="宋体" w:eastAsia="宋体" w:cs="微软雅黑"/>
          <w:b/>
          <w:bCs/>
          <w:color w:val="auto"/>
          <w:kern w:val="44"/>
          <w:sz w:val="30"/>
          <w:szCs w:val="30"/>
          <w:highlight w:val="none"/>
        </w:rPr>
        <w:t>柳州市医疗质控中心管理平台系统技术参数要求</w:t>
      </w:r>
    </w:p>
    <w:p w14:paraId="2361F8A7">
      <w:pPr>
        <w:keepNext/>
        <w:keepLines/>
        <w:spacing w:line="312" w:lineRule="auto"/>
        <w:ind w:left="420" w:leftChars="200"/>
        <w:jc w:val="left"/>
        <w:rPr>
          <w:rFonts w:ascii="宋体" w:hAnsi="宋体" w:eastAsia="宋体" w:cs="微软雅黑"/>
          <w:b/>
          <w:bCs/>
          <w:color w:val="auto"/>
          <w:kern w:val="44"/>
          <w:sz w:val="24"/>
          <w:szCs w:val="24"/>
          <w:highlight w:val="none"/>
        </w:rPr>
      </w:pPr>
    </w:p>
    <w:bookmarkEnd w:id="0"/>
    <w:p w14:paraId="3F9A590C">
      <w:pPr>
        <w:pStyle w:val="11"/>
        <w:numPr>
          <w:ilvl w:val="0"/>
          <w:numId w:val="2"/>
        </w:numPr>
        <w:spacing w:line="312" w:lineRule="auto"/>
        <w:ind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项目背景</w:t>
      </w:r>
    </w:p>
    <w:p w14:paraId="55C0B7FF">
      <w:pPr>
        <w:spacing w:line="276" w:lineRule="auto"/>
        <w:ind w:firstLine="480" w:firstLineChars="200"/>
        <w:rPr>
          <w:color w:val="auto"/>
          <w:highlight w:val="none"/>
        </w:rPr>
      </w:pPr>
      <w:r>
        <w:rPr>
          <w:rFonts w:hint="eastAsia" w:asciiTheme="minorEastAsia" w:hAnsiTheme="minorEastAsia"/>
          <w:color w:val="auto"/>
          <w:sz w:val="24"/>
          <w:szCs w:val="24"/>
          <w:highlight w:val="none"/>
        </w:rPr>
        <w:t>为持续改进医疗质量，保障医疗安全，为人民群众提供安全、优质的医疗服务是卫生健康工作的核心任务。把握医疗服务质量内在发展规律，充分调动和激发行业的内生动力，是实现医疗服务质量提升的必由之径。多年来，国家和各地在加强医疗质量管理方面做了大量工作，取得了显著成效，这些工作和成效离不开专业质控组织的支持。为规范质控组织管理，充分发挥质控组织在医疗质量安全改进工作中的作用，</w:t>
      </w:r>
      <w:r>
        <w:rPr>
          <w:rFonts w:asciiTheme="minorEastAsia" w:hAnsiTheme="minorEastAsia"/>
          <w:color w:val="auto"/>
          <w:sz w:val="24"/>
          <w:szCs w:val="24"/>
          <w:highlight w:val="none"/>
        </w:rPr>
        <w:t>2009</w:t>
      </w:r>
      <w:r>
        <w:rPr>
          <w:rFonts w:hint="eastAsia" w:asciiTheme="minorEastAsia" w:hAnsiTheme="minorEastAsia"/>
          <w:color w:val="auto"/>
          <w:sz w:val="24"/>
          <w:szCs w:val="24"/>
          <w:highlight w:val="none"/>
        </w:rPr>
        <w:t>年原卫生部印发《医疗质量控制中心管理办法（试行）》（以下简称《办法》），加强对医疗质量控制中心（以下简称质控中心）的建设和管理，此后，质控中心逐渐成为医疗质量管理与控制体系的中坚力量。</w:t>
      </w:r>
      <w:r>
        <w:rPr>
          <w:rFonts w:asciiTheme="minorEastAsia" w:hAnsiTheme="minorEastAsia"/>
          <w:color w:val="auto"/>
          <w:sz w:val="24"/>
          <w:szCs w:val="24"/>
          <w:highlight w:val="none"/>
        </w:rPr>
        <w:t>2016</w:t>
      </w:r>
      <w:r>
        <w:rPr>
          <w:rFonts w:hint="eastAsia" w:asciiTheme="minorEastAsia" w:hAnsiTheme="minorEastAsia"/>
          <w:color w:val="auto"/>
          <w:sz w:val="24"/>
          <w:szCs w:val="24"/>
          <w:highlight w:val="none"/>
        </w:rPr>
        <w:t>年</w:t>
      </w:r>
      <w:r>
        <w:rPr>
          <w:rFonts w:hint="eastAsia"/>
          <w:bCs/>
          <w:color w:val="auto"/>
          <w:sz w:val="24"/>
          <w:szCs w:val="24"/>
          <w:highlight w:val="none"/>
          <w:shd w:val="clear" w:color="auto" w:fill="FFFFFF"/>
        </w:rPr>
        <w:t>国家卫生健康委</w:t>
      </w:r>
      <w:r>
        <w:rPr>
          <w:rFonts w:hint="eastAsia" w:asciiTheme="minorEastAsia" w:hAnsiTheme="minorEastAsia"/>
          <w:color w:val="auto"/>
          <w:sz w:val="24"/>
          <w:szCs w:val="24"/>
          <w:highlight w:val="none"/>
        </w:rPr>
        <w:t>以部门规章形式公布《医疗质量管理办法》，进一步明确了质控组织在医疗质量管理与控制体系中的作用。为引导质控中心规范健康发展，结合实践经验，在以往工作的基础上，</w:t>
      </w:r>
      <w:r>
        <w:rPr>
          <w:rFonts w:hint="eastAsia"/>
          <w:bCs/>
          <w:color w:val="auto"/>
          <w:sz w:val="24"/>
          <w:szCs w:val="24"/>
          <w:highlight w:val="none"/>
          <w:shd w:val="clear" w:color="auto" w:fill="FFFFFF"/>
        </w:rPr>
        <w:t>国家卫生健康委</w:t>
      </w:r>
      <w:r>
        <w:rPr>
          <w:rFonts w:hint="eastAsia" w:asciiTheme="minorEastAsia" w:hAnsiTheme="minorEastAsia"/>
          <w:color w:val="auto"/>
          <w:sz w:val="24"/>
          <w:szCs w:val="24"/>
          <w:highlight w:val="none"/>
        </w:rPr>
        <w:t>组织制定了《医疗质量控制中心管理规定》（以下简称《规定》）。</w:t>
      </w:r>
    </w:p>
    <w:p w14:paraId="1FA1F9F2">
      <w:pPr>
        <w:spacing w:line="276" w:lineRule="auto"/>
        <w:ind w:firstLine="480" w:firstLineChars="200"/>
        <w:rPr>
          <w:rFonts w:ascii="宋体" w:hAnsi="宋体" w:eastAsia="宋体"/>
          <w:color w:val="auto"/>
          <w:sz w:val="24"/>
          <w:szCs w:val="24"/>
          <w:highlight w:val="none"/>
        </w:rPr>
      </w:pPr>
      <w:r>
        <w:rPr>
          <w:rFonts w:hint="eastAsia" w:asciiTheme="minorEastAsia" w:hAnsiTheme="minorEastAsia"/>
          <w:color w:val="auto"/>
          <w:sz w:val="24"/>
          <w:szCs w:val="24"/>
          <w:highlight w:val="none"/>
        </w:rPr>
        <w:t>为完善质控网络建设，加强医疗质量安全管理，根据《柳州市卫生健康委员会关于开展市级医疗质量控制中心管理能力提升行动的通知》精神，</w:t>
      </w:r>
      <w:r>
        <w:rPr>
          <w:rFonts w:hint="eastAsia" w:ascii="宋体" w:hAnsi="宋体" w:eastAsia="宋体"/>
          <w:color w:val="auto"/>
          <w:sz w:val="24"/>
          <w:szCs w:val="24"/>
          <w:highlight w:val="none"/>
        </w:rPr>
        <w:t>通过市医学信息质控中心</w:t>
      </w:r>
      <w:r>
        <w:rPr>
          <w:rFonts w:hint="eastAsia" w:asciiTheme="minorEastAsia" w:hAnsiTheme="minorEastAsia"/>
          <w:color w:val="auto"/>
          <w:sz w:val="24"/>
          <w:szCs w:val="24"/>
          <w:highlight w:val="none"/>
        </w:rPr>
        <w:t>（以下简称</w:t>
      </w:r>
      <w:r>
        <w:rPr>
          <w:rFonts w:hint="eastAsia" w:asciiTheme="minorEastAsia" w:hAnsiTheme="minorEastAsia"/>
          <w:color w:val="auto"/>
          <w:sz w:val="24"/>
          <w:szCs w:val="24"/>
          <w:highlight w:val="none"/>
          <w:lang w:val="en-US" w:eastAsia="zh-CN"/>
        </w:rPr>
        <w:t>中心</w:t>
      </w:r>
      <w:r>
        <w:rPr>
          <w:rFonts w:hint="eastAsia" w:asciiTheme="minorEastAsia" w:hAnsiTheme="minorEastAsia"/>
          <w:color w:val="auto"/>
          <w:sz w:val="24"/>
          <w:szCs w:val="24"/>
          <w:highlight w:val="none"/>
        </w:rPr>
        <w:t>）</w:t>
      </w:r>
      <w:r>
        <w:rPr>
          <w:rFonts w:hint="eastAsia" w:ascii="宋体" w:hAnsi="宋体" w:eastAsia="宋体"/>
          <w:color w:val="auto"/>
          <w:sz w:val="24"/>
          <w:szCs w:val="24"/>
          <w:highlight w:val="none"/>
        </w:rPr>
        <w:t>牵头构建一套医疗质量控制中心信息化管理平台，实现跨医院医疗质量控制管理，实现质控</w:t>
      </w:r>
      <w:r>
        <w:rPr>
          <w:rFonts w:hint="eastAsia" w:ascii="宋体" w:hAnsi="宋体" w:eastAsia="宋体"/>
          <w:color w:val="auto"/>
          <w:sz w:val="24"/>
          <w:szCs w:val="24"/>
          <w:highlight w:val="none"/>
          <w:lang w:eastAsia="zh-CN"/>
        </w:rPr>
        <w:t>单位</w:t>
      </w:r>
      <w:r>
        <w:rPr>
          <w:rFonts w:hint="eastAsia" w:ascii="宋体" w:hAnsi="宋体" w:eastAsia="宋体"/>
          <w:color w:val="auto"/>
          <w:sz w:val="24"/>
          <w:szCs w:val="24"/>
          <w:highlight w:val="none"/>
        </w:rPr>
        <w:t>的</w:t>
      </w:r>
      <w:r>
        <w:rPr>
          <w:rFonts w:hint="eastAsia" w:eastAsia="宋体"/>
          <w:color w:val="auto"/>
          <w:sz w:val="24"/>
          <w:szCs w:val="24"/>
          <w:highlight w:val="none"/>
        </w:rPr>
        <w:t>质控</w:t>
      </w:r>
      <w:r>
        <w:rPr>
          <w:rFonts w:hint="eastAsia"/>
          <w:color w:val="auto"/>
          <w:sz w:val="24"/>
          <w:szCs w:val="24"/>
          <w:highlight w:val="none"/>
        </w:rPr>
        <w:t>规划、管理和考核工作</w:t>
      </w:r>
      <w:r>
        <w:rPr>
          <w:rFonts w:hint="eastAsia" w:ascii="宋体" w:hAnsi="宋体" w:eastAsia="宋体"/>
          <w:color w:val="auto"/>
          <w:sz w:val="24"/>
          <w:szCs w:val="24"/>
          <w:highlight w:val="none"/>
        </w:rPr>
        <w:t>，依托质控中心信息化平台，建设科学、合理的智能化医疗质量管理新模式。</w:t>
      </w:r>
    </w:p>
    <w:p w14:paraId="2B582CA8">
      <w:pPr>
        <w:spacing w:line="276"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通过我市级医疗质量管理信息化项目建设，实现跨医院、跨系统的医疗质量管理与控制，实现质控</w:t>
      </w:r>
      <w:r>
        <w:rPr>
          <w:rFonts w:hint="eastAsia" w:asciiTheme="minorEastAsia" w:hAnsiTheme="minorEastAsia"/>
          <w:color w:val="auto"/>
          <w:sz w:val="24"/>
          <w:szCs w:val="24"/>
          <w:highlight w:val="none"/>
          <w:lang w:eastAsia="zh-CN"/>
        </w:rPr>
        <w:t>单位</w:t>
      </w:r>
      <w:r>
        <w:rPr>
          <w:rFonts w:hint="eastAsia" w:asciiTheme="minorEastAsia" w:hAnsiTheme="minorEastAsia"/>
          <w:color w:val="auto"/>
          <w:sz w:val="24"/>
          <w:szCs w:val="24"/>
          <w:highlight w:val="none"/>
        </w:rPr>
        <w:t>的数据上报，依托质控中心信息化平台，建设科学、合理的智能化医疗质量管理新模式。</w:t>
      </w:r>
    </w:p>
    <w:p w14:paraId="119B6C2D">
      <w:pPr>
        <w:pStyle w:val="11"/>
        <w:numPr>
          <w:ilvl w:val="0"/>
          <w:numId w:val="2"/>
        </w:numPr>
        <w:spacing w:line="312" w:lineRule="auto"/>
        <w:ind w:left="720" w:leftChars="0" w:hanging="720" w:firstLineChars="0"/>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项目总体要求</w:t>
      </w:r>
    </w:p>
    <w:p w14:paraId="140E689E">
      <w:pPr>
        <w:pStyle w:val="4"/>
        <w:ind w:firstLine="420" w:firstLineChars="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须提供系统涉及的所有操作系统、数据库、中间件等</w:t>
      </w:r>
      <w:r>
        <w:rPr>
          <w:rFonts w:hint="eastAsia" w:ascii="宋体" w:hAnsi="宋体" w:eastAsia="宋体" w:cs="宋体"/>
          <w:color w:val="auto"/>
          <w:sz w:val="24"/>
          <w:highlight w:val="none"/>
          <w:lang w:val="en-US" w:eastAsia="zh-CN"/>
        </w:rPr>
        <w:t>的适配改造</w:t>
      </w:r>
      <w:r>
        <w:rPr>
          <w:rFonts w:hint="eastAsia" w:ascii="宋体" w:hAnsi="宋体" w:eastAsia="宋体" w:cs="宋体"/>
          <w:color w:val="auto"/>
          <w:sz w:val="24"/>
          <w:highlight w:val="none"/>
          <w:lang w:val="en-US"/>
        </w:rPr>
        <w:t>，并不再收费。</w:t>
      </w:r>
    </w:p>
    <w:p w14:paraId="4C994CD4">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须支持主流的WIN7 (32位及64位)、WIN10 、WIN11以及安卓、鸿蒙、iOS等操作系统。</w:t>
      </w:r>
    </w:p>
    <w:p w14:paraId="26F837A8">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能实现与</w:t>
      </w:r>
      <w:r>
        <w:rPr>
          <w:rFonts w:hint="eastAsia" w:ascii="宋体" w:hAnsi="宋体" w:eastAsia="宋体" w:cs="宋体"/>
          <w:color w:val="auto"/>
          <w:sz w:val="24"/>
          <w:highlight w:val="none"/>
          <w:lang w:val="en-US" w:eastAsia="zh-CN"/>
        </w:rPr>
        <w:t>卫生医疗行业</w:t>
      </w:r>
      <w:r>
        <w:rPr>
          <w:rFonts w:hint="eastAsia" w:ascii="宋体" w:hAnsi="宋体" w:eastAsia="宋体" w:cs="宋体"/>
          <w:color w:val="auto"/>
          <w:sz w:val="24"/>
          <w:highlight w:val="none"/>
          <w:lang w:val="en-US"/>
        </w:rPr>
        <w:t>其他信息系统包含但不限于HIS系统、医疗大数据中心、CA数字证书等系统的互联互通、数据共享；</w:t>
      </w:r>
    </w:p>
    <w:p w14:paraId="2A77CF3F">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2.4 </w:t>
      </w:r>
      <w:r>
        <w:rPr>
          <w:rFonts w:hint="eastAsia" w:ascii="宋体" w:hAnsi="宋体" w:eastAsia="宋体" w:cs="宋体"/>
          <w:color w:val="auto"/>
          <w:sz w:val="24"/>
          <w:highlight w:val="none"/>
          <w:lang w:val="en-US"/>
        </w:rPr>
        <w:t>保证数据的开放性，如存在加密数据，需提供解密方法。</w:t>
      </w:r>
    </w:p>
    <w:p w14:paraId="7F0656B3">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2.5 </w:t>
      </w:r>
      <w:r>
        <w:rPr>
          <w:rFonts w:hint="eastAsia" w:ascii="宋体" w:hAnsi="宋体" w:eastAsia="宋体" w:cs="宋体"/>
          <w:color w:val="auto"/>
          <w:sz w:val="24"/>
          <w:highlight w:val="none"/>
          <w:lang w:val="en-US"/>
        </w:rPr>
        <w:t>系统扩展性好，便于二次开发。</w:t>
      </w:r>
    </w:p>
    <w:p w14:paraId="5C0A1388">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2.6 </w:t>
      </w:r>
      <w:r>
        <w:rPr>
          <w:rFonts w:hint="eastAsia" w:ascii="宋体" w:hAnsi="宋体" w:eastAsia="宋体" w:cs="宋体"/>
          <w:color w:val="auto"/>
          <w:sz w:val="24"/>
          <w:highlight w:val="none"/>
          <w:lang w:val="en-US"/>
        </w:rPr>
        <w:t>异常处理机制完善，有清晰明确的报错信息:有详细的日志记录，便于排查问题。</w:t>
      </w:r>
    </w:p>
    <w:p w14:paraId="48F94DAE">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2.7 </w:t>
      </w:r>
      <w:r>
        <w:rPr>
          <w:rFonts w:hint="eastAsia" w:ascii="宋体" w:hAnsi="宋体" w:eastAsia="宋体" w:cs="宋体"/>
          <w:color w:val="auto"/>
          <w:sz w:val="24"/>
          <w:highlight w:val="none"/>
          <w:lang w:val="en-US"/>
        </w:rPr>
        <w:t>系统可配置性高，能通过配置文件完成各种功能、参数的设置。</w:t>
      </w:r>
    </w:p>
    <w:p w14:paraId="4A9B932F">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2.8 </w:t>
      </w:r>
      <w:r>
        <w:rPr>
          <w:rFonts w:hint="eastAsia" w:ascii="宋体" w:hAnsi="宋体" w:eastAsia="宋体" w:cs="宋体"/>
          <w:color w:val="auto"/>
          <w:sz w:val="24"/>
          <w:highlight w:val="none"/>
          <w:lang w:val="en-US"/>
        </w:rPr>
        <w:t>系统运行稳定，业务处理高性能快速响应，界面友好，操作简便。</w:t>
      </w:r>
    </w:p>
    <w:p w14:paraId="18981D52">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2.9 </w:t>
      </w:r>
      <w:r>
        <w:rPr>
          <w:rFonts w:hint="eastAsia" w:ascii="宋体" w:hAnsi="宋体" w:eastAsia="宋体" w:cs="宋体"/>
          <w:color w:val="auto"/>
          <w:sz w:val="24"/>
          <w:highlight w:val="none"/>
          <w:lang w:val="en-US"/>
        </w:rPr>
        <w:t>系统要有完备的应急预案，保证业务运行的连续性。</w:t>
      </w:r>
    </w:p>
    <w:p w14:paraId="7213EF05">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0 </w:t>
      </w:r>
      <w:r>
        <w:rPr>
          <w:rFonts w:hint="eastAsia" w:ascii="宋体" w:hAnsi="宋体" w:eastAsia="宋体" w:cs="宋体"/>
          <w:color w:val="auto"/>
          <w:sz w:val="24"/>
          <w:highlight w:val="none"/>
          <w:lang w:val="en-US"/>
        </w:rPr>
        <w:t>提供自动保护功能，当故障发生时自动保护当前所有状态,保证系统能够进行恢复。</w:t>
      </w:r>
    </w:p>
    <w:p w14:paraId="138780FB">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lang w:val="en-US"/>
        </w:rPr>
        <w:t>系统权限设定应当遵循最小授权原则。</w:t>
      </w:r>
    </w:p>
    <w:p w14:paraId="694F1C05">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lang w:val="en-US"/>
        </w:rPr>
        <w:t>系统满足访问控制、安全审计、剩余信息保护、软件容错等信息系统安全等级保护(三级)的其他规范要求。</w:t>
      </w:r>
    </w:p>
    <w:p w14:paraId="3EF978DA">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3 </w:t>
      </w:r>
      <w:r>
        <w:rPr>
          <w:rFonts w:hint="eastAsia" w:ascii="宋体" w:hAnsi="宋体" w:eastAsia="宋体" w:cs="宋体"/>
          <w:color w:val="auto"/>
          <w:sz w:val="24"/>
          <w:highlight w:val="none"/>
          <w:lang w:val="en-US"/>
        </w:rPr>
        <w:t>开放端口。系统支持多机构管理。</w:t>
      </w:r>
    </w:p>
    <w:p w14:paraId="4FFEDB37">
      <w:pPr>
        <w:pStyle w:val="2"/>
        <w:spacing w:after="0" w:line="312" w:lineRule="auto"/>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4 </w:t>
      </w:r>
      <w:r>
        <w:rPr>
          <w:rFonts w:hint="eastAsia" w:ascii="宋体" w:hAnsi="宋体" w:eastAsia="宋体" w:cs="宋体"/>
          <w:color w:val="auto"/>
          <w:sz w:val="24"/>
          <w:highlight w:val="none"/>
          <w:lang w:val="en-US"/>
        </w:rPr>
        <w:t>系统涉及的所有数据应具有完善的隐私保护机制，确保数据不泄露，且只能用于本</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lang w:val="en-US"/>
        </w:rPr>
        <w:t>的相关业务。</w:t>
      </w:r>
    </w:p>
    <w:p w14:paraId="721E6EFD">
      <w:pPr>
        <w:pStyle w:val="2"/>
        <w:spacing w:after="0" w:line="312" w:lineRule="auto"/>
        <w:ind w:firstLine="420"/>
        <w:rPr>
          <w:rFonts w:hint="eastAsia" w:ascii="宋体" w:hAnsi="宋体" w:eastAsia="宋体"/>
          <w:b/>
          <w:color w:val="auto"/>
          <w:sz w:val="28"/>
          <w:szCs w:val="28"/>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5 </w:t>
      </w:r>
      <w:r>
        <w:rPr>
          <w:rFonts w:hint="eastAsia" w:ascii="宋体" w:hAnsi="宋体" w:eastAsia="宋体" w:cs="宋体"/>
          <w:color w:val="auto"/>
          <w:sz w:val="24"/>
          <w:highlight w:val="none"/>
          <w:lang w:val="en-US"/>
        </w:rPr>
        <w:t>硬件设备通信速率及稳定性、移动设备的续航能力应满足实际业务要求。</w:t>
      </w:r>
    </w:p>
    <w:p w14:paraId="3BCF7460">
      <w:pPr>
        <w:pStyle w:val="11"/>
        <w:numPr>
          <w:ilvl w:val="0"/>
          <w:numId w:val="2"/>
        </w:numPr>
        <w:spacing w:line="312" w:lineRule="auto"/>
        <w:ind w:left="720" w:leftChars="0" w:hanging="720" w:firstLineChars="0"/>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项目建设内容及要求</w:t>
      </w:r>
    </w:p>
    <w:tbl>
      <w:tblPr>
        <w:tblStyle w:val="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66"/>
        <w:gridCol w:w="1155"/>
        <w:gridCol w:w="4788"/>
        <w:gridCol w:w="714"/>
      </w:tblGrid>
      <w:tr w14:paraId="42B4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14:paraId="704F040A">
            <w:pPr>
              <w:spacing w:line="312" w:lineRule="auto"/>
              <w:jc w:val="center"/>
              <w:rPr>
                <w:rFonts w:ascii="宋体" w:hAnsi="宋体" w:eastAsia="宋体"/>
                <w:color w:val="auto"/>
                <w:highlight w:val="none"/>
              </w:rPr>
            </w:pPr>
            <w:r>
              <w:rPr>
                <w:rFonts w:hint="eastAsia" w:ascii="宋体" w:hAnsi="宋体" w:eastAsia="宋体"/>
                <w:color w:val="auto"/>
                <w:highlight w:val="none"/>
              </w:rPr>
              <w:t>序号</w:t>
            </w:r>
          </w:p>
        </w:tc>
        <w:tc>
          <w:tcPr>
            <w:tcW w:w="966" w:type="dxa"/>
          </w:tcPr>
          <w:p w14:paraId="00F40430">
            <w:pPr>
              <w:spacing w:line="312" w:lineRule="auto"/>
              <w:jc w:val="center"/>
              <w:rPr>
                <w:rFonts w:ascii="宋体" w:hAnsi="宋体" w:eastAsia="宋体"/>
                <w:color w:val="auto"/>
                <w:highlight w:val="none"/>
              </w:rPr>
            </w:pPr>
            <w:r>
              <w:rPr>
                <w:rFonts w:hint="eastAsia" w:ascii="宋体" w:hAnsi="宋体" w:eastAsia="宋体"/>
                <w:color w:val="auto"/>
                <w:highlight w:val="none"/>
              </w:rPr>
              <w:t>模块</w:t>
            </w:r>
          </w:p>
        </w:tc>
        <w:tc>
          <w:tcPr>
            <w:tcW w:w="1155" w:type="dxa"/>
          </w:tcPr>
          <w:p w14:paraId="19A2A3A1">
            <w:pPr>
              <w:spacing w:line="312" w:lineRule="auto"/>
              <w:jc w:val="center"/>
              <w:rPr>
                <w:rFonts w:ascii="宋体" w:hAnsi="宋体" w:eastAsia="宋体"/>
                <w:color w:val="auto"/>
                <w:highlight w:val="none"/>
              </w:rPr>
            </w:pPr>
            <w:r>
              <w:rPr>
                <w:rFonts w:hint="eastAsia" w:ascii="宋体" w:hAnsi="宋体" w:eastAsia="宋体"/>
                <w:color w:val="auto"/>
                <w:highlight w:val="none"/>
              </w:rPr>
              <w:t>功能</w:t>
            </w:r>
          </w:p>
        </w:tc>
        <w:tc>
          <w:tcPr>
            <w:tcW w:w="4788" w:type="dxa"/>
          </w:tcPr>
          <w:p w14:paraId="04CB9F5C">
            <w:pPr>
              <w:spacing w:line="312" w:lineRule="auto"/>
              <w:jc w:val="center"/>
              <w:rPr>
                <w:rFonts w:ascii="宋体" w:hAnsi="宋体" w:eastAsia="宋体"/>
                <w:color w:val="auto"/>
                <w:highlight w:val="none"/>
              </w:rPr>
            </w:pPr>
            <w:r>
              <w:rPr>
                <w:rFonts w:hint="eastAsia" w:ascii="宋体" w:hAnsi="宋体" w:eastAsia="宋体"/>
                <w:color w:val="auto"/>
                <w:highlight w:val="none"/>
              </w:rPr>
              <w:t>内涵描述</w:t>
            </w:r>
          </w:p>
        </w:tc>
        <w:tc>
          <w:tcPr>
            <w:tcW w:w="714" w:type="dxa"/>
          </w:tcPr>
          <w:p w14:paraId="101C756B">
            <w:pPr>
              <w:spacing w:line="312" w:lineRule="auto"/>
              <w:jc w:val="center"/>
              <w:rPr>
                <w:rFonts w:ascii="宋体" w:hAnsi="宋体" w:eastAsia="宋体"/>
                <w:color w:val="auto"/>
                <w:highlight w:val="none"/>
              </w:rPr>
            </w:pPr>
            <w:r>
              <w:rPr>
                <w:rFonts w:hint="eastAsia" w:ascii="宋体" w:hAnsi="宋体" w:eastAsia="宋体"/>
                <w:color w:val="auto"/>
                <w:highlight w:val="none"/>
              </w:rPr>
              <w:t>质保</w:t>
            </w:r>
          </w:p>
        </w:tc>
      </w:tr>
      <w:tr w14:paraId="3655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49107B15">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1</w:t>
            </w:r>
          </w:p>
        </w:tc>
        <w:tc>
          <w:tcPr>
            <w:tcW w:w="966" w:type="dxa"/>
            <w:vMerge w:val="restart"/>
            <w:vAlign w:val="center"/>
          </w:tcPr>
          <w:p w14:paraId="7D695D36">
            <w:pPr>
              <w:spacing w:line="312" w:lineRule="auto"/>
              <w:jc w:val="center"/>
              <w:rPr>
                <w:rFonts w:ascii="宋体" w:hAnsi="宋体" w:eastAsia="宋体"/>
                <w:color w:val="auto"/>
                <w:highlight w:val="none"/>
              </w:rPr>
            </w:pPr>
            <w:r>
              <w:rPr>
                <w:rFonts w:hint="eastAsia" w:ascii="宋体" w:hAnsi="宋体" w:eastAsia="宋体"/>
                <w:color w:val="auto"/>
                <w:highlight w:val="none"/>
              </w:rPr>
              <w:t>质控规划与任务管理</w:t>
            </w:r>
          </w:p>
        </w:tc>
        <w:tc>
          <w:tcPr>
            <w:tcW w:w="1155" w:type="dxa"/>
            <w:vAlign w:val="center"/>
          </w:tcPr>
          <w:p w14:paraId="454B43E1">
            <w:pPr>
              <w:spacing w:line="312" w:lineRule="auto"/>
              <w:jc w:val="center"/>
              <w:rPr>
                <w:rFonts w:ascii="宋体" w:hAnsi="宋体" w:eastAsia="宋体"/>
                <w:color w:val="auto"/>
                <w:highlight w:val="none"/>
              </w:rPr>
            </w:pPr>
            <w:r>
              <w:rPr>
                <w:rFonts w:hint="eastAsia" w:ascii="宋体" w:hAnsi="宋体" w:eastAsia="宋体"/>
                <w:color w:val="auto"/>
                <w:highlight w:val="none"/>
              </w:rPr>
              <w:t>年度计划制定</w:t>
            </w:r>
          </w:p>
        </w:tc>
        <w:tc>
          <w:tcPr>
            <w:tcW w:w="4788" w:type="dxa"/>
          </w:tcPr>
          <w:p w14:paraId="4B85E1F6">
            <w:pPr>
              <w:spacing w:line="312" w:lineRule="auto"/>
              <w:jc w:val="left"/>
              <w:rPr>
                <w:rFonts w:ascii="宋体" w:hAnsi="宋体" w:eastAsia="宋体"/>
                <w:color w:val="auto"/>
                <w:highlight w:val="none"/>
              </w:rPr>
            </w:pPr>
            <w:r>
              <w:rPr>
                <w:rFonts w:hint="eastAsia" w:ascii="宋体" w:hAnsi="宋体" w:eastAsia="宋体"/>
                <w:color w:val="auto"/>
                <w:highlight w:val="none"/>
              </w:rPr>
              <w:t>支持可视化甘特图制定年度计划，自动生成关键节点提醒（如质控活动截止日期、会议安排）；提供模板库功能，内置计划模板</w:t>
            </w:r>
          </w:p>
        </w:tc>
        <w:tc>
          <w:tcPr>
            <w:tcW w:w="714" w:type="dxa"/>
            <w:vMerge w:val="restart"/>
          </w:tcPr>
          <w:p w14:paraId="68C856AF">
            <w:pPr>
              <w:spacing w:line="312" w:lineRule="auto"/>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三年</w:t>
            </w:r>
          </w:p>
        </w:tc>
      </w:tr>
      <w:tr w14:paraId="6B25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41BEBD8">
            <w:pPr>
              <w:spacing w:line="312" w:lineRule="auto"/>
              <w:jc w:val="center"/>
              <w:rPr>
                <w:rFonts w:ascii="宋体" w:hAnsi="宋体" w:eastAsia="宋体"/>
                <w:color w:val="auto"/>
                <w:highlight w:val="none"/>
              </w:rPr>
            </w:pPr>
          </w:p>
        </w:tc>
        <w:tc>
          <w:tcPr>
            <w:tcW w:w="966" w:type="dxa"/>
            <w:vMerge w:val="continue"/>
            <w:vAlign w:val="center"/>
          </w:tcPr>
          <w:p w14:paraId="3438F4B6">
            <w:pPr>
              <w:spacing w:line="312" w:lineRule="auto"/>
              <w:jc w:val="center"/>
              <w:rPr>
                <w:rFonts w:ascii="宋体" w:hAnsi="宋体" w:eastAsia="宋体"/>
                <w:color w:val="auto"/>
                <w:highlight w:val="none"/>
              </w:rPr>
            </w:pPr>
          </w:p>
        </w:tc>
        <w:tc>
          <w:tcPr>
            <w:tcW w:w="1155" w:type="dxa"/>
            <w:vAlign w:val="center"/>
          </w:tcPr>
          <w:p w14:paraId="16E61E8D">
            <w:pPr>
              <w:spacing w:line="312" w:lineRule="auto"/>
              <w:jc w:val="center"/>
              <w:rPr>
                <w:rFonts w:ascii="宋体" w:hAnsi="宋体" w:eastAsia="宋体"/>
                <w:color w:val="auto"/>
                <w:highlight w:val="none"/>
              </w:rPr>
            </w:pPr>
            <w:r>
              <w:rPr>
                <w:rFonts w:hint="eastAsia" w:ascii="宋体" w:hAnsi="宋体" w:eastAsia="宋体"/>
                <w:color w:val="auto"/>
                <w:highlight w:val="none"/>
              </w:rPr>
              <w:t>任务发布与跟踪</w:t>
            </w:r>
          </w:p>
        </w:tc>
        <w:tc>
          <w:tcPr>
            <w:tcW w:w="4788" w:type="dxa"/>
          </w:tcPr>
          <w:p w14:paraId="087EFB39">
            <w:pPr>
              <w:spacing w:line="312" w:lineRule="auto"/>
              <w:jc w:val="left"/>
              <w:rPr>
                <w:rFonts w:ascii="宋体" w:hAnsi="宋体"/>
                <w:color w:val="auto"/>
                <w:highlight w:val="none"/>
              </w:rPr>
            </w:pPr>
            <w:r>
              <w:rPr>
                <w:rFonts w:hint="eastAsia"/>
                <w:color w:val="auto"/>
                <w:highlight w:val="none"/>
              </w:rPr>
              <w:t>支持分级任务下发（市级→中心→院级），任务状态实时追踪（待处理/进行中/逾期/完成）；内置智能分派引擎，根据专家库成员资质自动匹配检查任务</w:t>
            </w:r>
          </w:p>
        </w:tc>
        <w:tc>
          <w:tcPr>
            <w:tcW w:w="714" w:type="dxa"/>
            <w:vMerge w:val="continue"/>
          </w:tcPr>
          <w:p w14:paraId="122EF71D">
            <w:pPr>
              <w:spacing w:line="312" w:lineRule="auto"/>
              <w:jc w:val="left"/>
              <w:rPr>
                <w:rFonts w:ascii="宋体" w:hAnsi="宋体" w:eastAsia="宋体"/>
                <w:color w:val="auto"/>
                <w:highlight w:val="none"/>
              </w:rPr>
            </w:pPr>
          </w:p>
        </w:tc>
      </w:tr>
      <w:tr w14:paraId="31ED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0058D10">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2</w:t>
            </w:r>
          </w:p>
        </w:tc>
        <w:tc>
          <w:tcPr>
            <w:tcW w:w="966" w:type="dxa"/>
            <w:vMerge w:val="restart"/>
            <w:vAlign w:val="center"/>
          </w:tcPr>
          <w:p w14:paraId="5A9E0894">
            <w:pPr>
              <w:spacing w:line="312" w:lineRule="auto"/>
              <w:jc w:val="center"/>
              <w:rPr>
                <w:rFonts w:ascii="宋体" w:hAnsi="宋体" w:eastAsia="宋体"/>
                <w:color w:val="auto"/>
                <w:highlight w:val="none"/>
              </w:rPr>
            </w:pPr>
            <w:r>
              <w:rPr>
                <w:rFonts w:hint="eastAsia" w:ascii="宋体" w:hAnsi="宋体" w:eastAsia="宋体"/>
                <w:color w:val="auto"/>
                <w:highlight w:val="none"/>
              </w:rPr>
              <w:t>年度考核任务配置与追踪</w:t>
            </w:r>
          </w:p>
        </w:tc>
        <w:tc>
          <w:tcPr>
            <w:tcW w:w="1155" w:type="dxa"/>
            <w:vAlign w:val="center"/>
          </w:tcPr>
          <w:p w14:paraId="7BF5D5FC">
            <w:pPr>
              <w:spacing w:line="312" w:lineRule="auto"/>
              <w:jc w:val="center"/>
              <w:rPr>
                <w:rFonts w:ascii="宋体" w:hAnsi="宋体" w:eastAsia="宋体"/>
                <w:color w:val="auto"/>
                <w:highlight w:val="none"/>
              </w:rPr>
            </w:pPr>
            <w:r>
              <w:rPr>
                <w:rFonts w:hint="eastAsia" w:ascii="宋体" w:hAnsi="宋体" w:eastAsia="宋体"/>
                <w:color w:val="auto"/>
                <w:highlight w:val="none"/>
              </w:rPr>
              <w:t>多级任务分解与量化指标</w:t>
            </w:r>
          </w:p>
        </w:tc>
        <w:tc>
          <w:tcPr>
            <w:tcW w:w="4788" w:type="dxa"/>
          </w:tcPr>
          <w:p w14:paraId="21B30737">
            <w:pPr>
              <w:spacing w:line="312" w:lineRule="auto"/>
              <w:jc w:val="left"/>
              <w:rPr>
                <w:color w:val="auto"/>
                <w:highlight w:val="none"/>
              </w:rPr>
            </w:pPr>
            <w:r>
              <w:rPr>
                <w:rFonts w:hint="eastAsia"/>
                <w:color w:val="auto"/>
                <w:highlight w:val="none"/>
              </w:rPr>
              <w:t>支持将市级考核目标逐级拆解，允许自定义考核指标权重；自动生成可量化的任务执行进度看板（如完成率、逾期率）</w:t>
            </w:r>
          </w:p>
        </w:tc>
        <w:tc>
          <w:tcPr>
            <w:tcW w:w="714" w:type="dxa"/>
            <w:vMerge w:val="continue"/>
          </w:tcPr>
          <w:p w14:paraId="6E72AE9A">
            <w:pPr>
              <w:spacing w:line="312" w:lineRule="auto"/>
              <w:jc w:val="left"/>
              <w:rPr>
                <w:rFonts w:ascii="宋体" w:hAnsi="宋体" w:eastAsia="宋体"/>
                <w:color w:val="auto"/>
                <w:highlight w:val="none"/>
              </w:rPr>
            </w:pPr>
          </w:p>
        </w:tc>
      </w:tr>
      <w:tr w14:paraId="448A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2" w:type="dxa"/>
            <w:vMerge w:val="continue"/>
            <w:vAlign w:val="center"/>
          </w:tcPr>
          <w:p w14:paraId="57083BE3">
            <w:pPr>
              <w:spacing w:line="312" w:lineRule="auto"/>
              <w:jc w:val="center"/>
              <w:rPr>
                <w:rFonts w:ascii="宋体" w:hAnsi="宋体" w:eastAsia="宋体"/>
                <w:color w:val="auto"/>
                <w:highlight w:val="none"/>
              </w:rPr>
            </w:pPr>
          </w:p>
        </w:tc>
        <w:tc>
          <w:tcPr>
            <w:tcW w:w="966" w:type="dxa"/>
            <w:vMerge w:val="continue"/>
            <w:vAlign w:val="center"/>
          </w:tcPr>
          <w:p w14:paraId="33229FFD">
            <w:pPr>
              <w:spacing w:line="312" w:lineRule="auto"/>
              <w:jc w:val="center"/>
              <w:rPr>
                <w:rFonts w:ascii="宋体" w:hAnsi="宋体" w:eastAsia="宋体"/>
                <w:color w:val="auto"/>
                <w:highlight w:val="none"/>
              </w:rPr>
            </w:pPr>
          </w:p>
        </w:tc>
        <w:tc>
          <w:tcPr>
            <w:tcW w:w="1155" w:type="dxa"/>
            <w:vAlign w:val="center"/>
          </w:tcPr>
          <w:p w14:paraId="7937C4F4">
            <w:pPr>
              <w:spacing w:line="312" w:lineRule="auto"/>
              <w:jc w:val="center"/>
              <w:rPr>
                <w:rFonts w:ascii="宋体" w:hAnsi="宋体" w:eastAsia="宋体"/>
                <w:color w:val="auto"/>
                <w:highlight w:val="none"/>
              </w:rPr>
            </w:pPr>
            <w:r>
              <w:rPr>
                <w:rFonts w:hint="eastAsia" w:ascii="宋体" w:hAnsi="宋体" w:eastAsia="宋体"/>
                <w:color w:val="auto"/>
                <w:highlight w:val="none"/>
              </w:rPr>
              <w:t>考核流程自动化</w:t>
            </w:r>
          </w:p>
        </w:tc>
        <w:tc>
          <w:tcPr>
            <w:tcW w:w="4788" w:type="dxa"/>
          </w:tcPr>
          <w:p w14:paraId="229037DC">
            <w:pPr>
              <w:spacing w:line="312" w:lineRule="auto"/>
              <w:jc w:val="left"/>
              <w:rPr>
                <w:color w:val="auto"/>
                <w:highlight w:val="none"/>
              </w:rPr>
            </w:pPr>
            <w:r>
              <w:rPr>
                <w:rFonts w:hint="eastAsia"/>
                <w:color w:val="auto"/>
                <w:highlight w:val="none"/>
              </w:rPr>
              <w:t>内置考核模板库，支持一键生成《年度考核评分表》，自动触发考核任务提醒（如佐证材料上报截止前3天预警）</w:t>
            </w:r>
          </w:p>
          <w:p w14:paraId="401F2891">
            <w:pPr>
              <w:spacing w:line="312" w:lineRule="auto"/>
              <w:jc w:val="left"/>
              <w:rPr>
                <w:color w:val="auto"/>
                <w:highlight w:val="none"/>
              </w:rPr>
            </w:pPr>
            <w:r>
              <w:rPr>
                <w:rFonts w:hint="eastAsia"/>
                <w:color w:val="auto"/>
                <w:highlight w:val="none"/>
              </w:rPr>
              <w:t>支持线上专家评分（含电子签名+时间戳）、跨中心数据交叉检查，自动生成考核结果分级（优秀/良好/合格/不合格）及排名分析</w:t>
            </w:r>
          </w:p>
        </w:tc>
        <w:tc>
          <w:tcPr>
            <w:tcW w:w="714" w:type="dxa"/>
            <w:vMerge w:val="continue"/>
          </w:tcPr>
          <w:p w14:paraId="507880CD">
            <w:pPr>
              <w:spacing w:line="312" w:lineRule="auto"/>
              <w:jc w:val="left"/>
              <w:rPr>
                <w:rFonts w:ascii="宋体" w:hAnsi="宋体" w:eastAsia="宋体"/>
                <w:color w:val="auto"/>
                <w:highlight w:val="none"/>
              </w:rPr>
            </w:pPr>
          </w:p>
        </w:tc>
      </w:tr>
      <w:tr w14:paraId="0B62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2" w:type="dxa"/>
            <w:vMerge w:val="continue"/>
            <w:vAlign w:val="center"/>
          </w:tcPr>
          <w:p w14:paraId="36C66F96">
            <w:pPr>
              <w:spacing w:line="312" w:lineRule="auto"/>
              <w:jc w:val="center"/>
              <w:rPr>
                <w:rFonts w:ascii="宋体" w:hAnsi="宋体" w:eastAsia="宋体"/>
                <w:color w:val="auto"/>
                <w:highlight w:val="none"/>
              </w:rPr>
            </w:pPr>
          </w:p>
        </w:tc>
        <w:tc>
          <w:tcPr>
            <w:tcW w:w="966" w:type="dxa"/>
            <w:vMerge w:val="continue"/>
            <w:vAlign w:val="center"/>
          </w:tcPr>
          <w:p w14:paraId="732D819F">
            <w:pPr>
              <w:spacing w:line="312" w:lineRule="auto"/>
              <w:jc w:val="center"/>
              <w:rPr>
                <w:rFonts w:ascii="宋体" w:hAnsi="宋体" w:eastAsia="宋体"/>
                <w:color w:val="auto"/>
                <w:highlight w:val="none"/>
              </w:rPr>
            </w:pPr>
          </w:p>
        </w:tc>
        <w:tc>
          <w:tcPr>
            <w:tcW w:w="1155" w:type="dxa"/>
            <w:vAlign w:val="center"/>
          </w:tcPr>
          <w:p w14:paraId="36447ED1">
            <w:pPr>
              <w:spacing w:line="312" w:lineRule="auto"/>
              <w:jc w:val="center"/>
              <w:rPr>
                <w:rFonts w:ascii="宋体" w:hAnsi="宋体" w:eastAsia="宋体"/>
                <w:color w:val="auto"/>
                <w:highlight w:val="none"/>
              </w:rPr>
            </w:pPr>
            <w:r>
              <w:rPr>
                <w:rFonts w:hint="eastAsia" w:ascii="宋体" w:hAnsi="宋体" w:eastAsia="宋体"/>
                <w:color w:val="auto"/>
                <w:highlight w:val="none"/>
              </w:rPr>
              <w:t>挂靠单位动态调整机制</w:t>
            </w:r>
          </w:p>
        </w:tc>
        <w:tc>
          <w:tcPr>
            <w:tcW w:w="4788" w:type="dxa"/>
          </w:tcPr>
          <w:p w14:paraId="47CC46BE">
            <w:pPr>
              <w:spacing w:line="312" w:lineRule="auto"/>
              <w:jc w:val="left"/>
              <w:rPr>
                <w:color w:val="auto"/>
                <w:highlight w:val="none"/>
              </w:rPr>
            </w:pPr>
            <w:r>
              <w:rPr>
                <w:rFonts w:hint="eastAsia"/>
                <w:color w:val="auto"/>
                <w:highlight w:val="none"/>
              </w:rPr>
              <w:t>自动识别“管理周期内连续3次考核不合格”的挂靠单位，标记为需调整状态；</w:t>
            </w:r>
          </w:p>
          <w:p w14:paraId="7D0547F0">
            <w:pPr>
              <w:spacing w:line="312" w:lineRule="auto"/>
              <w:jc w:val="left"/>
              <w:rPr>
                <w:color w:val="auto"/>
                <w:highlight w:val="none"/>
              </w:rPr>
            </w:pPr>
            <w:r>
              <w:rPr>
                <w:rFonts w:hint="eastAsia"/>
                <w:color w:val="auto"/>
                <w:highlight w:val="none"/>
              </w:rPr>
              <w:t>提供挂靠单位评分模型，支持基于历史考核数据生成调整建议报告；</w:t>
            </w:r>
          </w:p>
        </w:tc>
        <w:tc>
          <w:tcPr>
            <w:tcW w:w="714" w:type="dxa"/>
            <w:vMerge w:val="continue"/>
          </w:tcPr>
          <w:p w14:paraId="73D1FDA0">
            <w:pPr>
              <w:spacing w:line="312" w:lineRule="auto"/>
              <w:jc w:val="left"/>
              <w:rPr>
                <w:rFonts w:ascii="宋体" w:hAnsi="宋体" w:eastAsia="宋体"/>
                <w:color w:val="auto"/>
                <w:highlight w:val="none"/>
              </w:rPr>
            </w:pPr>
          </w:p>
        </w:tc>
      </w:tr>
      <w:tr w14:paraId="0E4E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2EE7496E">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3</w:t>
            </w:r>
          </w:p>
        </w:tc>
        <w:tc>
          <w:tcPr>
            <w:tcW w:w="966" w:type="dxa"/>
            <w:vMerge w:val="restart"/>
            <w:vAlign w:val="center"/>
          </w:tcPr>
          <w:p w14:paraId="473B9E31">
            <w:pPr>
              <w:spacing w:line="312" w:lineRule="auto"/>
              <w:jc w:val="center"/>
              <w:rPr>
                <w:rFonts w:ascii="宋体" w:hAnsi="宋体" w:eastAsia="宋体"/>
                <w:color w:val="auto"/>
                <w:highlight w:val="none"/>
              </w:rPr>
            </w:pPr>
            <w:r>
              <w:rPr>
                <w:rFonts w:hint="eastAsia" w:ascii="宋体" w:hAnsi="宋体" w:eastAsia="宋体"/>
                <w:color w:val="auto"/>
                <w:highlight w:val="none"/>
              </w:rPr>
              <w:t>质控检查管理</w:t>
            </w:r>
          </w:p>
        </w:tc>
        <w:tc>
          <w:tcPr>
            <w:tcW w:w="1155" w:type="dxa"/>
            <w:vAlign w:val="center"/>
          </w:tcPr>
          <w:p w14:paraId="7617F450">
            <w:pPr>
              <w:spacing w:line="312" w:lineRule="auto"/>
              <w:jc w:val="center"/>
              <w:rPr>
                <w:rFonts w:ascii="宋体" w:hAnsi="宋体" w:eastAsia="宋体"/>
                <w:color w:val="auto"/>
                <w:highlight w:val="none"/>
              </w:rPr>
            </w:pPr>
            <w:r>
              <w:rPr>
                <w:rFonts w:hint="eastAsia" w:ascii="宋体" w:hAnsi="宋体" w:eastAsia="宋体"/>
                <w:color w:val="auto"/>
                <w:highlight w:val="none"/>
              </w:rPr>
              <w:t>电子化指标库</w:t>
            </w:r>
          </w:p>
        </w:tc>
        <w:tc>
          <w:tcPr>
            <w:tcW w:w="4788" w:type="dxa"/>
            <w:vAlign w:val="center"/>
          </w:tcPr>
          <w:p w14:paraId="12196699">
            <w:pPr>
              <w:spacing w:line="312" w:lineRule="auto"/>
              <w:jc w:val="left"/>
              <w:rPr>
                <w:rFonts w:ascii="宋体" w:hAnsi="宋体" w:eastAsia="宋体"/>
                <w:color w:val="auto"/>
                <w:highlight w:val="none"/>
              </w:rPr>
            </w:pPr>
            <w:r>
              <w:rPr>
                <w:rFonts w:hint="eastAsia" w:ascii="宋体" w:hAnsi="宋体" w:eastAsia="宋体"/>
                <w:color w:val="auto"/>
                <w:highlight w:val="none"/>
              </w:rPr>
              <w:t>预置国家医疗质控中心标准指标，支持自定义指标及动态更新；指标支持公式化逻辑校验</w:t>
            </w:r>
          </w:p>
        </w:tc>
        <w:tc>
          <w:tcPr>
            <w:tcW w:w="714" w:type="dxa"/>
            <w:vMerge w:val="continue"/>
            <w:vAlign w:val="center"/>
          </w:tcPr>
          <w:p w14:paraId="3011D324">
            <w:pPr>
              <w:spacing w:line="312" w:lineRule="auto"/>
              <w:jc w:val="left"/>
              <w:rPr>
                <w:rFonts w:ascii="宋体" w:hAnsi="宋体" w:eastAsia="宋体"/>
                <w:color w:val="auto"/>
                <w:highlight w:val="none"/>
              </w:rPr>
            </w:pPr>
          </w:p>
        </w:tc>
      </w:tr>
      <w:tr w14:paraId="00B8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7CB90957">
            <w:pPr>
              <w:spacing w:line="312" w:lineRule="auto"/>
              <w:jc w:val="center"/>
              <w:rPr>
                <w:rFonts w:ascii="宋体" w:hAnsi="宋体" w:eastAsia="宋体"/>
                <w:color w:val="auto"/>
                <w:highlight w:val="none"/>
              </w:rPr>
            </w:pPr>
          </w:p>
        </w:tc>
        <w:tc>
          <w:tcPr>
            <w:tcW w:w="966" w:type="dxa"/>
            <w:vMerge w:val="continue"/>
            <w:vAlign w:val="center"/>
          </w:tcPr>
          <w:p w14:paraId="5FDDE3F2">
            <w:pPr>
              <w:spacing w:line="312" w:lineRule="auto"/>
              <w:jc w:val="center"/>
              <w:rPr>
                <w:rFonts w:ascii="宋体" w:hAnsi="宋体" w:eastAsia="宋体"/>
                <w:color w:val="auto"/>
                <w:highlight w:val="none"/>
              </w:rPr>
            </w:pPr>
          </w:p>
        </w:tc>
        <w:tc>
          <w:tcPr>
            <w:tcW w:w="1155" w:type="dxa"/>
            <w:vAlign w:val="center"/>
          </w:tcPr>
          <w:p w14:paraId="525913FE">
            <w:pPr>
              <w:spacing w:line="312" w:lineRule="auto"/>
              <w:jc w:val="center"/>
              <w:rPr>
                <w:rFonts w:ascii="宋体" w:hAnsi="宋体" w:eastAsia="宋体"/>
                <w:color w:val="auto"/>
                <w:highlight w:val="none"/>
              </w:rPr>
            </w:pPr>
            <w:r>
              <w:rPr>
                <w:rFonts w:hint="eastAsia" w:ascii="宋体" w:hAnsi="宋体" w:eastAsia="宋体"/>
                <w:color w:val="auto"/>
                <w:highlight w:val="none"/>
              </w:rPr>
              <w:t>在线检查与评分</w:t>
            </w:r>
          </w:p>
        </w:tc>
        <w:tc>
          <w:tcPr>
            <w:tcW w:w="4788" w:type="dxa"/>
            <w:vAlign w:val="center"/>
          </w:tcPr>
          <w:p w14:paraId="126A06C2">
            <w:pPr>
              <w:spacing w:line="312" w:lineRule="auto"/>
              <w:jc w:val="left"/>
              <w:rPr>
                <w:rFonts w:ascii="宋体" w:hAnsi="宋体" w:eastAsia="宋体"/>
                <w:color w:val="auto"/>
                <w:highlight w:val="none"/>
              </w:rPr>
            </w:pPr>
            <w:r>
              <w:rPr>
                <w:rFonts w:hint="eastAsia" w:ascii="宋体" w:hAnsi="宋体" w:eastAsia="宋体"/>
                <w:color w:val="auto"/>
                <w:highlight w:val="none"/>
              </w:rPr>
              <w:t>提供移动端电子评分表，支持拍照上传佐证材料、手写签名及时间戳；自动生成多维度分析报告（如院际横向对比、历史趋势分析）</w:t>
            </w:r>
          </w:p>
        </w:tc>
        <w:tc>
          <w:tcPr>
            <w:tcW w:w="714" w:type="dxa"/>
            <w:vMerge w:val="continue"/>
            <w:vAlign w:val="center"/>
          </w:tcPr>
          <w:p w14:paraId="2DF1A854">
            <w:pPr>
              <w:spacing w:line="312" w:lineRule="auto"/>
              <w:jc w:val="left"/>
              <w:rPr>
                <w:rFonts w:ascii="宋体" w:hAnsi="宋体" w:eastAsia="宋体"/>
                <w:color w:val="auto"/>
                <w:highlight w:val="none"/>
              </w:rPr>
            </w:pPr>
          </w:p>
        </w:tc>
      </w:tr>
      <w:tr w14:paraId="11C3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34D6C98">
            <w:pPr>
              <w:spacing w:line="312" w:lineRule="auto"/>
              <w:jc w:val="center"/>
              <w:rPr>
                <w:rFonts w:ascii="宋体" w:hAnsi="宋体" w:eastAsia="宋体"/>
                <w:color w:val="auto"/>
                <w:highlight w:val="none"/>
              </w:rPr>
            </w:pPr>
          </w:p>
        </w:tc>
        <w:tc>
          <w:tcPr>
            <w:tcW w:w="966" w:type="dxa"/>
            <w:vMerge w:val="continue"/>
            <w:vAlign w:val="center"/>
          </w:tcPr>
          <w:p w14:paraId="713CCF12">
            <w:pPr>
              <w:spacing w:line="312" w:lineRule="auto"/>
              <w:jc w:val="center"/>
              <w:rPr>
                <w:rFonts w:ascii="宋体" w:hAnsi="宋体" w:eastAsia="宋体"/>
                <w:color w:val="auto"/>
                <w:highlight w:val="none"/>
              </w:rPr>
            </w:pPr>
          </w:p>
        </w:tc>
        <w:tc>
          <w:tcPr>
            <w:tcW w:w="1155" w:type="dxa"/>
            <w:vAlign w:val="center"/>
          </w:tcPr>
          <w:p w14:paraId="3AC1E24F">
            <w:pPr>
              <w:spacing w:line="312" w:lineRule="auto"/>
              <w:jc w:val="center"/>
              <w:rPr>
                <w:rFonts w:ascii="宋体" w:hAnsi="宋体" w:eastAsia="宋体"/>
                <w:color w:val="auto"/>
                <w:highlight w:val="none"/>
              </w:rPr>
            </w:pPr>
            <w:r>
              <w:rPr>
                <w:rFonts w:hint="eastAsia" w:ascii="宋体" w:hAnsi="宋体" w:eastAsia="宋体"/>
                <w:color w:val="auto"/>
                <w:highlight w:val="none"/>
              </w:rPr>
              <w:t>闭环整改管理</w:t>
            </w:r>
          </w:p>
        </w:tc>
        <w:tc>
          <w:tcPr>
            <w:tcW w:w="4788" w:type="dxa"/>
            <w:vAlign w:val="center"/>
          </w:tcPr>
          <w:p w14:paraId="5440AB65">
            <w:pPr>
              <w:spacing w:line="312" w:lineRule="auto"/>
              <w:jc w:val="left"/>
              <w:rPr>
                <w:rFonts w:ascii="宋体" w:hAnsi="宋体" w:eastAsia="宋体"/>
                <w:color w:val="auto"/>
                <w:highlight w:val="none"/>
              </w:rPr>
            </w:pPr>
            <w:r>
              <w:rPr>
                <w:rFonts w:hint="eastAsia" w:ascii="宋体" w:hAnsi="宋体" w:eastAsia="宋体"/>
                <w:color w:val="auto"/>
                <w:highlight w:val="none"/>
              </w:rPr>
              <w:t>问题项自动生成整改工单，支持整改过程跟踪、超期预警及整改效果评价</w:t>
            </w:r>
          </w:p>
        </w:tc>
        <w:tc>
          <w:tcPr>
            <w:tcW w:w="714" w:type="dxa"/>
            <w:vMerge w:val="continue"/>
            <w:vAlign w:val="center"/>
          </w:tcPr>
          <w:p w14:paraId="4AE90E60">
            <w:pPr>
              <w:spacing w:line="312" w:lineRule="auto"/>
              <w:jc w:val="left"/>
              <w:rPr>
                <w:rFonts w:ascii="宋体" w:hAnsi="宋体" w:eastAsia="宋体"/>
                <w:color w:val="auto"/>
                <w:highlight w:val="none"/>
              </w:rPr>
            </w:pPr>
          </w:p>
        </w:tc>
      </w:tr>
      <w:tr w14:paraId="559F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2368EF6">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4</w:t>
            </w:r>
          </w:p>
        </w:tc>
        <w:tc>
          <w:tcPr>
            <w:tcW w:w="966" w:type="dxa"/>
            <w:vMerge w:val="restart"/>
            <w:vAlign w:val="center"/>
          </w:tcPr>
          <w:p w14:paraId="3EFD6277">
            <w:pPr>
              <w:spacing w:line="312" w:lineRule="auto"/>
              <w:jc w:val="center"/>
              <w:rPr>
                <w:rFonts w:ascii="宋体" w:hAnsi="宋体" w:eastAsia="宋体"/>
                <w:color w:val="auto"/>
                <w:highlight w:val="none"/>
              </w:rPr>
            </w:pPr>
            <w:r>
              <w:rPr>
                <w:rFonts w:hint="eastAsia" w:ascii="宋体" w:hAnsi="宋体" w:eastAsia="宋体"/>
                <w:color w:val="auto"/>
                <w:highlight w:val="none"/>
              </w:rPr>
              <w:t>会议、培训管理</w:t>
            </w:r>
          </w:p>
        </w:tc>
        <w:tc>
          <w:tcPr>
            <w:tcW w:w="1155" w:type="dxa"/>
            <w:vAlign w:val="center"/>
          </w:tcPr>
          <w:p w14:paraId="29526904">
            <w:pPr>
              <w:spacing w:line="312" w:lineRule="auto"/>
              <w:jc w:val="center"/>
              <w:rPr>
                <w:rFonts w:ascii="宋体" w:hAnsi="宋体" w:eastAsia="宋体"/>
                <w:color w:val="auto"/>
                <w:highlight w:val="none"/>
              </w:rPr>
            </w:pPr>
            <w:r>
              <w:rPr>
                <w:rFonts w:hint="eastAsia" w:ascii="宋体" w:hAnsi="宋体" w:eastAsia="宋体"/>
                <w:color w:val="auto"/>
                <w:highlight w:val="none"/>
              </w:rPr>
              <w:t>会议管理</w:t>
            </w:r>
          </w:p>
        </w:tc>
        <w:tc>
          <w:tcPr>
            <w:tcW w:w="4788" w:type="dxa"/>
            <w:vAlign w:val="center"/>
          </w:tcPr>
          <w:p w14:paraId="4765D572">
            <w:pPr>
              <w:spacing w:line="312" w:lineRule="auto"/>
              <w:jc w:val="left"/>
              <w:rPr>
                <w:rFonts w:ascii="宋体" w:hAnsi="宋体" w:eastAsia="宋体"/>
                <w:color w:val="auto"/>
                <w:highlight w:val="none"/>
              </w:rPr>
            </w:pPr>
            <w:r>
              <w:rPr>
                <w:rFonts w:hint="eastAsia" w:ascii="宋体" w:hAnsi="宋体" w:eastAsia="宋体"/>
                <w:color w:val="auto"/>
                <w:highlight w:val="none"/>
              </w:rPr>
              <w:t>支持线上/线下会议预约、签到、纪要归档，与日程提醒系统联动</w:t>
            </w:r>
          </w:p>
        </w:tc>
        <w:tc>
          <w:tcPr>
            <w:tcW w:w="714" w:type="dxa"/>
            <w:vMerge w:val="continue"/>
            <w:vAlign w:val="center"/>
          </w:tcPr>
          <w:p w14:paraId="438C2E56">
            <w:pPr>
              <w:spacing w:line="312" w:lineRule="auto"/>
              <w:jc w:val="left"/>
              <w:rPr>
                <w:rFonts w:ascii="宋体" w:hAnsi="宋体" w:eastAsia="宋体"/>
                <w:color w:val="auto"/>
                <w:highlight w:val="none"/>
              </w:rPr>
            </w:pPr>
          </w:p>
        </w:tc>
      </w:tr>
      <w:tr w14:paraId="1643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40F871B">
            <w:pPr>
              <w:spacing w:line="312" w:lineRule="auto"/>
              <w:jc w:val="center"/>
              <w:rPr>
                <w:rFonts w:ascii="宋体" w:hAnsi="宋体" w:eastAsia="宋体"/>
                <w:color w:val="auto"/>
                <w:highlight w:val="none"/>
              </w:rPr>
            </w:pPr>
          </w:p>
        </w:tc>
        <w:tc>
          <w:tcPr>
            <w:tcW w:w="966" w:type="dxa"/>
            <w:vMerge w:val="continue"/>
            <w:vAlign w:val="center"/>
          </w:tcPr>
          <w:p w14:paraId="3590B852">
            <w:pPr>
              <w:spacing w:line="312" w:lineRule="auto"/>
              <w:jc w:val="center"/>
              <w:rPr>
                <w:rFonts w:ascii="宋体" w:hAnsi="宋体" w:eastAsia="宋体"/>
                <w:color w:val="auto"/>
                <w:highlight w:val="none"/>
              </w:rPr>
            </w:pPr>
          </w:p>
        </w:tc>
        <w:tc>
          <w:tcPr>
            <w:tcW w:w="1155" w:type="dxa"/>
            <w:vAlign w:val="center"/>
          </w:tcPr>
          <w:p w14:paraId="1F1A4A76">
            <w:pPr>
              <w:spacing w:line="312" w:lineRule="auto"/>
              <w:jc w:val="center"/>
              <w:rPr>
                <w:rFonts w:ascii="宋体" w:hAnsi="宋体" w:eastAsia="宋体"/>
                <w:color w:val="auto"/>
                <w:highlight w:val="none"/>
              </w:rPr>
            </w:pPr>
            <w:r>
              <w:rPr>
                <w:rFonts w:hint="eastAsia" w:ascii="宋体" w:hAnsi="宋体" w:eastAsia="宋体"/>
                <w:color w:val="auto"/>
                <w:highlight w:val="none"/>
              </w:rPr>
              <w:t>培训考核</w:t>
            </w:r>
          </w:p>
        </w:tc>
        <w:tc>
          <w:tcPr>
            <w:tcW w:w="4788" w:type="dxa"/>
            <w:vAlign w:val="center"/>
          </w:tcPr>
          <w:p w14:paraId="6B8B8E2B">
            <w:pPr>
              <w:spacing w:line="312" w:lineRule="auto"/>
              <w:jc w:val="left"/>
              <w:rPr>
                <w:rFonts w:ascii="宋体" w:hAnsi="宋体" w:eastAsia="宋体"/>
                <w:color w:val="auto"/>
                <w:highlight w:val="none"/>
              </w:rPr>
            </w:pPr>
            <w:r>
              <w:rPr>
                <w:rFonts w:hint="eastAsia" w:ascii="宋体" w:hAnsi="宋体" w:eastAsia="宋体"/>
                <w:color w:val="auto"/>
                <w:highlight w:val="none"/>
              </w:rPr>
              <w:t>内置课件库（PPT、视频等格式），支持在线考试，自动生成培训档案</w:t>
            </w:r>
          </w:p>
        </w:tc>
        <w:tc>
          <w:tcPr>
            <w:tcW w:w="714" w:type="dxa"/>
            <w:vMerge w:val="continue"/>
            <w:vAlign w:val="center"/>
          </w:tcPr>
          <w:p w14:paraId="73D1DC84">
            <w:pPr>
              <w:spacing w:line="312" w:lineRule="auto"/>
              <w:jc w:val="left"/>
              <w:rPr>
                <w:rFonts w:ascii="宋体" w:hAnsi="宋体" w:eastAsia="宋体"/>
                <w:color w:val="auto"/>
                <w:highlight w:val="none"/>
              </w:rPr>
            </w:pPr>
          </w:p>
        </w:tc>
      </w:tr>
      <w:tr w14:paraId="0E1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8D6032B">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5</w:t>
            </w:r>
          </w:p>
        </w:tc>
        <w:tc>
          <w:tcPr>
            <w:tcW w:w="966" w:type="dxa"/>
            <w:vAlign w:val="center"/>
          </w:tcPr>
          <w:p w14:paraId="2B48E6A9">
            <w:pPr>
              <w:spacing w:line="312" w:lineRule="auto"/>
              <w:jc w:val="center"/>
              <w:rPr>
                <w:rFonts w:ascii="宋体" w:hAnsi="宋体" w:eastAsia="宋体"/>
                <w:color w:val="auto"/>
                <w:highlight w:val="none"/>
              </w:rPr>
            </w:pPr>
            <w:r>
              <w:rPr>
                <w:rFonts w:hint="eastAsia" w:ascii="宋体" w:hAnsi="宋体" w:eastAsia="宋体"/>
                <w:color w:val="auto"/>
                <w:highlight w:val="none"/>
              </w:rPr>
              <w:t>文件管理与知识库</w:t>
            </w:r>
          </w:p>
        </w:tc>
        <w:tc>
          <w:tcPr>
            <w:tcW w:w="1155" w:type="dxa"/>
            <w:vAlign w:val="center"/>
          </w:tcPr>
          <w:p w14:paraId="21AA1FF7">
            <w:pPr>
              <w:spacing w:line="312" w:lineRule="auto"/>
              <w:jc w:val="center"/>
              <w:rPr>
                <w:rFonts w:ascii="宋体" w:hAnsi="宋体" w:eastAsia="宋体"/>
                <w:color w:val="auto"/>
                <w:highlight w:val="none"/>
              </w:rPr>
            </w:pPr>
            <w:r>
              <w:rPr>
                <w:rFonts w:hint="eastAsia" w:ascii="宋体" w:hAnsi="宋体" w:eastAsia="宋体"/>
                <w:color w:val="auto"/>
                <w:highlight w:val="none"/>
              </w:rPr>
              <w:t>质控文档中心</w:t>
            </w:r>
          </w:p>
        </w:tc>
        <w:tc>
          <w:tcPr>
            <w:tcW w:w="4788" w:type="dxa"/>
            <w:vAlign w:val="center"/>
          </w:tcPr>
          <w:p w14:paraId="1A3A3495">
            <w:pPr>
              <w:spacing w:line="312" w:lineRule="auto"/>
              <w:jc w:val="left"/>
              <w:rPr>
                <w:rFonts w:ascii="宋体" w:hAnsi="宋体" w:eastAsia="宋体"/>
                <w:color w:val="auto"/>
                <w:szCs w:val="21"/>
                <w:highlight w:val="none"/>
              </w:rPr>
            </w:pPr>
            <w:r>
              <w:rPr>
                <w:rFonts w:hint="eastAsia" w:ascii="宋体" w:hAnsi="宋体" w:eastAsia="宋体"/>
                <w:color w:val="auto"/>
                <w:szCs w:val="21"/>
                <w:highlight w:val="none"/>
              </w:rPr>
              <w:t>支持政策文件、质控标准、分析报告的分类存储及版本控制，提供全文检索及水印下载</w:t>
            </w:r>
          </w:p>
        </w:tc>
        <w:tc>
          <w:tcPr>
            <w:tcW w:w="714" w:type="dxa"/>
            <w:vMerge w:val="continue"/>
            <w:vAlign w:val="center"/>
          </w:tcPr>
          <w:p w14:paraId="08D9D15E">
            <w:pPr>
              <w:spacing w:line="312" w:lineRule="auto"/>
              <w:jc w:val="left"/>
              <w:rPr>
                <w:rFonts w:ascii="宋体" w:hAnsi="宋体" w:eastAsia="宋体"/>
                <w:color w:val="auto"/>
                <w:highlight w:val="none"/>
              </w:rPr>
            </w:pPr>
          </w:p>
        </w:tc>
      </w:tr>
      <w:tr w14:paraId="05D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399AA83">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6</w:t>
            </w:r>
          </w:p>
        </w:tc>
        <w:tc>
          <w:tcPr>
            <w:tcW w:w="966" w:type="dxa"/>
            <w:vMerge w:val="restart"/>
            <w:vAlign w:val="center"/>
          </w:tcPr>
          <w:p w14:paraId="3EFCF426">
            <w:pPr>
              <w:spacing w:line="312" w:lineRule="auto"/>
              <w:jc w:val="center"/>
              <w:rPr>
                <w:rFonts w:ascii="宋体" w:hAnsi="宋体" w:eastAsia="宋体"/>
                <w:color w:val="auto"/>
                <w:highlight w:val="none"/>
              </w:rPr>
            </w:pPr>
            <w:r>
              <w:rPr>
                <w:rFonts w:hint="eastAsia" w:ascii="宋体" w:hAnsi="宋体" w:eastAsia="宋体"/>
                <w:color w:val="auto"/>
                <w:highlight w:val="none"/>
              </w:rPr>
              <w:t>权限与专家库管理</w:t>
            </w:r>
          </w:p>
        </w:tc>
        <w:tc>
          <w:tcPr>
            <w:tcW w:w="1155" w:type="dxa"/>
            <w:vAlign w:val="center"/>
          </w:tcPr>
          <w:p w14:paraId="2898D220">
            <w:pPr>
              <w:spacing w:line="312" w:lineRule="auto"/>
              <w:jc w:val="center"/>
              <w:rPr>
                <w:rFonts w:ascii="宋体" w:hAnsi="宋体" w:eastAsia="宋体"/>
                <w:color w:val="auto"/>
                <w:highlight w:val="none"/>
              </w:rPr>
            </w:pPr>
            <w:r>
              <w:rPr>
                <w:rFonts w:hint="eastAsia" w:ascii="宋体" w:hAnsi="宋体" w:eastAsia="宋体"/>
                <w:color w:val="auto"/>
                <w:highlight w:val="none"/>
              </w:rPr>
              <w:t>多级权限控制</w:t>
            </w:r>
          </w:p>
        </w:tc>
        <w:tc>
          <w:tcPr>
            <w:tcW w:w="4788" w:type="dxa"/>
            <w:vAlign w:val="center"/>
          </w:tcPr>
          <w:p w14:paraId="5100DCFB">
            <w:pPr>
              <w:spacing w:line="312" w:lineRule="auto"/>
              <w:jc w:val="left"/>
              <w:rPr>
                <w:rFonts w:ascii="宋体" w:hAnsi="宋体" w:eastAsia="宋体"/>
                <w:color w:val="auto"/>
                <w:szCs w:val="21"/>
                <w:highlight w:val="none"/>
              </w:rPr>
            </w:pPr>
            <w:r>
              <w:rPr>
                <w:rFonts w:hint="eastAsia" w:ascii="宋体" w:hAnsi="宋体" w:eastAsia="宋体"/>
                <w:color w:val="auto"/>
                <w:szCs w:val="21"/>
                <w:highlight w:val="none"/>
              </w:rPr>
              <w:t>按角色（管理员/医院联络员/中心成员）分配数据查看、编辑、审批权限；</w:t>
            </w:r>
          </w:p>
          <w:p w14:paraId="31F99850">
            <w:pPr>
              <w:pStyle w:val="2"/>
              <w:rPr>
                <w:color w:val="auto"/>
                <w:sz w:val="21"/>
                <w:szCs w:val="21"/>
                <w:highlight w:val="none"/>
              </w:rPr>
            </w:pPr>
            <w:r>
              <w:rPr>
                <w:rFonts w:hint="eastAsia"/>
                <w:color w:val="auto"/>
                <w:sz w:val="21"/>
                <w:szCs w:val="21"/>
                <w:highlight w:val="none"/>
              </w:rPr>
              <w:t>提供院级数据隔离功能，确保跨机构数据保密性；</w:t>
            </w:r>
          </w:p>
        </w:tc>
        <w:tc>
          <w:tcPr>
            <w:tcW w:w="714" w:type="dxa"/>
            <w:vMerge w:val="continue"/>
            <w:vAlign w:val="center"/>
          </w:tcPr>
          <w:p w14:paraId="3B8F8C77">
            <w:pPr>
              <w:spacing w:line="312" w:lineRule="auto"/>
              <w:jc w:val="left"/>
              <w:rPr>
                <w:rFonts w:ascii="宋体" w:hAnsi="宋体" w:eastAsia="宋体"/>
                <w:color w:val="auto"/>
                <w:highlight w:val="none"/>
              </w:rPr>
            </w:pPr>
          </w:p>
        </w:tc>
      </w:tr>
      <w:tr w14:paraId="64B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5B20D616">
            <w:pPr>
              <w:spacing w:line="312" w:lineRule="auto"/>
              <w:jc w:val="center"/>
              <w:rPr>
                <w:rFonts w:ascii="宋体" w:hAnsi="宋体" w:eastAsia="宋体"/>
                <w:color w:val="auto"/>
                <w:highlight w:val="none"/>
              </w:rPr>
            </w:pPr>
          </w:p>
        </w:tc>
        <w:tc>
          <w:tcPr>
            <w:tcW w:w="966" w:type="dxa"/>
            <w:vMerge w:val="continue"/>
            <w:vAlign w:val="center"/>
          </w:tcPr>
          <w:p w14:paraId="3AC2FD71">
            <w:pPr>
              <w:spacing w:line="312" w:lineRule="auto"/>
              <w:jc w:val="center"/>
              <w:rPr>
                <w:rFonts w:ascii="宋体" w:hAnsi="宋体" w:eastAsia="宋体"/>
                <w:color w:val="auto"/>
                <w:highlight w:val="none"/>
              </w:rPr>
            </w:pPr>
          </w:p>
        </w:tc>
        <w:tc>
          <w:tcPr>
            <w:tcW w:w="1155" w:type="dxa"/>
            <w:vAlign w:val="center"/>
          </w:tcPr>
          <w:p w14:paraId="712CC10F">
            <w:pPr>
              <w:spacing w:line="312" w:lineRule="auto"/>
              <w:jc w:val="center"/>
              <w:rPr>
                <w:rFonts w:ascii="宋体" w:hAnsi="宋体" w:eastAsia="宋体"/>
                <w:color w:val="auto"/>
                <w:highlight w:val="none"/>
              </w:rPr>
            </w:pPr>
            <w:r>
              <w:rPr>
                <w:rFonts w:hint="eastAsia" w:ascii="宋体" w:hAnsi="宋体" w:eastAsia="宋体"/>
                <w:color w:val="auto"/>
                <w:highlight w:val="none"/>
              </w:rPr>
              <w:t>专家库动态管理</w:t>
            </w:r>
          </w:p>
        </w:tc>
        <w:tc>
          <w:tcPr>
            <w:tcW w:w="4788" w:type="dxa"/>
            <w:vAlign w:val="center"/>
          </w:tcPr>
          <w:p w14:paraId="5B4CABE2">
            <w:pPr>
              <w:spacing w:line="312" w:lineRule="auto"/>
              <w:jc w:val="left"/>
              <w:rPr>
                <w:rFonts w:ascii="宋体" w:hAnsi="宋体" w:eastAsia="宋体"/>
                <w:color w:val="auto"/>
                <w:highlight w:val="none"/>
              </w:rPr>
            </w:pPr>
            <w:r>
              <w:rPr>
                <w:rFonts w:hint="eastAsia" w:ascii="宋体" w:hAnsi="宋体" w:eastAsia="宋体"/>
                <w:color w:val="auto"/>
                <w:highlight w:val="none"/>
              </w:rPr>
              <w:t>支持中心委员更换审批、专家资质审核、任务参与记录统计；</w:t>
            </w:r>
          </w:p>
        </w:tc>
        <w:tc>
          <w:tcPr>
            <w:tcW w:w="714" w:type="dxa"/>
            <w:vMerge w:val="continue"/>
            <w:vAlign w:val="center"/>
          </w:tcPr>
          <w:p w14:paraId="6A793DFC">
            <w:pPr>
              <w:spacing w:line="312" w:lineRule="auto"/>
              <w:jc w:val="left"/>
              <w:rPr>
                <w:rFonts w:ascii="宋体" w:hAnsi="宋体" w:eastAsia="宋体"/>
                <w:color w:val="auto"/>
                <w:highlight w:val="none"/>
              </w:rPr>
            </w:pPr>
          </w:p>
        </w:tc>
      </w:tr>
      <w:tr w14:paraId="320C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780960DE">
            <w:pPr>
              <w:spacing w:line="312" w:lineRule="auto"/>
              <w:jc w:val="center"/>
              <w:rPr>
                <w:rFonts w:ascii="宋体" w:hAnsi="宋体" w:eastAsia="宋体"/>
                <w:color w:val="auto"/>
                <w:highlight w:val="none"/>
              </w:rPr>
            </w:pPr>
          </w:p>
        </w:tc>
        <w:tc>
          <w:tcPr>
            <w:tcW w:w="966" w:type="dxa"/>
            <w:vMerge w:val="continue"/>
            <w:vAlign w:val="center"/>
          </w:tcPr>
          <w:p w14:paraId="49F68D61">
            <w:pPr>
              <w:spacing w:line="312" w:lineRule="auto"/>
              <w:jc w:val="center"/>
              <w:rPr>
                <w:rFonts w:ascii="宋体" w:hAnsi="宋体" w:eastAsia="宋体"/>
                <w:color w:val="auto"/>
                <w:highlight w:val="none"/>
              </w:rPr>
            </w:pPr>
          </w:p>
        </w:tc>
        <w:tc>
          <w:tcPr>
            <w:tcW w:w="1155" w:type="dxa"/>
            <w:vAlign w:val="center"/>
          </w:tcPr>
          <w:p w14:paraId="15CB3E71">
            <w:pPr>
              <w:spacing w:line="312" w:lineRule="auto"/>
              <w:jc w:val="center"/>
              <w:rPr>
                <w:rFonts w:ascii="宋体" w:hAnsi="宋体" w:eastAsia="宋体"/>
                <w:color w:val="auto"/>
                <w:highlight w:val="none"/>
              </w:rPr>
            </w:pPr>
            <w:r>
              <w:rPr>
                <w:rFonts w:hint="eastAsia" w:ascii="宋体" w:hAnsi="宋体" w:eastAsia="宋体"/>
                <w:color w:val="auto"/>
                <w:highlight w:val="none"/>
              </w:rPr>
              <w:t>专家委员会履职管理</w:t>
            </w:r>
          </w:p>
        </w:tc>
        <w:tc>
          <w:tcPr>
            <w:tcW w:w="4788" w:type="dxa"/>
            <w:vAlign w:val="center"/>
          </w:tcPr>
          <w:p w14:paraId="4A0E4CA5">
            <w:pPr>
              <w:spacing w:line="312" w:lineRule="auto"/>
              <w:jc w:val="left"/>
              <w:rPr>
                <w:rFonts w:ascii="宋体" w:hAnsi="宋体" w:eastAsia="宋体"/>
                <w:color w:val="auto"/>
                <w:szCs w:val="21"/>
                <w:highlight w:val="none"/>
              </w:rPr>
            </w:pPr>
            <w:r>
              <w:rPr>
                <w:rFonts w:hint="eastAsia" w:ascii="宋体" w:hAnsi="宋体" w:eastAsia="宋体"/>
                <w:color w:val="auto"/>
                <w:szCs w:val="21"/>
                <w:highlight w:val="none"/>
              </w:rPr>
              <w:t>记录专家参与质控活动的履职数据，自动生成履职评分及增补建议（如连续2年参与率&lt;60%触发替换预警）；</w:t>
            </w:r>
          </w:p>
          <w:p w14:paraId="7624D52E">
            <w:pPr>
              <w:pStyle w:val="2"/>
              <w:rPr>
                <w:color w:val="auto"/>
                <w:highlight w:val="none"/>
              </w:rPr>
            </w:pPr>
            <w:r>
              <w:rPr>
                <w:rFonts w:hint="eastAsia"/>
                <w:color w:val="auto"/>
                <w:sz w:val="21"/>
                <w:szCs w:val="21"/>
                <w:highlight w:val="none"/>
              </w:rPr>
              <w:t>支持违规违纪事件</w:t>
            </w:r>
            <w:r>
              <w:rPr>
                <w:rFonts w:hint="eastAsia"/>
                <w:color w:val="auto"/>
                <w:sz w:val="21"/>
                <w:szCs w:val="21"/>
                <w:highlight w:val="none"/>
                <w:lang w:val="en-US"/>
              </w:rPr>
              <w:t>上报</w:t>
            </w:r>
            <w:r>
              <w:rPr>
                <w:rFonts w:hint="eastAsia"/>
                <w:color w:val="auto"/>
                <w:sz w:val="21"/>
                <w:szCs w:val="21"/>
                <w:highlight w:val="none"/>
              </w:rPr>
              <w:t>（如主任委员违规自动取消资格），关联挂靠单位解绑流程；</w:t>
            </w:r>
          </w:p>
        </w:tc>
        <w:tc>
          <w:tcPr>
            <w:tcW w:w="714" w:type="dxa"/>
            <w:vMerge w:val="continue"/>
            <w:vAlign w:val="center"/>
          </w:tcPr>
          <w:p w14:paraId="75A94277">
            <w:pPr>
              <w:spacing w:line="312" w:lineRule="auto"/>
              <w:jc w:val="left"/>
              <w:rPr>
                <w:rFonts w:ascii="宋体" w:hAnsi="宋体" w:eastAsia="宋体"/>
                <w:color w:val="auto"/>
                <w:highlight w:val="none"/>
              </w:rPr>
            </w:pPr>
          </w:p>
        </w:tc>
      </w:tr>
      <w:tr w14:paraId="56B1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103A6C5">
            <w:pPr>
              <w:spacing w:line="312" w:lineRule="auto"/>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w:t>
            </w:r>
          </w:p>
        </w:tc>
        <w:tc>
          <w:tcPr>
            <w:tcW w:w="966" w:type="dxa"/>
            <w:vMerge w:val="restart"/>
            <w:vAlign w:val="center"/>
          </w:tcPr>
          <w:p w14:paraId="76297B2F">
            <w:pPr>
              <w:spacing w:line="312" w:lineRule="auto"/>
              <w:jc w:val="center"/>
              <w:rPr>
                <w:rFonts w:hint="eastAsia" w:ascii="宋体" w:hAnsi="宋体" w:eastAsia="宋体"/>
                <w:color w:val="auto"/>
                <w:highlight w:val="none"/>
              </w:rPr>
            </w:pPr>
            <w:r>
              <w:rPr>
                <w:rFonts w:hint="eastAsia" w:ascii="宋体" w:hAnsi="宋体" w:eastAsia="宋体" w:cs="宋体"/>
                <w:color w:val="auto"/>
                <w:sz w:val="24"/>
                <w:szCs w:val="24"/>
                <w:highlight w:val="none"/>
              </w:rPr>
              <w:t>数据统计与可视化报表</w:t>
            </w:r>
          </w:p>
        </w:tc>
        <w:tc>
          <w:tcPr>
            <w:tcW w:w="1155" w:type="dxa"/>
            <w:shd w:val="clear" w:color="auto" w:fill="auto"/>
            <w:vAlign w:val="center"/>
          </w:tcPr>
          <w:p w14:paraId="1665A384">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动态筛选</w:t>
            </w:r>
          </w:p>
        </w:tc>
        <w:tc>
          <w:tcPr>
            <w:tcW w:w="4788" w:type="dxa"/>
            <w:shd w:val="clear" w:color="auto" w:fill="auto"/>
            <w:vAlign w:val="center"/>
          </w:tcPr>
          <w:p w14:paraId="5B6FAD7B">
            <w:pPr>
              <w:pStyle w:val="2"/>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eastAsia="zh-CN"/>
              </w:rPr>
              <w:t>支持按年度、季度或自定义时间段筛选数据，统计期内完成基线调查、</w:t>
            </w:r>
            <w:r>
              <w:rPr>
                <w:rFonts w:hint="eastAsia" w:ascii="宋体" w:hAnsi="宋体" w:eastAsia="宋体" w:cs="宋体"/>
                <w:color w:val="auto"/>
                <w:sz w:val="24"/>
                <w:szCs w:val="24"/>
                <w:highlight w:val="none"/>
                <w:lang w:val="en-US" w:eastAsia="zh-CN"/>
              </w:rPr>
              <w:t>质控检查、质控培训等质控活动</w:t>
            </w:r>
            <w:r>
              <w:rPr>
                <w:rFonts w:hint="eastAsia" w:ascii="宋体" w:hAnsi="宋体" w:eastAsia="宋体" w:cs="宋体"/>
                <w:color w:val="auto"/>
                <w:sz w:val="24"/>
                <w:szCs w:val="24"/>
                <w:highlight w:val="none"/>
                <w:lang w:eastAsia="zh-CN"/>
              </w:rPr>
              <w:t>的质控中心数量。</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自动计算完成率（如“已完成数/应调查总数×100%”），并与历史同期数据对比（环比/同比）。</w:t>
            </w:r>
          </w:p>
        </w:tc>
        <w:tc>
          <w:tcPr>
            <w:tcW w:w="714" w:type="dxa"/>
            <w:vMerge w:val="continue"/>
            <w:vAlign w:val="center"/>
          </w:tcPr>
          <w:p w14:paraId="5E2D1B51">
            <w:pPr>
              <w:spacing w:line="312" w:lineRule="auto"/>
              <w:jc w:val="left"/>
              <w:rPr>
                <w:rFonts w:ascii="宋体" w:hAnsi="宋体" w:eastAsia="宋体"/>
                <w:color w:val="auto"/>
                <w:highlight w:val="none"/>
              </w:rPr>
            </w:pPr>
          </w:p>
        </w:tc>
      </w:tr>
      <w:tr w14:paraId="2943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28F6338">
            <w:pPr>
              <w:spacing w:line="312" w:lineRule="auto"/>
              <w:jc w:val="center"/>
              <w:rPr>
                <w:rFonts w:ascii="宋体" w:hAnsi="宋体" w:eastAsia="宋体"/>
                <w:color w:val="auto"/>
                <w:highlight w:val="none"/>
              </w:rPr>
            </w:pPr>
          </w:p>
        </w:tc>
        <w:tc>
          <w:tcPr>
            <w:tcW w:w="966" w:type="dxa"/>
            <w:vMerge w:val="continue"/>
            <w:vAlign w:val="center"/>
          </w:tcPr>
          <w:p w14:paraId="699AD802">
            <w:pPr>
              <w:spacing w:line="312" w:lineRule="auto"/>
              <w:jc w:val="center"/>
              <w:rPr>
                <w:rFonts w:hint="eastAsia" w:ascii="宋体" w:hAnsi="宋体" w:eastAsia="宋体"/>
                <w:color w:val="auto"/>
                <w:highlight w:val="none"/>
              </w:rPr>
            </w:pPr>
          </w:p>
        </w:tc>
        <w:tc>
          <w:tcPr>
            <w:tcW w:w="1155" w:type="dxa"/>
            <w:shd w:val="clear" w:color="auto" w:fill="auto"/>
            <w:vAlign w:val="center"/>
          </w:tcPr>
          <w:p w14:paraId="3CD62864">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实时状态监控</w:t>
            </w:r>
          </w:p>
        </w:tc>
        <w:tc>
          <w:tcPr>
            <w:tcW w:w="4788" w:type="dxa"/>
            <w:shd w:val="clear" w:color="auto" w:fill="auto"/>
            <w:vAlign w:val="center"/>
          </w:tcPr>
          <w:p w14:paraId="0DD39BA6">
            <w:pPr>
              <w:pStyle w:val="2"/>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eastAsia="zh-CN"/>
              </w:rPr>
              <w:t>系统需标记未提交</w:t>
            </w:r>
            <w:r>
              <w:rPr>
                <w:rFonts w:hint="eastAsia" w:ascii="宋体" w:hAnsi="宋体" w:eastAsia="宋体" w:cs="宋体"/>
                <w:color w:val="auto"/>
                <w:sz w:val="24"/>
                <w:szCs w:val="24"/>
                <w:highlight w:val="none"/>
                <w:lang w:val="en-US" w:eastAsia="zh-CN"/>
              </w:rPr>
              <w:t>质控活动总结</w:t>
            </w:r>
            <w:r>
              <w:rPr>
                <w:rFonts w:hint="eastAsia" w:ascii="宋体" w:hAnsi="宋体" w:eastAsia="宋体" w:cs="宋体"/>
                <w:color w:val="auto"/>
                <w:sz w:val="24"/>
                <w:szCs w:val="24"/>
                <w:highlight w:val="none"/>
                <w:lang w:eastAsia="zh-CN"/>
              </w:rPr>
              <w:t>的质控中心，并关联预警机制。</w:t>
            </w:r>
          </w:p>
        </w:tc>
        <w:tc>
          <w:tcPr>
            <w:tcW w:w="714" w:type="dxa"/>
            <w:vMerge w:val="continue"/>
            <w:vAlign w:val="center"/>
          </w:tcPr>
          <w:p w14:paraId="61A67A63">
            <w:pPr>
              <w:spacing w:line="312" w:lineRule="auto"/>
              <w:jc w:val="left"/>
              <w:rPr>
                <w:rFonts w:ascii="宋体" w:hAnsi="宋体" w:eastAsia="宋体"/>
                <w:color w:val="auto"/>
                <w:highlight w:val="none"/>
              </w:rPr>
            </w:pPr>
          </w:p>
        </w:tc>
      </w:tr>
      <w:tr w14:paraId="0AEA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5BE4360">
            <w:pPr>
              <w:spacing w:line="312" w:lineRule="auto"/>
              <w:jc w:val="center"/>
              <w:rPr>
                <w:rFonts w:ascii="宋体" w:hAnsi="宋体" w:eastAsia="宋体"/>
                <w:color w:val="auto"/>
                <w:highlight w:val="none"/>
              </w:rPr>
            </w:pPr>
          </w:p>
        </w:tc>
        <w:tc>
          <w:tcPr>
            <w:tcW w:w="966" w:type="dxa"/>
            <w:vMerge w:val="continue"/>
            <w:vAlign w:val="center"/>
          </w:tcPr>
          <w:p w14:paraId="07C32573">
            <w:pPr>
              <w:spacing w:line="312" w:lineRule="auto"/>
              <w:jc w:val="center"/>
              <w:rPr>
                <w:rFonts w:hint="eastAsia" w:ascii="宋体" w:hAnsi="宋体" w:eastAsia="宋体"/>
                <w:color w:val="auto"/>
                <w:highlight w:val="none"/>
              </w:rPr>
            </w:pPr>
          </w:p>
        </w:tc>
        <w:tc>
          <w:tcPr>
            <w:tcW w:w="1155" w:type="dxa"/>
            <w:shd w:val="clear" w:color="auto" w:fill="auto"/>
            <w:vAlign w:val="center"/>
          </w:tcPr>
          <w:p w14:paraId="424E1DBF">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报表分析</w:t>
            </w:r>
          </w:p>
        </w:tc>
        <w:tc>
          <w:tcPr>
            <w:tcW w:w="4788" w:type="dxa"/>
            <w:shd w:val="clear" w:color="auto" w:fill="auto"/>
            <w:vAlign w:val="center"/>
          </w:tcPr>
          <w:p w14:paraId="25D35615">
            <w:pPr>
              <w:pStyle w:val="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lang w:val="en-US" w:eastAsia="zh-CN"/>
              </w:rPr>
              <w:t>质控活动</w:t>
            </w:r>
            <w:r>
              <w:rPr>
                <w:rFonts w:hint="eastAsia" w:ascii="宋体" w:hAnsi="宋体" w:eastAsia="宋体" w:cs="宋体"/>
                <w:color w:val="auto"/>
                <w:sz w:val="24"/>
                <w:szCs w:val="24"/>
                <w:highlight w:val="none"/>
                <w:lang w:eastAsia="zh-CN"/>
              </w:rPr>
              <w:t>联动分析（如“</w:t>
            </w:r>
            <w:r>
              <w:rPr>
                <w:rFonts w:hint="eastAsia" w:ascii="宋体" w:hAnsi="宋体" w:eastAsia="宋体" w:cs="宋体"/>
                <w:color w:val="auto"/>
                <w:sz w:val="24"/>
                <w:szCs w:val="24"/>
                <w:highlight w:val="none"/>
                <w:lang w:val="en-US" w:eastAsia="zh-CN"/>
              </w:rPr>
              <w:t>质控追踪</w:t>
            </w:r>
            <w:r>
              <w:rPr>
                <w:rFonts w:hint="eastAsia" w:ascii="宋体" w:hAnsi="宋体" w:eastAsia="宋体" w:cs="宋体"/>
                <w:color w:val="auto"/>
                <w:sz w:val="24"/>
                <w:szCs w:val="24"/>
                <w:highlight w:val="none"/>
                <w:lang w:eastAsia="zh-CN"/>
              </w:rPr>
              <w:t>≥3次的</w:t>
            </w:r>
            <w:r>
              <w:rPr>
                <w:rFonts w:hint="eastAsia" w:ascii="宋体" w:hAnsi="宋体" w:eastAsia="宋体" w:cs="宋体"/>
                <w:color w:val="auto"/>
                <w:sz w:val="24"/>
                <w:szCs w:val="24"/>
                <w:highlight w:val="none"/>
                <w:lang w:val="en-US" w:eastAsia="zh-CN"/>
              </w:rPr>
              <w:t>中心</w:t>
            </w:r>
            <w:r>
              <w:rPr>
                <w:rFonts w:hint="eastAsia" w:ascii="宋体" w:hAnsi="宋体" w:eastAsia="宋体" w:cs="宋体"/>
                <w:color w:val="auto"/>
                <w:sz w:val="24"/>
                <w:szCs w:val="24"/>
                <w:highlight w:val="none"/>
                <w:lang w:eastAsia="zh-CN"/>
              </w:rPr>
              <w:t>，检查合格率提升</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%”）；提供数据</w:t>
            </w:r>
            <w:r>
              <w:rPr>
                <w:rFonts w:hint="eastAsia" w:ascii="宋体" w:hAnsi="宋体" w:eastAsia="宋体" w:cs="宋体"/>
                <w:color w:val="auto"/>
                <w:sz w:val="24"/>
                <w:szCs w:val="24"/>
                <w:highlight w:val="none"/>
                <w:lang w:val="en-US" w:eastAsia="zh-CN"/>
              </w:rPr>
              <w:t>关联</w:t>
            </w:r>
            <w:r>
              <w:rPr>
                <w:rFonts w:hint="eastAsia" w:ascii="宋体" w:hAnsi="宋体" w:eastAsia="宋体" w:cs="宋体"/>
                <w:color w:val="auto"/>
                <w:sz w:val="24"/>
                <w:szCs w:val="24"/>
                <w:highlight w:val="none"/>
                <w:lang w:eastAsia="zh-CN"/>
              </w:rPr>
              <w:t>，可点击报表中的数字查看</w:t>
            </w:r>
            <w:r>
              <w:rPr>
                <w:rFonts w:hint="eastAsia" w:ascii="宋体" w:hAnsi="宋体" w:eastAsia="宋体" w:cs="宋体"/>
                <w:color w:val="auto"/>
                <w:sz w:val="24"/>
                <w:szCs w:val="24"/>
                <w:highlight w:val="none"/>
                <w:lang w:val="en-US" w:eastAsia="zh-CN"/>
              </w:rPr>
              <w:t>数据</w:t>
            </w:r>
            <w:r>
              <w:rPr>
                <w:rFonts w:hint="eastAsia" w:ascii="宋体" w:hAnsi="宋体" w:eastAsia="宋体" w:cs="宋体"/>
                <w:color w:val="auto"/>
                <w:sz w:val="24"/>
                <w:szCs w:val="24"/>
                <w:highlight w:val="none"/>
                <w:lang w:eastAsia="zh-CN"/>
              </w:rPr>
              <w:t>明细（如某次检查的具体问题清单）</w:t>
            </w:r>
          </w:p>
        </w:tc>
        <w:tc>
          <w:tcPr>
            <w:tcW w:w="714" w:type="dxa"/>
            <w:vMerge w:val="continue"/>
            <w:vAlign w:val="center"/>
          </w:tcPr>
          <w:p w14:paraId="6B8B6ADB">
            <w:pPr>
              <w:spacing w:line="312" w:lineRule="auto"/>
              <w:jc w:val="left"/>
              <w:rPr>
                <w:rFonts w:ascii="宋体" w:hAnsi="宋体" w:eastAsia="宋体"/>
                <w:color w:val="auto"/>
                <w:highlight w:val="none"/>
              </w:rPr>
            </w:pPr>
          </w:p>
        </w:tc>
      </w:tr>
      <w:tr w14:paraId="4C41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59567C1">
            <w:pPr>
              <w:spacing w:line="312" w:lineRule="auto"/>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8</w:t>
            </w:r>
          </w:p>
        </w:tc>
        <w:tc>
          <w:tcPr>
            <w:tcW w:w="966" w:type="dxa"/>
            <w:vAlign w:val="center"/>
          </w:tcPr>
          <w:p w14:paraId="67E51DE9">
            <w:pPr>
              <w:spacing w:line="312" w:lineRule="auto"/>
              <w:jc w:val="center"/>
              <w:rPr>
                <w:rFonts w:ascii="宋体" w:hAnsi="宋体" w:eastAsia="宋体"/>
                <w:color w:val="auto"/>
                <w:highlight w:val="none"/>
              </w:rPr>
            </w:pPr>
            <w:r>
              <w:rPr>
                <w:rFonts w:hint="eastAsia" w:ascii="宋体" w:hAnsi="宋体" w:eastAsia="宋体"/>
                <w:color w:val="auto"/>
                <w:highlight w:val="none"/>
              </w:rPr>
              <w:t>AI辅助质控</w:t>
            </w:r>
          </w:p>
        </w:tc>
        <w:tc>
          <w:tcPr>
            <w:tcW w:w="1155" w:type="dxa"/>
            <w:vAlign w:val="center"/>
          </w:tcPr>
          <w:p w14:paraId="5C087517">
            <w:pPr>
              <w:spacing w:line="312" w:lineRule="auto"/>
              <w:jc w:val="center"/>
              <w:rPr>
                <w:rFonts w:ascii="宋体" w:hAnsi="宋体" w:eastAsia="宋体"/>
                <w:color w:val="auto"/>
                <w:highlight w:val="none"/>
              </w:rPr>
            </w:pPr>
            <w:r>
              <w:rPr>
                <w:rFonts w:hint="eastAsia" w:ascii="宋体" w:hAnsi="宋体" w:eastAsia="宋体"/>
                <w:color w:val="auto"/>
                <w:highlight w:val="none"/>
              </w:rPr>
              <w:t>接入AI辅助功能</w:t>
            </w:r>
          </w:p>
        </w:tc>
        <w:tc>
          <w:tcPr>
            <w:tcW w:w="4788" w:type="dxa"/>
            <w:vAlign w:val="center"/>
          </w:tcPr>
          <w:p w14:paraId="5F8633D5">
            <w:pPr>
              <w:spacing w:line="312" w:lineRule="auto"/>
              <w:jc w:val="left"/>
              <w:rPr>
                <w:color w:val="auto"/>
                <w:highlight w:val="none"/>
              </w:rPr>
            </w:pPr>
            <w:r>
              <w:rPr>
                <w:rFonts w:hint="eastAsia" w:ascii="宋体" w:hAnsi="宋体" w:eastAsia="宋体"/>
                <w:color w:val="auto"/>
                <w:highlight w:val="none"/>
              </w:rPr>
              <w:t>预留AI分析模块接口。支持AI接入到各类质控活动中；</w:t>
            </w:r>
          </w:p>
        </w:tc>
        <w:tc>
          <w:tcPr>
            <w:tcW w:w="714" w:type="dxa"/>
            <w:vMerge w:val="continue"/>
            <w:vAlign w:val="center"/>
          </w:tcPr>
          <w:p w14:paraId="0299BCBC">
            <w:pPr>
              <w:spacing w:line="312" w:lineRule="auto"/>
              <w:jc w:val="left"/>
              <w:rPr>
                <w:rFonts w:ascii="宋体" w:hAnsi="宋体" w:eastAsia="宋体"/>
                <w:color w:val="auto"/>
                <w:highlight w:val="none"/>
              </w:rPr>
            </w:pPr>
          </w:p>
        </w:tc>
      </w:tr>
    </w:tbl>
    <w:p w14:paraId="197E3015">
      <w:pPr>
        <w:pStyle w:val="2"/>
        <w:spacing w:after="0" w:line="312" w:lineRule="auto"/>
        <w:rPr>
          <w:color w:val="auto"/>
          <w:highlight w:val="none"/>
          <w:lang w:val="en-US"/>
        </w:rPr>
      </w:pPr>
    </w:p>
    <w:p w14:paraId="09A92A6A">
      <w:pPr>
        <w:pStyle w:val="2"/>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四、对接口及系统改造的要求</w:t>
      </w:r>
    </w:p>
    <w:p w14:paraId="35EAABDE">
      <w:pPr>
        <w:spacing w:line="312"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质保期和维保期内免费实现以下要求：</w:t>
      </w:r>
    </w:p>
    <w:p w14:paraId="7BEF44F3">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提供全面的接口技术，与第三方系统共享数据和功能，这些接口技术包括中间件技术接口、WEBSEVICE通用接口、数据库级接口、文件文本接口等并实现免费对接。</w:t>
      </w:r>
    </w:p>
    <w:p w14:paraId="0275C90A">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lang w:val="en-US"/>
        </w:rPr>
        <w:t>提供软件免费升级及个性化修改服务，免费实现</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lang w:val="en-US"/>
        </w:rPr>
        <w:t>的个性化需求；软件自身错误类问题提供永久性免费修改服务；</w:t>
      </w:r>
    </w:p>
    <w:p w14:paraId="5611942B">
      <w:pPr>
        <w:pStyle w:val="11"/>
        <w:spacing w:line="360" w:lineRule="auto"/>
        <w:ind w:firstLineChars="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ascii="宋体" w:hAnsi="宋体" w:eastAsia="宋体" w:cs="宋体"/>
          <w:color w:val="auto"/>
          <w:sz w:val="24"/>
          <w:highlight w:val="none"/>
        </w:rPr>
        <w:t>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免费提供</w:t>
      </w:r>
      <w:r>
        <w:rPr>
          <w:rFonts w:hint="eastAsia" w:ascii="宋体" w:hAnsi="宋体" w:eastAsia="宋体" w:cs="宋体"/>
          <w:color w:val="auto"/>
          <w:sz w:val="24"/>
          <w:highlight w:val="none"/>
          <w:lang w:val="en-US" w:eastAsia="zh-CN"/>
        </w:rPr>
        <w:t>中心挂靠医疗机构</w:t>
      </w:r>
      <w:r>
        <w:rPr>
          <w:rFonts w:hint="eastAsia" w:ascii="宋体" w:hAnsi="宋体" w:eastAsia="宋体" w:cs="宋体"/>
          <w:color w:val="auto"/>
          <w:sz w:val="24"/>
          <w:highlight w:val="none"/>
        </w:rPr>
        <w:t>新增业务信息系统的对接、免费实现上级管理部门要求的系统接口对接要求。</w:t>
      </w:r>
    </w:p>
    <w:p w14:paraId="1476308A">
      <w:pPr>
        <w:pStyle w:val="11"/>
        <w:spacing w:line="360" w:lineRule="auto"/>
        <w:ind w:firstLineChars="0"/>
        <w:rPr>
          <w:rFonts w:ascii="宋体" w:hAnsi="宋体" w:eastAsia="宋体" w:cs="宋体"/>
          <w:color w:val="auto"/>
          <w:sz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若</w:t>
      </w:r>
      <w:r>
        <w:rPr>
          <w:rFonts w:hint="eastAsia" w:ascii="宋体" w:hAnsi="宋体" w:eastAsia="宋体"/>
          <w:color w:val="auto"/>
          <w:sz w:val="24"/>
          <w:szCs w:val="24"/>
          <w:highlight w:val="none"/>
          <w:lang w:val="en-US" w:eastAsia="zh-CN"/>
        </w:rPr>
        <w:t>中心挂靠医疗机构</w:t>
      </w:r>
      <w:r>
        <w:rPr>
          <w:rFonts w:hint="eastAsia" w:ascii="宋体" w:hAnsi="宋体" w:eastAsia="宋体"/>
          <w:color w:val="auto"/>
          <w:sz w:val="24"/>
          <w:szCs w:val="24"/>
          <w:highlight w:val="none"/>
        </w:rPr>
        <w:t>更换已对接的业务系统、乙方须免费提供与新业务系统的对接及联调服务。</w:t>
      </w:r>
    </w:p>
    <w:p w14:paraId="18A717E3">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rPr>
        <w:t>.</w:t>
      </w:r>
      <w:r>
        <w:rPr>
          <w:rFonts w:ascii="宋体" w:hAnsi="宋体" w:eastAsia="宋体" w:cs="宋体"/>
          <w:color w:val="auto"/>
          <w:sz w:val="24"/>
          <w:highlight w:val="none"/>
          <w:lang w:val="en-US"/>
        </w:rPr>
        <w:t>6</w:t>
      </w:r>
      <w:r>
        <w:rPr>
          <w:rFonts w:hint="eastAsia" w:ascii="宋体" w:hAnsi="宋体" w:eastAsia="宋体" w:cs="宋体"/>
          <w:color w:val="auto"/>
          <w:sz w:val="24"/>
          <w:highlight w:val="none"/>
          <w:lang w:val="en-US"/>
        </w:rPr>
        <w:t>项目软件系统不限定</w:t>
      </w:r>
      <w:r>
        <w:rPr>
          <w:rFonts w:hint="eastAsia" w:ascii="宋体" w:hAnsi="宋体" w:eastAsia="宋体" w:cs="宋体"/>
          <w:color w:val="auto"/>
          <w:sz w:val="24"/>
          <w:highlight w:val="none"/>
          <w:lang w:val="en-US" w:eastAsia="zh-CN"/>
        </w:rPr>
        <w:t>全市各专业医疗质控中心所包含的医疗机构使用，且不限定</w:t>
      </w:r>
      <w:r>
        <w:rPr>
          <w:rFonts w:hint="eastAsia" w:ascii="宋体" w:hAnsi="宋体" w:eastAsia="宋体" w:cs="宋体"/>
          <w:color w:val="auto"/>
          <w:sz w:val="24"/>
          <w:highlight w:val="none"/>
          <w:lang w:val="en-US"/>
        </w:rPr>
        <w:t>用户数、并发数使用。</w:t>
      </w:r>
    </w:p>
    <w:p w14:paraId="1B5D408A">
      <w:pPr>
        <w:pStyle w:val="2"/>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五、项目交付要求</w:t>
      </w:r>
    </w:p>
    <w:p w14:paraId="70BAF626">
      <w:pPr>
        <w:pStyle w:val="2"/>
        <w:spacing w:after="0" w:line="276"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.1</w:t>
      </w:r>
      <w:r>
        <w:rPr>
          <w:rFonts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rPr>
        <w:t>实施工期要求：合同签订后，7个工作日内项目实施人员必须进场，系统需在</w:t>
      </w:r>
      <w:r>
        <w:rPr>
          <w:rFonts w:ascii="宋体" w:hAnsi="宋体" w:eastAsia="宋体" w:cs="宋体"/>
          <w:color w:val="auto"/>
          <w:sz w:val="24"/>
          <w:highlight w:val="none"/>
          <w:lang w:val="en-US"/>
        </w:rPr>
        <w:t>6</w:t>
      </w:r>
      <w:r>
        <w:rPr>
          <w:rFonts w:hint="eastAsia" w:ascii="宋体" w:hAnsi="宋体" w:eastAsia="宋体" w:cs="宋体"/>
          <w:color w:val="auto"/>
          <w:sz w:val="24"/>
          <w:highlight w:val="none"/>
          <w:lang w:val="en-US"/>
        </w:rPr>
        <w:t>个月内完成项目实施上线，请分别列出每个系统实施的工作计划及周期。</w:t>
      </w:r>
    </w:p>
    <w:p w14:paraId="7DFC6688">
      <w:pPr>
        <w:pStyle w:val="2"/>
        <w:spacing w:after="0" w:line="276" w:lineRule="auto"/>
        <w:ind w:firstLine="420"/>
        <w:rPr>
          <w:rFonts w:asciiTheme="minorEastAsia" w:hAnsiTheme="minorEastAsia"/>
          <w:color w:val="auto"/>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.2</w:t>
      </w:r>
      <w:r>
        <w:rPr>
          <w:rFonts w:ascii="宋体" w:hAnsi="宋体" w:eastAsia="宋体" w:cs="宋体"/>
          <w:color w:val="auto"/>
          <w:sz w:val="24"/>
          <w:highlight w:val="none"/>
          <w:lang w:val="en-US"/>
        </w:rPr>
        <w:t xml:space="preserve"> </w:t>
      </w:r>
      <w:r>
        <w:rPr>
          <w:rFonts w:hint="eastAsia" w:asciiTheme="minorEastAsia" w:hAnsiTheme="minorEastAsia"/>
          <w:color w:val="auto"/>
          <w:sz w:val="24"/>
          <w:highlight w:val="none"/>
        </w:rPr>
        <w:t>投标人应在投标文件中提供具体的项目交付说明、交付计划、交付物标准说明等。</w:t>
      </w:r>
      <w:r>
        <w:rPr>
          <w:rFonts w:hint="eastAsia" w:asciiTheme="minorEastAsia" w:hAnsiTheme="minorEastAsia"/>
          <w:color w:val="auto"/>
          <w:sz w:val="24"/>
          <w:szCs w:val="24"/>
          <w:highlight w:val="none"/>
        </w:rPr>
        <w:t>中标人在系统正式运行前必须提供以</w:t>
      </w:r>
      <w:r>
        <w:rPr>
          <w:rFonts w:hint="eastAsia" w:asciiTheme="minorEastAsia" w:hAnsiTheme="minorEastAsia"/>
          <w:color w:val="auto"/>
          <w:sz w:val="24"/>
          <w:szCs w:val="24"/>
          <w:highlight w:val="none"/>
          <w:lang w:val="en-US" w:eastAsia="zh-CN"/>
        </w:rPr>
        <w:t>移动存储</w:t>
      </w:r>
      <w:r>
        <w:rPr>
          <w:rFonts w:hint="eastAsia" w:asciiTheme="minorEastAsia" w:hAnsiTheme="minorEastAsia"/>
          <w:color w:val="auto"/>
          <w:sz w:val="24"/>
          <w:szCs w:val="24"/>
          <w:highlight w:val="none"/>
        </w:rPr>
        <w:t>为介质的完整的安装系统，包括应用软件、运行所必须的附加软件、与应用软件有关的电子文档、用户培训文档等。在维护期内，中标人负责对本项目所涉及的软件出错性修改及本项目范围内的功能完善。维护范围包括(但不限于以下内容:1、软件安装，调试、维修、接口、集成;2、业务数据勘误与纠正;3、系统运行、现场服务等技术支持:4、软件缺陷修正应用功能修订等日常维护:5、应用系统运维需求:6、对实施该项目所应用到的软件产品，如有新版本或补丁，需提供升级服务)等内容。</w:t>
      </w:r>
    </w:p>
    <w:p w14:paraId="2C0F04BE">
      <w:pPr>
        <w:spacing w:line="276"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.3因厂商与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存在对需求理解有差异的可能性，要求所有软件功能需求的响应以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意见为准。</w:t>
      </w:r>
    </w:p>
    <w:p w14:paraId="39571DFB">
      <w:pPr>
        <w:spacing w:line="276"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rPr>
        <w:t>培训要求：培训应至少包括但不限于：软硬件系统的安装、部署、维护方法、系统的功能使用培训；</w:t>
      </w:r>
    </w:p>
    <w:p w14:paraId="42161D7B">
      <w:pPr>
        <w:spacing w:line="276" w:lineRule="auto"/>
        <w:ind w:firstLine="480" w:firstLineChars="200"/>
        <w:rPr>
          <w:rFonts w:hint="eastAsia"/>
          <w:color w:val="auto"/>
          <w:highlight w:val="none"/>
          <w:lang w:val="en-US"/>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.5</w:t>
      </w:r>
      <w:r>
        <w:rPr>
          <w:rFonts w:hint="eastAsia" w:ascii="宋体" w:hAnsi="宋体" w:eastAsia="宋体"/>
          <w:color w:val="auto"/>
          <w:sz w:val="24"/>
          <w:szCs w:val="24"/>
          <w:highlight w:val="none"/>
        </w:rPr>
        <w:t>为确保系统交付的完整性和可维护性，项目验收需在系统稳定运行的基础上，提供全套软件源代码及配套技术文档。技术文档应涵盖系统架构设计、数据库设计、接口规范、测试用例等核心内容，以满足项目验收的技术要求。</w:t>
      </w:r>
    </w:p>
    <w:p w14:paraId="1ADE58C4">
      <w:pPr>
        <w:pStyle w:val="2"/>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六、售后服务及其他要求</w:t>
      </w:r>
    </w:p>
    <w:p w14:paraId="546171DF">
      <w:pPr>
        <w:spacing w:line="312"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自本项目整体最终验收之日起，所有产品要求提供三年的免费质保服务。含软硬件维护和系统软件升级、系统BUG及漏洞修复、技术支持服务、系统管理及操作培训服务，免费提供系统个性化修改需求。请详细说明售后服务的内容。</w:t>
      </w:r>
    </w:p>
    <w:p w14:paraId="0AF0DE9C">
      <w:pPr>
        <w:spacing w:line="312"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.2安装调试要求：免费送货上门、安装调试、提供完善的设备及软件系统使用中文操作手册、图纸、网络详细拓扑图、系统配置、功能配置、设备配置及互联记录。</w:t>
      </w:r>
    </w:p>
    <w:p w14:paraId="1AD61822">
      <w:pPr>
        <w:spacing w:line="312"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color w:val="auto"/>
          <w:sz w:val="24"/>
          <w:szCs w:val="24"/>
          <w:highlight w:val="none"/>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2639AD37">
      <w:pPr>
        <w:pStyle w:val="11"/>
        <w:spacing w:line="360" w:lineRule="auto"/>
        <w:ind w:firstLineChars="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免费系统改造，支持信创电脑和服务器。</w:t>
      </w:r>
    </w:p>
    <w:p w14:paraId="1D246D21">
      <w:pPr>
        <w:pStyle w:val="2"/>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七、违约责任</w:t>
      </w:r>
    </w:p>
    <w:p w14:paraId="7F4C3579">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.1投标方所提供的产品/软件规格、技术标准、材料等质量不合格的，应及时更换，更换不及时的按逾期交货/交付处罚；因质量问题</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不同意接收，投标方应向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支付违约货款额5%违约金并赔偿</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经济损失。</w:t>
      </w:r>
    </w:p>
    <w:p w14:paraId="60299BE5">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.2若投标方提供的产品或软件侵犯了第三方合法权益而引发的任何纠纷或诉讼，均由投标方负责交涉并承担全部责任。</w:t>
      </w:r>
    </w:p>
    <w:p w14:paraId="302C5F62">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.3因包装、运输引起的货物损坏，按质量不合格处理。设备安装、调试完成之日起三个月内为设备质保期，在质保期期间若出现设备硬件故障或损坏的情况，</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有权要求投标方更换同等型号和配置的新设备，设备换新、安装、调试产生的所有费用由投标方承担。</w:t>
      </w:r>
    </w:p>
    <w:p w14:paraId="68557BFB">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.4</w:t>
      </w:r>
      <w:r>
        <w:rPr>
          <w:rFonts w:hint="eastAsia" w:ascii="宋体" w:hAnsi="宋体" w:eastAsia="宋体" w:cs="宋体"/>
          <w:color w:val="auto"/>
          <w:sz w:val="24"/>
          <w:highlight w:val="none"/>
        </w:rPr>
        <w:t> 投标方逾期交货</w:t>
      </w:r>
      <w:r>
        <w:rPr>
          <w:rFonts w:hint="eastAsia" w:ascii="宋体" w:hAnsi="宋体" w:eastAsia="宋体" w:cs="宋体"/>
          <w:color w:val="auto"/>
          <w:sz w:val="24"/>
          <w:highlight w:val="none"/>
          <w:lang w:val="en-US"/>
        </w:rPr>
        <w:t>/交付</w:t>
      </w:r>
      <w:r>
        <w:rPr>
          <w:rFonts w:hint="eastAsia" w:ascii="宋体" w:hAnsi="宋体" w:eastAsia="宋体" w:cs="宋体"/>
          <w:color w:val="auto"/>
          <w:sz w:val="24"/>
          <w:highlight w:val="none"/>
        </w:rPr>
        <w:t>的，每天向甲方偿付违约货款额3‰违约金，但违约金累计不得超过违约货款额 5% ，超过30天对方有权解除合同，违约方承担因此给对方造成的经济损失；</w:t>
      </w:r>
    </w:p>
    <w:p w14:paraId="2C491215">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.5售后服务违约：</w:t>
      </w:r>
    </w:p>
    <w:p w14:paraId="0D424BDF">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.5.1每缺少1次现场巡检记录，投标方应向甲方支付违约金5000元；</w:t>
      </w:r>
    </w:p>
    <w:p w14:paraId="109EAD3F">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.5.2不能按本技术参数文档第</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en-US"/>
        </w:rPr>
        <w:t>.3要求中按时提供设备备件的，故障上报24小时不能免费提供同档次或更高档次的备用设备解决问题，每超期一天，按500元/天向甲方支付违约金；</w:t>
      </w:r>
    </w:p>
    <w:p w14:paraId="6D4EEADE">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.5.3 投标方未按本技术要求和响应文件中规定的其他服务承诺提供售后服务的，每次投标方应按合同合计金额的5% 向甲方支付违约金。</w:t>
      </w:r>
    </w:p>
    <w:p w14:paraId="54BDEB65">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.6合同签订后7个工作日内进场实施，每个模块计划实施周期需在合同内写明。因软件提供商原因逾期不进场实施的，需按每天向</w:t>
      </w:r>
      <w:r>
        <w:rPr>
          <w:rFonts w:hint="eastAsia" w:ascii="宋体" w:hAnsi="宋体" w:eastAsia="宋体" w:cs="宋体"/>
          <w:color w:val="auto"/>
          <w:sz w:val="24"/>
          <w:highlight w:val="none"/>
          <w:lang w:val="en-US" w:eastAsia="zh-CN"/>
        </w:rPr>
        <w:t>甲</w:t>
      </w:r>
      <w:r>
        <w:rPr>
          <w:rFonts w:hint="eastAsia" w:ascii="宋体" w:hAnsi="宋体" w:eastAsia="宋体" w:cs="宋体"/>
          <w:color w:val="auto"/>
          <w:sz w:val="24"/>
          <w:highlight w:val="none"/>
        </w:rPr>
        <w:t>方支付合同款金额3‰作为违约金，超过30天，甲有权解除合同，乙方需承担因此给</w:t>
      </w:r>
      <w:r>
        <w:rPr>
          <w:rFonts w:hint="eastAsia" w:ascii="宋体" w:hAnsi="宋体" w:eastAsia="宋体" w:cs="宋体"/>
          <w:color w:val="auto"/>
          <w:sz w:val="24"/>
          <w:highlight w:val="none"/>
          <w:lang w:val="en-US" w:eastAsia="zh-CN"/>
        </w:rPr>
        <w:t>甲</w:t>
      </w:r>
      <w:r>
        <w:rPr>
          <w:rFonts w:hint="eastAsia" w:ascii="宋体" w:hAnsi="宋体" w:eastAsia="宋体" w:cs="宋体"/>
          <w:color w:val="auto"/>
          <w:sz w:val="24"/>
          <w:highlight w:val="none"/>
        </w:rPr>
        <w:t>方造成的经济损失；</w:t>
      </w:r>
      <w:r>
        <w:rPr>
          <w:rFonts w:hint="eastAsia" w:ascii="宋体" w:hAnsi="宋体" w:eastAsia="宋体" w:cs="宋体"/>
          <w:color w:val="auto"/>
          <w:sz w:val="24"/>
          <w:highlight w:val="none"/>
          <w:lang w:val="en-US"/>
        </w:rPr>
        <w:t>不能按照合同约定上线期限完成，需要书面申请说明原因，得到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书面同意后最多延期一个月，否则（或者延期一个月后）按每超期7天（一周）从总合同金额扣除5%的违约金。扣除比例达到总合同金额的50%及以上的，视为乙方违约，甲方有权单方面解除合同，并要求乙方退回所有</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已支付款项，同时按合同总金额的20%做为违约金支付给甲方。</w:t>
      </w:r>
    </w:p>
    <w:p w14:paraId="735B3D75">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.7任何一方违反本技术要求中“保密、廉洁条款”要求的，应承担相应的违约责任并赔偿由此造成的损失，损失累计金额超过合同款项的5%的，损失方同时有权终止合同并收回已付款项。</w:t>
      </w:r>
    </w:p>
    <w:p w14:paraId="28E96CEC">
      <w:pPr>
        <w:pStyle w:val="2"/>
        <w:spacing w:after="0" w:line="312" w:lineRule="auto"/>
        <w:ind w:firstLine="420"/>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6AA67635">
      <w:pPr>
        <w:pStyle w:val="2"/>
        <w:spacing w:after="0" w:line="312" w:lineRule="auto"/>
        <w:ind w:firstLine="420"/>
        <w:rPr>
          <w:rFonts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lang w:val="en-US"/>
        </w:rPr>
        <w:t>.9厂商不得在提供的硬件及软件系统中设置包括且不限于如：软硬件加密狗、加密软件、时间锁、授权码等限制硬件及软件系统正常运行的措施，</w:t>
      </w:r>
      <w:r>
        <w:rPr>
          <w:rFonts w:ascii="宋体" w:hAnsi="宋体" w:cs="宋体"/>
          <w:color w:val="auto"/>
          <w:kern w:val="2"/>
          <w:sz w:val="24"/>
          <w:highlight w:val="none"/>
          <w:lang w:val="en-US"/>
        </w:rPr>
        <w:t>如有</w:t>
      </w:r>
      <w:r>
        <w:rPr>
          <w:rFonts w:hint="eastAsia" w:ascii="宋体" w:hAnsi="宋体" w:cs="宋体"/>
          <w:color w:val="auto"/>
          <w:kern w:val="2"/>
          <w:sz w:val="24"/>
          <w:highlight w:val="none"/>
          <w:lang w:val="en-US"/>
        </w:rPr>
        <w:t>特殊</w:t>
      </w:r>
      <w:r>
        <w:rPr>
          <w:rFonts w:ascii="宋体" w:hAnsi="宋体" w:cs="宋体"/>
          <w:color w:val="auto"/>
          <w:kern w:val="2"/>
          <w:sz w:val="24"/>
          <w:highlight w:val="none"/>
          <w:lang w:val="en-US"/>
        </w:rPr>
        <w:t>需要</w:t>
      </w:r>
      <w:r>
        <w:rPr>
          <w:rFonts w:hint="eastAsia" w:ascii="宋体" w:hAnsi="宋体" w:cs="宋体"/>
          <w:color w:val="auto"/>
          <w:kern w:val="2"/>
          <w:sz w:val="24"/>
          <w:highlight w:val="none"/>
          <w:lang w:val="en-US"/>
        </w:rPr>
        <w:t>必须提交</w:t>
      </w:r>
      <w:r>
        <w:rPr>
          <w:rFonts w:ascii="宋体" w:hAnsi="宋体" w:cs="宋体"/>
          <w:color w:val="auto"/>
          <w:kern w:val="2"/>
          <w:sz w:val="24"/>
          <w:highlight w:val="none"/>
          <w:lang w:val="en-US"/>
        </w:rPr>
        <w:t>纸质</w:t>
      </w:r>
      <w:r>
        <w:rPr>
          <w:rFonts w:hint="eastAsia" w:ascii="宋体" w:hAnsi="宋体" w:cs="宋体"/>
          <w:color w:val="auto"/>
          <w:kern w:val="2"/>
          <w:sz w:val="24"/>
          <w:highlight w:val="none"/>
          <w:lang w:val="en-US"/>
        </w:rPr>
        <w:t>文件说明</w:t>
      </w:r>
      <w:r>
        <w:rPr>
          <w:rFonts w:ascii="宋体" w:hAnsi="宋体" w:cs="宋体"/>
          <w:color w:val="auto"/>
          <w:kern w:val="2"/>
          <w:sz w:val="24"/>
          <w:highlight w:val="none"/>
          <w:lang w:val="en-US"/>
        </w:rPr>
        <w:t>，经过</w:t>
      </w:r>
      <w:r>
        <w:rPr>
          <w:rFonts w:hint="eastAsia" w:ascii="宋体" w:hAnsi="宋体" w:cs="宋体"/>
          <w:color w:val="auto"/>
          <w:kern w:val="2"/>
          <w:sz w:val="24"/>
          <w:highlight w:val="none"/>
          <w:lang w:val="en-US" w:eastAsia="zh-CN"/>
        </w:rPr>
        <w:t>甲方</w:t>
      </w:r>
      <w:r>
        <w:rPr>
          <w:rFonts w:hint="eastAsia" w:ascii="宋体" w:hAnsi="宋体" w:cs="宋体"/>
          <w:color w:val="auto"/>
          <w:kern w:val="2"/>
          <w:sz w:val="24"/>
          <w:highlight w:val="none"/>
          <w:lang w:val="en-US"/>
        </w:rPr>
        <w:t>签字同意</w:t>
      </w:r>
      <w:r>
        <w:rPr>
          <w:rFonts w:ascii="宋体" w:hAnsi="宋体" w:cs="宋体"/>
          <w:color w:val="auto"/>
          <w:kern w:val="2"/>
          <w:sz w:val="24"/>
          <w:highlight w:val="none"/>
          <w:lang w:val="en-US"/>
        </w:rPr>
        <w:t>才可设置</w:t>
      </w:r>
      <w:r>
        <w:rPr>
          <w:rFonts w:hint="eastAsia" w:ascii="宋体" w:hAnsi="宋体" w:cs="宋体"/>
          <w:color w:val="auto"/>
          <w:kern w:val="2"/>
          <w:sz w:val="24"/>
          <w:highlight w:val="none"/>
          <w:lang w:val="en-US"/>
        </w:rPr>
        <w:t>，</w:t>
      </w:r>
      <w:r>
        <w:rPr>
          <w:rFonts w:hint="eastAsia" w:ascii="宋体" w:hAnsi="宋体" w:eastAsia="宋体" w:cs="宋体"/>
          <w:color w:val="auto"/>
          <w:kern w:val="2"/>
          <w:sz w:val="24"/>
          <w:highlight w:val="none"/>
          <w:lang w:val="en-US"/>
        </w:rPr>
        <w:t>否则视为乙方违约，乙方需要支付</w:t>
      </w:r>
      <w:r>
        <w:rPr>
          <w:rFonts w:hint="eastAsia" w:ascii="宋体" w:hAnsi="宋体" w:eastAsia="宋体" w:cs="宋体"/>
          <w:color w:val="auto"/>
          <w:kern w:val="2"/>
          <w:sz w:val="24"/>
          <w:highlight w:val="none"/>
          <w:lang w:val="en-US" w:eastAsia="zh-CN"/>
        </w:rPr>
        <w:t>甲方</w:t>
      </w:r>
      <w:r>
        <w:rPr>
          <w:rFonts w:hint="eastAsia" w:ascii="宋体" w:hAnsi="宋体" w:eastAsia="宋体" w:cs="宋体"/>
          <w:color w:val="auto"/>
          <w:kern w:val="2"/>
          <w:sz w:val="24"/>
          <w:highlight w:val="none"/>
          <w:lang w:val="en-US"/>
        </w:rPr>
        <w:t>违约金500000元（伍拾万元），在此基础上</w:t>
      </w:r>
      <w:r>
        <w:rPr>
          <w:rFonts w:hint="eastAsia" w:ascii="宋体" w:hAnsi="宋体" w:eastAsia="宋体" w:cs="宋体"/>
          <w:color w:val="auto"/>
          <w:kern w:val="2"/>
          <w:sz w:val="24"/>
          <w:highlight w:val="none"/>
          <w:lang w:val="en-US" w:eastAsia="zh-CN"/>
        </w:rPr>
        <w:t>甲方</w:t>
      </w:r>
      <w:r>
        <w:rPr>
          <w:rFonts w:hint="eastAsia" w:ascii="宋体" w:hAnsi="宋体" w:eastAsia="宋体" w:cs="宋体"/>
          <w:color w:val="auto"/>
          <w:kern w:val="2"/>
          <w:sz w:val="24"/>
          <w:highlight w:val="none"/>
          <w:lang w:val="en-US"/>
        </w:rPr>
        <w:t>有权要求乙方退回甲方已支付的所有款项。如对</w:t>
      </w:r>
      <w:r>
        <w:rPr>
          <w:rFonts w:hint="eastAsia" w:ascii="宋体" w:hAnsi="宋体" w:eastAsia="宋体" w:cs="宋体"/>
          <w:color w:val="auto"/>
          <w:kern w:val="2"/>
          <w:sz w:val="24"/>
          <w:highlight w:val="none"/>
          <w:lang w:val="en-US" w:eastAsia="zh-CN"/>
        </w:rPr>
        <w:t>甲方</w:t>
      </w:r>
      <w:r>
        <w:rPr>
          <w:rFonts w:hint="eastAsia" w:ascii="宋体" w:hAnsi="宋体" w:eastAsia="宋体" w:cs="宋体"/>
          <w:color w:val="auto"/>
          <w:kern w:val="2"/>
          <w:sz w:val="24"/>
          <w:highlight w:val="none"/>
          <w:lang w:val="en-US"/>
        </w:rPr>
        <w:t>造成损失的，甲方有权要求乙方赔偿。</w:t>
      </w:r>
    </w:p>
    <w:p w14:paraId="04627BF7">
      <w:pPr>
        <w:pStyle w:val="2"/>
        <w:spacing w:after="0" w:line="312" w:lineRule="auto"/>
        <w:ind w:firstLine="420"/>
        <w:rPr>
          <w:rFonts w:ascii="宋体" w:hAnsi="宋体" w:eastAsia="宋体" w:cs="宋体"/>
          <w:color w:val="auto"/>
          <w:kern w:val="2"/>
          <w:sz w:val="24"/>
          <w:highlight w:val="none"/>
          <w:lang w:val="en-US"/>
        </w:rPr>
      </w:pP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lang w:val="en-US"/>
        </w:rPr>
        <w:t>.10</w:t>
      </w:r>
      <w:r>
        <w:rPr>
          <w:rFonts w:ascii="宋体" w:hAnsi="宋体" w:eastAsia="宋体" w:cs="宋体"/>
          <w:color w:val="auto"/>
          <w:kern w:val="2"/>
          <w:sz w:val="24"/>
          <w:highlight w:val="none"/>
          <w:lang w:val="en-US"/>
        </w:rPr>
        <w:t>厂商驻场工程师人员变更必须得到</w:t>
      </w:r>
      <w:r>
        <w:rPr>
          <w:rFonts w:hint="eastAsia" w:ascii="宋体" w:hAnsi="宋体" w:eastAsia="宋体" w:cs="宋体"/>
          <w:color w:val="auto"/>
          <w:kern w:val="2"/>
          <w:sz w:val="24"/>
          <w:highlight w:val="none"/>
          <w:lang w:val="en-US" w:eastAsia="zh-CN"/>
        </w:rPr>
        <w:t>甲方</w:t>
      </w:r>
      <w:r>
        <w:rPr>
          <w:rFonts w:ascii="宋体" w:hAnsi="宋体" w:eastAsia="宋体" w:cs="宋体"/>
          <w:color w:val="auto"/>
          <w:kern w:val="2"/>
          <w:sz w:val="24"/>
          <w:highlight w:val="none"/>
          <w:lang w:val="en-US"/>
        </w:rPr>
        <w:t>书面同意，否则视为</w:t>
      </w:r>
      <w:r>
        <w:rPr>
          <w:rFonts w:hint="eastAsia" w:ascii="宋体" w:hAnsi="宋体" w:eastAsia="宋体" w:cs="宋体"/>
          <w:color w:val="auto"/>
          <w:kern w:val="2"/>
          <w:sz w:val="24"/>
          <w:highlight w:val="none"/>
          <w:lang w:val="en-US"/>
        </w:rPr>
        <w:t>乙方</w:t>
      </w:r>
      <w:r>
        <w:rPr>
          <w:rFonts w:ascii="宋体" w:hAnsi="宋体" w:eastAsia="宋体" w:cs="宋体"/>
          <w:color w:val="auto"/>
          <w:kern w:val="2"/>
          <w:sz w:val="24"/>
          <w:highlight w:val="none"/>
          <w:lang w:val="en-US"/>
        </w:rPr>
        <w:t>违约，</w:t>
      </w:r>
      <w:r>
        <w:rPr>
          <w:rFonts w:hint="eastAsia" w:ascii="宋体" w:hAnsi="宋体" w:eastAsia="宋体" w:cs="宋体"/>
          <w:color w:val="auto"/>
          <w:kern w:val="2"/>
          <w:sz w:val="24"/>
          <w:highlight w:val="none"/>
          <w:lang w:val="en-US"/>
        </w:rPr>
        <w:t>甲</w:t>
      </w:r>
      <w:r>
        <w:rPr>
          <w:rFonts w:ascii="宋体" w:hAnsi="宋体" w:eastAsia="宋体" w:cs="宋体"/>
          <w:color w:val="auto"/>
          <w:kern w:val="2"/>
          <w:sz w:val="24"/>
          <w:highlight w:val="none"/>
          <w:lang w:val="en-US"/>
        </w:rPr>
        <w:t>方有权按500</w:t>
      </w:r>
      <w:r>
        <w:rPr>
          <w:rFonts w:hint="eastAsia" w:ascii="宋体" w:hAnsi="宋体" w:eastAsia="宋体" w:cs="宋体"/>
          <w:color w:val="auto"/>
          <w:kern w:val="2"/>
          <w:sz w:val="24"/>
          <w:highlight w:val="none"/>
          <w:lang w:val="en-US"/>
        </w:rPr>
        <w:t>0</w:t>
      </w:r>
      <w:r>
        <w:rPr>
          <w:rFonts w:ascii="宋体" w:hAnsi="宋体" w:eastAsia="宋体" w:cs="宋体"/>
          <w:color w:val="auto"/>
          <w:kern w:val="2"/>
          <w:sz w:val="24"/>
          <w:highlight w:val="none"/>
          <w:lang w:val="en-US"/>
        </w:rPr>
        <w:t>元/人/次从合同总款中扣除</w:t>
      </w:r>
      <w:r>
        <w:rPr>
          <w:rFonts w:hint="eastAsia" w:ascii="宋体" w:hAnsi="宋体" w:eastAsia="宋体" w:cs="宋体"/>
          <w:color w:val="auto"/>
          <w:kern w:val="2"/>
          <w:sz w:val="24"/>
          <w:highlight w:val="none"/>
          <w:lang w:val="en-US"/>
        </w:rPr>
        <w:t>。</w:t>
      </w:r>
    </w:p>
    <w:bookmarkEnd w:id="1"/>
    <w:p w14:paraId="1AC87A9B">
      <w:pPr>
        <w:pStyle w:val="2"/>
        <w:spacing w:after="0" w:line="312" w:lineRule="auto"/>
        <w:rPr>
          <w:rFonts w:hint="eastAsia" w:ascii="宋体" w:hAnsi="宋体" w:eastAsia="宋体" w:cs="宋体"/>
          <w:b/>
          <w:bCs/>
          <w:color w:val="auto"/>
          <w:sz w:val="28"/>
          <w:highlight w:val="none"/>
          <w:lang w:val="en-US" w:eastAsia="zh-CN"/>
        </w:rPr>
      </w:pPr>
      <w:bookmarkStart w:id="2" w:name="_Toc507405799"/>
      <w:bookmarkStart w:id="3" w:name="_Toc507405800"/>
      <w:r>
        <w:rPr>
          <w:rFonts w:hint="eastAsia" w:ascii="宋体" w:hAnsi="宋体" w:eastAsia="宋体" w:cs="宋体"/>
          <w:b/>
          <w:bCs/>
          <w:color w:val="auto"/>
          <w:sz w:val="28"/>
          <w:highlight w:val="none"/>
          <w:lang w:val="en-US" w:eastAsia="zh-CN"/>
        </w:rPr>
        <w:t>八、保密、廉洁协议</w:t>
      </w:r>
    </w:p>
    <w:p w14:paraId="5CFC54CA">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2BF17138">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双方不得以任何方式向第三方泄露本项目的软件技术、设计方案以及功能配置等内容。</w:t>
      </w:r>
    </w:p>
    <w:p w14:paraId="45584B73">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.3不以任何方式向第三方泄露在本协议开发实施过程中获取的经济、技术、数据以及双方其他非公开的信息。</w:t>
      </w:r>
    </w:p>
    <w:p w14:paraId="04A010E5">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360DF2F">
      <w:pPr>
        <w:spacing w:line="312" w:lineRule="auto"/>
        <w:ind w:firstLine="480" w:firstLineChars="200"/>
        <w:jc w:val="left"/>
        <w:rPr>
          <w:color w:val="auto"/>
          <w:highlight w:val="none"/>
          <w:lang w:val="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.5保密期限自本合同生效之日起永久有效，如乙方需解除保密协议需向甲方提出书面申请，双方协商同意签字确认后方可解除。</w:t>
      </w:r>
    </w:p>
    <w:p w14:paraId="37F7EE73">
      <w:pPr>
        <w:pStyle w:val="2"/>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九、报价</w:t>
      </w:r>
    </w:p>
    <w:p w14:paraId="278CB6DE">
      <w:pPr>
        <w:pStyle w:val="2"/>
        <w:spacing w:after="0" w:line="312"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rPr>
        <w:t>竞标文件提供技术偏离表、服务偏离表，并标明详细的技术和服务内容。竞标文件按系统模块报价，报价表价格包含系统软硬件费用、产品安装、调试实施、培训费用、产品升级费用、</w:t>
      </w:r>
      <w:r>
        <w:rPr>
          <w:rFonts w:hint="eastAsia" w:ascii="宋体" w:hAnsi="宋体" w:eastAsia="宋体"/>
          <w:color w:val="auto"/>
          <w:sz w:val="24"/>
          <w:highlight w:val="none"/>
        </w:rPr>
        <w:t>接口费（包括第三方厂家的接口费）等费用</w:t>
      </w:r>
      <w:r>
        <w:rPr>
          <w:rFonts w:hint="eastAsia" w:ascii="宋体" w:hAnsi="宋体" w:eastAsia="宋体" w:cs="宋体"/>
          <w:color w:val="auto"/>
          <w:sz w:val="24"/>
          <w:highlight w:val="none"/>
        </w:rPr>
        <w:t>，以及明示所有责任、义务和一切风险。</w:t>
      </w:r>
    </w:p>
    <w:p w14:paraId="7E176BD0">
      <w:pPr>
        <w:pStyle w:val="2"/>
        <w:spacing w:after="0" w:line="312"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en-US"/>
        </w:rPr>
        <w:t>.2</w:t>
      </w:r>
      <w:r>
        <w:rPr>
          <w:rFonts w:hint="eastAsia" w:ascii="宋体" w:hAnsi="宋体" w:eastAsia="宋体" w:cs="宋体"/>
          <w:color w:val="auto"/>
          <w:sz w:val="24"/>
          <w:highlight w:val="none"/>
        </w:rPr>
        <w:t>竞标文件需提供</w:t>
      </w:r>
      <w:r>
        <w:rPr>
          <w:rFonts w:hint="eastAsia" w:ascii="宋体" w:hAnsi="宋体" w:cs="宋体"/>
          <w:color w:val="auto"/>
          <w:sz w:val="24"/>
          <w:highlight w:val="none"/>
        </w:rPr>
        <w:t>维保期方案及报价</w:t>
      </w:r>
      <w:r>
        <w:rPr>
          <w:rFonts w:hint="eastAsia" w:ascii="宋体" w:hAnsi="宋体" w:eastAsia="宋体" w:cs="宋体"/>
          <w:color w:val="auto"/>
          <w:sz w:val="24"/>
          <w:highlight w:val="none"/>
        </w:rPr>
        <w:t>。</w:t>
      </w:r>
    </w:p>
    <w:p w14:paraId="57F2C056">
      <w:pPr>
        <w:pStyle w:val="2"/>
        <w:spacing w:after="0" w:line="312"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竞标文件需提供系统详细图文介绍。系统实施验收参照本技术文档及竞标文件提供的图文介绍为依据。</w:t>
      </w:r>
    </w:p>
    <w:p w14:paraId="5B41A4B5">
      <w:pPr>
        <w:spacing w:line="312"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.4如项目功能二次开发内容涉及</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采购的第三方产品，请在标书内标明哪些功能的实现需要二次开发接口。</w:t>
      </w:r>
    </w:p>
    <w:p w14:paraId="3E433444">
      <w:pPr>
        <w:pStyle w:val="2"/>
        <w:spacing w:after="0" w:line="312" w:lineRule="auto"/>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十、付款方式</w:t>
      </w:r>
      <w:bookmarkEnd w:id="2"/>
    </w:p>
    <w:p w14:paraId="1842EA52">
      <w:pPr>
        <w:pStyle w:val="11"/>
        <w:spacing w:line="360" w:lineRule="auto"/>
        <w:ind w:firstLine="614" w:firstLineChars="256"/>
        <w:rPr>
          <w:color w:val="auto"/>
          <w:sz w:val="24"/>
          <w:highlight w:val="none"/>
        </w:rPr>
      </w:pPr>
      <w:r>
        <w:rPr>
          <w:rFonts w:hint="eastAsia" w:ascii="宋体" w:hAnsi="宋体" w:eastAsia="宋体" w:cs="微软雅黑"/>
          <w:color w:val="auto"/>
          <w:sz w:val="24"/>
          <w:szCs w:val="24"/>
          <w:highlight w:val="none"/>
        </w:rPr>
        <w:t>项目双方签订合同，</w:t>
      </w:r>
      <w:r>
        <w:rPr>
          <w:rFonts w:hint="eastAsia" w:ascii="宋体" w:hAnsi="宋体" w:eastAsia="宋体"/>
          <w:color w:val="auto"/>
          <w:sz w:val="24"/>
          <w:szCs w:val="24"/>
          <w:highlight w:val="none"/>
        </w:rPr>
        <w:t>项目</w:t>
      </w:r>
      <w:r>
        <w:rPr>
          <w:rFonts w:hint="eastAsia" w:ascii="宋体" w:hAnsi="宋体" w:eastAsia="宋体"/>
          <w:color w:val="auto"/>
          <w:sz w:val="24"/>
          <w:szCs w:val="24"/>
          <w:highlight w:val="none"/>
          <w:lang w:val="en-US" w:eastAsia="zh-CN"/>
        </w:rPr>
        <w:t>交付实施</w:t>
      </w:r>
      <w:bookmarkStart w:id="4" w:name="_GoBack"/>
      <w:bookmarkEnd w:id="4"/>
      <w:r>
        <w:rPr>
          <w:rFonts w:hint="eastAsia" w:ascii="宋体" w:hAnsi="宋体" w:eastAsia="宋体"/>
          <w:color w:val="auto"/>
          <w:sz w:val="24"/>
          <w:szCs w:val="24"/>
          <w:highlight w:val="none"/>
        </w:rPr>
        <w:t>，</w:t>
      </w:r>
      <w:r>
        <w:rPr>
          <w:rFonts w:hint="eastAsia" w:ascii="宋体" w:hAnsi="宋体" w:eastAsia="宋体" w:cs="微软雅黑"/>
          <w:color w:val="auto"/>
          <w:sz w:val="24"/>
          <w:szCs w:val="24"/>
          <w:highlight w:val="none"/>
        </w:rPr>
        <w:t>用户支付合同款项的30%；合同中所有功能及模块实施完毕，系统上线稳定运行3个月后，启动项目验收，验收合格后甲方支付合同款项的60%，自验收合格之日起，</w:t>
      </w:r>
      <w:bookmarkEnd w:id="3"/>
      <w:r>
        <w:rPr>
          <w:rFonts w:hint="eastAsia" w:ascii="宋体" w:hAnsi="宋体" w:eastAsia="宋体"/>
          <w:color w:val="auto"/>
          <w:sz w:val="24"/>
          <w:szCs w:val="24"/>
          <w:highlight w:val="none"/>
        </w:rPr>
        <w:t>稳定运行1个月后，甲方支付合同款项的10%（不计利息）。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00D3D"/>
    <w:rsid w:val="00026AB7"/>
    <w:rsid w:val="000902B0"/>
    <w:rsid w:val="000C76ED"/>
    <w:rsid w:val="000E2410"/>
    <w:rsid w:val="00111414"/>
    <w:rsid w:val="001649DC"/>
    <w:rsid w:val="00181773"/>
    <w:rsid w:val="001A11FC"/>
    <w:rsid w:val="001A1C12"/>
    <w:rsid w:val="002A0325"/>
    <w:rsid w:val="002A29C0"/>
    <w:rsid w:val="002A4E0D"/>
    <w:rsid w:val="00306E6E"/>
    <w:rsid w:val="003A1F93"/>
    <w:rsid w:val="003E62DF"/>
    <w:rsid w:val="00435C7C"/>
    <w:rsid w:val="00481560"/>
    <w:rsid w:val="00491534"/>
    <w:rsid w:val="00495281"/>
    <w:rsid w:val="004D3BA6"/>
    <w:rsid w:val="00516F38"/>
    <w:rsid w:val="00586754"/>
    <w:rsid w:val="005D449A"/>
    <w:rsid w:val="00645C4D"/>
    <w:rsid w:val="006A3CAE"/>
    <w:rsid w:val="006C202C"/>
    <w:rsid w:val="006E7202"/>
    <w:rsid w:val="0076659B"/>
    <w:rsid w:val="00795FAC"/>
    <w:rsid w:val="00865848"/>
    <w:rsid w:val="008C322F"/>
    <w:rsid w:val="009620EE"/>
    <w:rsid w:val="00A140D3"/>
    <w:rsid w:val="00A824C3"/>
    <w:rsid w:val="00B273C1"/>
    <w:rsid w:val="00B313C4"/>
    <w:rsid w:val="00B6126A"/>
    <w:rsid w:val="00B759E0"/>
    <w:rsid w:val="00BA3511"/>
    <w:rsid w:val="00CC36FA"/>
    <w:rsid w:val="00CD73D7"/>
    <w:rsid w:val="00D02954"/>
    <w:rsid w:val="00D5380E"/>
    <w:rsid w:val="00DC1FBB"/>
    <w:rsid w:val="00E020C4"/>
    <w:rsid w:val="00E422DA"/>
    <w:rsid w:val="00E61AD4"/>
    <w:rsid w:val="00F13AA1"/>
    <w:rsid w:val="038608DA"/>
    <w:rsid w:val="06DF14B2"/>
    <w:rsid w:val="072E01FC"/>
    <w:rsid w:val="08741252"/>
    <w:rsid w:val="0A791D80"/>
    <w:rsid w:val="0F2A1F3D"/>
    <w:rsid w:val="10902C02"/>
    <w:rsid w:val="109B068D"/>
    <w:rsid w:val="12B1033C"/>
    <w:rsid w:val="12D1790A"/>
    <w:rsid w:val="1334174C"/>
    <w:rsid w:val="14782DB8"/>
    <w:rsid w:val="14AF00BD"/>
    <w:rsid w:val="14DA1838"/>
    <w:rsid w:val="153D4F2B"/>
    <w:rsid w:val="165C1DAE"/>
    <w:rsid w:val="16ED2D59"/>
    <w:rsid w:val="174D1CA9"/>
    <w:rsid w:val="17536FF6"/>
    <w:rsid w:val="17541870"/>
    <w:rsid w:val="181F398A"/>
    <w:rsid w:val="19151124"/>
    <w:rsid w:val="1A251034"/>
    <w:rsid w:val="1AA944D3"/>
    <w:rsid w:val="1B5C436C"/>
    <w:rsid w:val="1B91509A"/>
    <w:rsid w:val="1D9262D5"/>
    <w:rsid w:val="1D9C43FD"/>
    <w:rsid w:val="1F47327F"/>
    <w:rsid w:val="22293C01"/>
    <w:rsid w:val="224243ED"/>
    <w:rsid w:val="24DA1462"/>
    <w:rsid w:val="24FB67F9"/>
    <w:rsid w:val="251440B7"/>
    <w:rsid w:val="251F0377"/>
    <w:rsid w:val="25D43FBF"/>
    <w:rsid w:val="26AA16D4"/>
    <w:rsid w:val="284C2F0D"/>
    <w:rsid w:val="290632D5"/>
    <w:rsid w:val="2C6E439E"/>
    <w:rsid w:val="2C8F073A"/>
    <w:rsid w:val="2CA67011"/>
    <w:rsid w:val="2D3E100C"/>
    <w:rsid w:val="2E55261B"/>
    <w:rsid w:val="30412C06"/>
    <w:rsid w:val="34906983"/>
    <w:rsid w:val="34A02F04"/>
    <w:rsid w:val="367D4F11"/>
    <w:rsid w:val="395C56DE"/>
    <w:rsid w:val="3A6B617C"/>
    <w:rsid w:val="3A965B44"/>
    <w:rsid w:val="3B4F3BCB"/>
    <w:rsid w:val="3D655CAD"/>
    <w:rsid w:val="3DCF123E"/>
    <w:rsid w:val="3E3103B1"/>
    <w:rsid w:val="3FFE146B"/>
    <w:rsid w:val="412C5A7C"/>
    <w:rsid w:val="41971DBD"/>
    <w:rsid w:val="43CC4B30"/>
    <w:rsid w:val="44511123"/>
    <w:rsid w:val="455A3219"/>
    <w:rsid w:val="457173F8"/>
    <w:rsid w:val="47FA24B7"/>
    <w:rsid w:val="480C0CC5"/>
    <w:rsid w:val="49C017DB"/>
    <w:rsid w:val="4A9D59B9"/>
    <w:rsid w:val="4BF413EA"/>
    <w:rsid w:val="4F640350"/>
    <w:rsid w:val="507D710A"/>
    <w:rsid w:val="50844495"/>
    <w:rsid w:val="508670F0"/>
    <w:rsid w:val="50A873B9"/>
    <w:rsid w:val="52C84CF5"/>
    <w:rsid w:val="53C8719C"/>
    <w:rsid w:val="54361EC0"/>
    <w:rsid w:val="54E82BB7"/>
    <w:rsid w:val="55B43D13"/>
    <w:rsid w:val="562C3FA0"/>
    <w:rsid w:val="56864135"/>
    <w:rsid w:val="585573E7"/>
    <w:rsid w:val="59300EE8"/>
    <w:rsid w:val="5A334C18"/>
    <w:rsid w:val="5C2974BB"/>
    <w:rsid w:val="5C4B79F0"/>
    <w:rsid w:val="5C6164F3"/>
    <w:rsid w:val="5EEF047E"/>
    <w:rsid w:val="5FF32C4D"/>
    <w:rsid w:val="60275FB7"/>
    <w:rsid w:val="606A2F3D"/>
    <w:rsid w:val="607B2E53"/>
    <w:rsid w:val="63EF6D4C"/>
    <w:rsid w:val="640E7F08"/>
    <w:rsid w:val="65EF576E"/>
    <w:rsid w:val="67234BE8"/>
    <w:rsid w:val="67C37F93"/>
    <w:rsid w:val="686C39B1"/>
    <w:rsid w:val="68B72934"/>
    <w:rsid w:val="69833858"/>
    <w:rsid w:val="69A9737D"/>
    <w:rsid w:val="6A5B6461"/>
    <w:rsid w:val="6B9E401E"/>
    <w:rsid w:val="6BC2208C"/>
    <w:rsid w:val="6C1A6998"/>
    <w:rsid w:val="6F5B1D9A"/>
    <w:rsid w:val="6F931000"/>
    <w:rsid w:val="711C77D0"/>
    <w:rsid w:val="73051406"/>
    <w:rsid w:val="73F71B2F"/>
    <w:rsid w:val="7524075C"/>
    <w:rsid w:val="75761E7D"/>
    <w:rsid w:val="76C64F98"/>
    <w:rsid w:val="78D637AD"/>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annotation text"/>
    <w:basedOn w:val="1"/>
    <w:qFormat/>
    <w:uiPriority w:val="0"/>
    <w:pPr>
      <w:jc w:val="left"/>
    </w:pPr>
  </w:style>
  <w:style w:type="paragraph" w:styleId="5">
    <w:name w:val="Body Text Indent 2"/>
    <w:basedOn w:val="1"/>
    <w:qFormat/>
    <w:uiPriority w:val="0"/>
    <w:pPr>
      <w:ind w:firstLine="630"/>
    </w:pPr>
    <w:rPr>
      <w:sz w:val="32"/>
      <w:szCs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p15"/>
    <w:basedOn w:val="1"/>
    <w:qFormat/>
    <w:uiPriority w:val="0"/>
    <w:pPr>
      <w:widowControl/>
      <w:ind w:firstLine="420"/>
    </w:pPr>
    <w:rPr>
      <w:kern w:val="0"/>
      <w:szCs w:val="21"/>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 w:type="paragraph" w:styleId="15">
    <w:name w:val="No Spacing"/>
    <w:qFormat/>
    <w:uiPriority w:val="1"/>
    <w:pPr>
      <w:widowControl w:val="0"/>
    </w:pPr>
    <w:rPr>
      <w:rFonts w:asciiTheme="minorHAnsi" w:hAnsiTheme="minorHAnsi" w:eastAsiaTheme="minorEastAsia" w:cstheme="minorBidi"/>
      <w:kern w:val="2"/>
      <w:sz w:val="21"/>
      <w:szCs w:val="22"/>
      <w:lang w:val="en-US" w:eastAsia="zh-CN" w:bidi="ar-SA"/>
    </w:rPr>
  </w:style>
  <w:style w:type="paragraph" w:customStyle="1" w:styleId="16">
    <w:name w:val="List Paragraph1"/>
    <w:basedOn w:val="1"/>
    <w:qFormat/>
    <w:uiPriority w:val="0"/>
    <w:pPr>
      <w:ind w:firstLine="420" w:firstLineChars="200"/>
    </w:pPr>
    <w:rPr>
      <w:rFonts w:ascii="等线" w:hAnsi="等线" w:eastAsia="等线" w:cs="Arial"/>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5549</Words>
  <Characters>5762</Characters>
  <Lines>76</Lines>
  <Paragraphs>21</Paragraphs>
  <TotalTime>35</TotalTime>
  <ScaleCrop>false</ScaleCrop>
  <LinksUpToDate>false</LinksUpToDate>
  <CharactersWithSpaces>5795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2025-03-20T14:39:00Z</dcterms:created>
  <dc:creator>LGYY-USER</dc:creator>
  <cp:lastModifiedBy>H</cp:lastModifiedBy>
  <dcterms:modified xsi:type="dcterms:W3CDTF">2025-05-06T05:12:12Z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eyJoZGlkIjoiMzVkZTQ3OTg3NDhmMTUwZDNkNDg5OTRiNDJhNjM0M2UiLCJ1c2VySWQiOiI0NjU3OTYzMjAifQ==</vt:lpwstr>
  </property>
  <property fmtid="{D5CDD505-2E9C-101B-9397-08002B2CF9AE}" pid="4" name="ICV">
    <vt:lpwstr>1B5730CCF12E4EA0B1123F383300670D_12</vt:lpwstr>
  </property>
</Properties>
</file>