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2467D">
      <w:pPr>
        <w:spacing w:line="360" w:lineRule="auto"/>
        <w:jc w:val="center"/>
        <w:rPr>
          <w:rFonts w:hint="eastAsia" w:ascii="宋体" w:hAnsi="宋体" w:eastAsia="宋体" w:cs="宋体"/>
          <w:sz w:val="32"/>
          <w:szCs w:val="32"/>
        </w:rPr>
      </w:pPr>
      <w:r>
        <w:rPr>
          <w:rFonts w:hint="eastAsia" w:ascii="宋体" w:hAnsi="宋体" w:eastAsia="宋体" w:cs="宋体"/>
          <w:b/>
          <w:color w:val="auto"/>
          <w:sz w:val="30"/>
          <w:szCs w:val="30"/>
          <w:lang w:val="en-US" w:eastAsia="zh-CN"/>
        </w:rPr>
        <w:t>柳州市工人医院2025</w:t>
      </w:r>
      <w:bookmarkStart w:id="0" w:name="_GoBack"/>
      <w:bookmarkEnd w:id="0"/>
      <w:r>
        <w:rPr>
          <w:rFonts w:hint="eastAsia" w:ascii="宋体" w:hAnsi="宋体" w:eastAsia="宋体" w:cs="宋体"/>
          <w:b/>
          <w:color w:val="auto"/>
          <w:sz w:val="30"/>
          <w:szCs w:val="30"/>
          <w:lang w:val="en-US" w:eastAsia="zh-CN"/>
        </w:rPr>
        <w:t>年年度电力市场化交易采购</w:t>
      </w:r>
    </w:p>
    <w:p w14:paraId="23001FA4">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一、项目名称</w:t>
      </w:r>
    </w:p>
    <w:p w14:paraId="3A128E2D">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柳州市工人医院2025年年度电力市场化交易采购</w:t>
      </w:r>
    </w:p>
    <w:p w14:paraId="6780AE9E">
      <w:pPr>
        <w:tabs>
          <w:tab w:val="left" w:pos="7275"/>
        </w:tabs>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二、项目概况</w:t>
      </w:r>
    </w:p>
    <w:p w14:paraId="20D9380E">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为了降低医院用电成本，拟实行通过售电公司购电实现电价差优惠。计划采购2025年7-12月的电能量，合计用电量约20000兆瓦时（以实际发生额为准）。</w:t>
      </w:r>
    </w:p>
    <w:p w14:paraId="5B144205">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三、投标人/供应商资格条件</w:t>
      </w:r>
    </w:p>
    <w:p w14:paraId="35FF73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投标人需为</w:t>
      </w:r>
      <w:r>
        <w:rPr>
          <w:rFonts w:hint="eastAsia" w:ascii="仿宋" w:hAnsi="仿宋" w:eastAsia="仿宋" w:cs="仿宋"/>
          <w:color w:val="auto"/>
          <w:sz w:val="24"/>
          <w:szCs w:val="24"/>
          <w:lang w:val="en-US" w:eastAsia="zh-CN"/>
        </w:rPr>
        <w:t>国内注册（指按国家有关规定要求注册的）具备独立法人资格的售电企业；具有电力交易市场售电公司资格。</w:t>
      </w:r>
    </w:p>
    <w:p w14:paraId="2565208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投标人三年内在经营活动中没有重大违法记录和不良信用记录</w:t>
      </w:r>
      <w:r>
        <w:rPr>
          <w:rFonts w:hint="eastAsia" w:ascii="仿宋" w:hAnsi="仿宋" w:eastAsia="仿宋" w:cs="仿宋"/>
          <w:color w:val="auto"/>
          <w:sz w:val="24"/>
          <w:szCs w:val="24"/>
          <w:lang w:eastAsia="zh-CN"/>
        </w:rPr>
        <w:t>；</w:t>
      </w:r>
    </w:p>
    <w:p w14:paraId="503B1A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投标人提供有效的“营业执照”副本复印件（3证合一）；</w:t>
      </w:r>
    </w:p>
    <w:p w14:paraId="07BA363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投标人需提供广西电力交易系统发布的</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年连续四个季度的 AAA 信用评价文件。</w:t>
      </w:r>
    </w:p>
    <w:p w14:paraId="7CC279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2025年缴纳保函金额在3800万以上。</w:t>
      </w:r>
    </w:p>
    <w:p w14:paraId="7CA5D13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不接受联合体投标。</w:t>
      </w:r>
    </w:p>
    <w:p w14:paraId="21B26198">
      <w:pPr>
        <w:keepNext w:val="0"/>
        <w:keepLines w:val="0"/>
        <w:pageBreakBefore w:val="0"/>
        <w:kinsoku/>
        <w:wordWrap/>
        <w:overflowPunct/>
        <w:topLinePunct w:val="0"/>
        <w:bidi w:val="0"/>
        <w:snapToGrid/>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四、项目内容</w:t>
      </w:r>
    </w:p>
    <w:p w14:paraId="1E495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采购内容清单：</w:t>
      </w:r>
    </w:p>
    <w:tbl>
      <w:tblPr>
        <w:tblStyle w:val="19"/>
        <w:tblpPr w:leftFromText="180" w:rightFromText="180" w:vertAnchor="text" w:horzAnchor="page" w:tblpXSpec="center" w:tblpY="317"/>
        <w:tblOverlap w:val="never"/>
        <w:tblW w:w="91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1"/>
        <w:gridCol w:w="2295"/>
        <w:gridCol w:w="1110"/>
        <w:gridCol w:w="1650"/>
        <w:gridCol w:w="1710"/>
        <w:gridCol w:w="1059"/>
      </w:tblGrid>
      <w:tr w14:paraId="098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9155" w:type="dxa"/>
            <w:gridSpan w:val="6"/>
            <w:noWrap w:val="0"/>
            <w:vAlign w:val="top"/>
          </w:tcPr>
          <w:p w14:paraId="27E9B4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柳州市工人医院2025年7-12月电量</w:t>
            </w:r>
          </w:p>
        </w:tc>
      </w:tr>
      <w:tr w14:paraId="123BC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1331" w:type="dxa"/>
            <w:noWrap w:val="0"/>
            <w:vAlign w:val="center"/>
          </w:tcPr>
          <w:p w14:paraId="04E2E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公司名称</w:t>
            </w:r>
          </w:p>
        </w:tc>
        <w:tc>
          <w:tcPr>
            <w:tcW w:w="2295" w:type="dxa"/>
            <w:noWrap w:val="0"/>
            <w:vAlign w:val="center"/>
          </w:tcPr>
          <w:p w14:paraId="25D2E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地址</w:t>
            </w:r>
          </w:p>
        </w:tc>
        <w:tc>
          <w:tcPr>
            <w:tcW w:w="1110" w:type="dxa"/>
            <w:noWrap w:val="0"/>
            <w:vAlign w:val="center"/>
          </w:tcPr>
          <w:p w14:paraId="216A5E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电压等级</w:t>
            </w:r>
          </w:p>
        </w:tc>
        <w:tc>
          <w:tcPr>
            <w:tcW w:w="1650" w:type="dxa"/>
            <w:noWrap w:val="0"/>
            <w:vAlign w:val="center"/>
          </w:tcPr>
          <w:p w14:paraId="675B7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预估电量</w:t>
            </w:r>
          </w:p>
          <w:p w14:paraId="2D3F0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（兆瓦时）</w:t>
            </w:r>
          </w:p>
        </w:tc>
        <w:tc>
          <w:tcPr>
            <w:tcW w:w="1710" w:type="dxa"/>
            <w:noWrap w:val="0"/>
            <w:vAlign w:val="center"/>
          </w:tcPr>
          <w:p w14:paraId="08293A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p w14:paraId="4E080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（元/千瓦时）</w:t>
            </w:r>
          </w:p>
        </w:tc>
        <w:tc>
          <w:tcPr>
            <w:tcW w:w="1059" w:type="dxa"/>
            <w:noWrap w:val="0"/>
            <w:vAlign w:val="center"/>
          </w:tcPr>
          <w:p w14:paraId="4194A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r>
      <w:tr w14:paraId="3DD48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1331" w:type="dxa"/>
            <w:noWrap w:val="0"/>
            <w:vAlign w:val="center"/>
          </w:tcPr>
          <w:p w14:paraId="01291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柳州市工人医院</w:t>
            </w:r>
          </w:p>
        </w:tc>
        <w:tc>
          <w:tcPr>
            <w:tcW w:w="2295" w:type="dxa"/>
            <w:noWrap w:val="0"/>
            <w:vAlign w:val="center"/>
          </w:tcPr>
          <w:p w14:paraId="1A51C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柳州市柳南区和平路156号</w:t>
            </w:r>
          </w:p>
        </w:tc>
        <w:tc>
          <w:tcPr>
            <w:tcW w:w="1110" w:type="dxa"/>
            <w:noWrap w:val="0"/>
            <w:vAlign w:val="center"/>
          </w:tcPr>
          <w:p w14:paraId="516CA0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 KV</w:t>
            </w:r>
          </w:p>
        </w:tc>
        <w:tc>
          <w:tcPr>
            <w:tcW w:w="1650" w:type="dxa"/>
            <w:noWrap w:val="0"/>
            <w:vAlign w:val="center"/>
          </w:tcPr>
          <w:p w14:paraId="56362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20000</w:t>
            </w:r>
          </w:p>
        </w:tc>
        <w:tc>
          <w:tcPr>
            <w:tcW w:w="1710" w:type="dxa"/>
            <w:noWrap w:val="0"/>
            <w:vAlign w:val="center"/>
          </w:tcPr>
          <w:p w14:paraId="398F5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1059" w:type="dxa"/>
            <w:noWrap w:val="0"/>
            <w:vAlign w:val="center"/>
          </w:tcPr>
          <w:p w14:paraId="0892BA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r>
      <w:tr w14:paraId="65C1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1331" w:type="dxa"/>
            <w:noWrap w:val="0"/>
            <w:vAlign w:val="center"/>
          </w:tcPr>
          <w:p w14:paraId="78AA5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w:t>
            </w:r>
          </w:p>
        </w:tc>
        <w:tc>
          <w:tcPr>
            <w:tcW w:w="2295" w:type="dxa"/>
            <w:noWrap w:val="0"/>
            <w:vAlign w:val="center"/>
          </w:tcPr>
          <w:p w14:paraId="7CC55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110" w:type="dxa"/>
            <w:noWrap w:val="0"/>
            <w:vAlign w:val="center"/>
          </w:tcPr>
          <w:p w14:paraId="3EB8F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1650" w:type="dxa"/>
            <w:noWrap w:val="0"/>
            <w:vAlign w:val="center"/>
          </w:tcPr>
          <w:p w14:paraId="2F5DD9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1710" w:type="dxa"/>
            <w:noWrap w:val="0"/>
            <w:vAlign w:val="center"/>
          </w:tcPr>
          <w:p w14:paraId="52751A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1059" w:type="dxa"/>
            <w:noWrap w:val="0"/>
            <w:vAlign w:val="center"/>
          </w:tcPr>
          <w:p w14:paraId="5D3AC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r>
    </w:tbl>
    <w:p w14:paraId="518AEC6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注：以上内容包含运输、拆除、搬运、安装人工和所有税费等所有费用。</w:t>
      </w:r>
    </w:p>
    <w:p w14:paraId="3ECC8CF2">
      <w:pPr>
        <w:numPr>
          <w:ilvl w:val="0"/>
          <w:numId w:val="2"/>
        </w:numPr>
        <w:spacing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招标要求</w:t>
      </w:r>
    </w:p>
    <w:p w14:paraId="61A9AEE1">
      <w:pPr>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jc w:val="left"/>
        <w:textAlignment w:val="auto"/>
        <w:rPr>
          <w:rFonts w:hint="eastAsia"/>
          <w:color w:val="auto"/>
          <w:lang w:val="en-US" w:eastAsia="zh-CN"/>
        </w:rPr>
      </w:pPr>
      <w:r>
        <w:rPr>
          <w:rFonts w:hint="eastAsia" w:ascii="仿宋" w:hAnsi="仿宋" w:eastAsia="仿宋" w:cs="仿宋"/>
          <w:b/>
          <w:bCs/>
          <w:color w:val="auto"/>
          <w:sz w:val="24"/>
          <w:szCs w:val="24"/>
        </w:rPr>
        <w:t>标注“</w:t>
      </w:r>
      <w:r>
        <w:rPr>
          <w:rFonts w:hint="eastAsia" w:ascii="仿宋" w:hAnsi="仿宋" w:eastAsia="仿宋" w:cs="仿宋"/>
          <w:color w:val="auto"/>
          <w:sz w:val="24"/>
          <w:szCs w:val="24"/>
        </w:rPr>
        <w:t>★</w:t>
      </w:r>
      <w:r>
        <w:rPr>
          <w:rFonts w:hint="eastAsia" w:ascii="仿宋" w:hAnsi="仿宋" w:eastAsia="仿宋" w:cs="仿宋"/>
          <w:b/>
          <w:bCs/>
          <w:color w:val="auto"/>
          <w:sz w:val="24"/>
          <w:szCs w:val="24"/>
        </w:rPr>
        <w:t>”的条款或要求系指实质性条款或实质性要求，必须满足，如存在负偏离将导致投标被否决。非标注“★”的一般技术参数仅为参考要求，不作为废标项，投标人根据自身情况自行响应。</w:t>
      </w:r>
    </w:p>
    <w:p w14:paraId="1ABBA957">
      <w:pPr>
        <w:numPr>
          <w:ilvl w:val="0"/>
          <w:numId w:val="3"/>
        </w:numPr>
        <w:spacing w:line="360" w:lineRule="auto"/>
        <w:ind w:left="0" w:leftChars="0"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sz w:val="24"/>
          <w:szCs w:val="24"/>
        </w:rPr>
        <w:t>★</w:t>
      </w:r>
      <w:r>
        <w:rPr>
          <w:rFonts w:hint="eastAsia" w:ascii="仿宋" w:hAnsi="仿宋" w:eastAsia="仿宋" w:cs="仿宋"/>
          <w:color w:val="auto"/>
          <w:sz w:val="24"/>
          <w:szCs w:val="24"/>
          <w:lang w:val="en-US" w:eastAsia="zh-CN"/>
        </w:rPr>
        <w:t>投标人2025年电厂侧交易总购电量≥30亿千瓦时（需提供与电厂购电合同）。</w:t>
      </w:r>
    </w:p>
    <w:p w14:paraId="4BFBDBA7">
      <w:pPr>
        <w:numPr>
          <w:ilvl w:val="0"/>
          <w:numId w:val="3"/>
        </w:numPr>
        <w:spacing w:line="360" w:lineRule="auto"/>
        <w:ind w:left="0" w:leftChars="0" w:firstLine="482"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b/>
          <w:bCs/>
          <w:sz w:val="24"/>
          <w:szCs w:val="24"/>
        </w:rPr>
        <w:t>★</w:t>
      </w:r>
      <w:r>
        <w:rPr>
          <w:rFonts w:hint="eastAsia" w:ascii="仿宋" w:hAnsi="仿宋" w:eastAsia="仿宋" w:cs="仿宋"/>
          <w:color w:val="auto"/>
          <w:kern w:val="2"/>
          <w:sz w:val="24"/>
          <w:szCs w:val="24"/>
          <w:lang w:val="en-US" w:eastAsia="zh-CN" w:bidi="ar-SA"/>
        </w:rPr>
        <w:t>投标人2024 年1月1日至2024年12月31日市场实际结算电量不低于30亿千瓦时（以广西电力交易中心的盖章结算电量截图为依据）。</w:t>
      </w:r>
    </w:p>
    <w:p w14:paraId="6D8A44ED">
      <w:pPr>
        <w:numPr>
          <w:ilvl w:val="0"/>
          <w:numId w:val="3"/>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对用户承诺偏差电量考核:投标人承担采购人各品种电量全部偏差电量考核及可能的处罚费用。</w:t>
      </w:r>
    </w:p>
    <w:p w14:paraId="62844AED">
      <w:pPr>
        <w:numPr>
          <w:ilvl w:val="0"/>
          <w:numId w:val="3"/>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承诺因合同期限内，投标人如被取消广西省内销售售电资格或解除合同，投标人应承担违约责任，除赔偿违约金外，还需赔偿采购人更换电力交易代理商造成的更换成本。</w:t>
      </w:r>
    </w:p>
    <w:p w14:paraId="1F74EDD2">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、报价方式及合同工期</w:t>
      </w:r>
    </w:p>
    <w:p w14:paraId="4FD2A60F">
      <w:pPr>
        <w:numPr>
          <w:ilvl w:val="0"/>
          <w:numId w:val="4"/>
        </w:numPr>
        <w:spacing w:line="360" w:lineRule="auto"/>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双方约定电量结算模式为固定价格。</w:t>
      </w:r>
    </w:p>
    <w:p w14:paraId="11630C0E">
      <w:pPr>
        <w:numPr>
          <w:ilvl w:val="0"/>
          <w:numId w:val="4"/>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价格最多可保留3位小数、且在2025年度电量上下限价格内(交易电量价格未包含电网输配电价、政府基金及附加、市损益分摊、峰谷尖浮动价格、煤电容量分摊费等)。</w:t>
      </w:r>
    </w:p>
    <w:p w14:paraId="45A6D0CD">
      <w:pPr>
        <w:numPr>
          <w:ilvl w:val="0"/>
          <w:numId w:val="4"/>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承诺采购人的全电量参与交易、平衡采购人电量偏差和承担采购人电量偏差考核和考核费用，投标人无法保障和承诺的报价无效（注：服务执行期间，涉及的标杆电价、输配电价、政府性基金及附加按照广西省价格主管部门最新下发的价格文件执行）。</w:t>
      </w:r>
    </w:p>
    <w:p w14:paraId="010DD4C5">
      <w:pPr>
        <w:pStyle w:val="6"/>
        <w:numPr>
          <w:ilvl w:val="0"/>
          <w:numId w:val="4"/>
        </w:numPr>
        <w:spacing w:line="360" w:lineRule="auto"/>
        <w:ind w:left="0" w:leftChars="0" w:firstLine="480" w:firstLineChars="200"/>
        <w:rPr>
          <w:rFonts w:hint="default" w:eastAsia="宋体"/>
          <w:color w:val="auto"/>
          <w:lang w:val="en-US" w:eastAsia="zh-CN"/>
        </w:rPr>
      </w:pPr>
      <w:r>
        <w:rPr>
          <w:rFonts w:hint="eastAsia" w:ascii="仿宋" w:hAnsi="仿宋" w:eastAsia="仿宋" w:cs="仿宋"/>
          <w:color w:val="auto"/>
          <w:kern w:val="2"/>
          <w:sz w:val="24"/>
          <w:szCs w:val="24"/>
          <w:lang w:val="en-US" w:eastAsia="zh-CN" w:bidi="ar-SA"/>
        </w:rPr>
        <w:t>服务期半年。</w:t>
      </w:r>
    </w:p>
    <w:p w14:paraId="43A191DF">
      <w:pPr>
        <w:numPr>
          <w:ilvl w:val="0"/>
          <w:numId w:val="4"/>
        </w:numPr>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本次招标不涉及付款方式，原电费缴纳方式不变。</w:t>
      </w:r>
    </w:p>
    <w:p w14:paraId="05D2E94D">
      <w:pPr>
        <w:rPr>
          <w:rFonts w:hint="default"/>
          <w:lang w:val="en-US" w:eastAsia="zh-CN"/>
        </w:rPr>
      </w:pPr>
    </w:p>
    <w:p w14:paraId="382A9D1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B10AFC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总务科</w:t>
      </w:r>
    </w:p>
    <w:p w14:paraId="1C2A86E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日</w:t>
      </w:r>
    </w:p>
    <w:p w14:paraId="7145CDCF">
      <w:pPr>
        <w:pStyle w:val="6"/>
        <w:spacing w:line="360" w:lineRule="auto"/>
        <w:rPr>
          <w:rFonts w:hint="eastAsia" w:ascii="仿宋" w:hAnsi="仿宋" w:eastAsia="仿宋" w:cs="仿宋"/>
          <w:color w:val="auto"/>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7752"/>
    <w:multiLevelType w:val="singleLevel"/>
    <w:tmpl w:val="97D37752"/>
    <w:lvl w:ilvl="0" w:tentative="0">
      <w:start w:val="1"/>
      <w:numFmt w:val="decimal"/>
      <w:suff w:val="nothing"/>
      <w:lvlText w:val="%1．"/>
      <w:lvlJc w:val="left"/>
      <w:pPr>
        <w:ind w:left="0" w:firstLine="400"/>
      </w:pPr>
      <w:rPr>
        <w:rFonts w:hint="default"/>
      </w:rPr>
    </w:lvl>
  </w:abstractNum>
  <w:abstractNum w:abstractNumId="1">
    <w:nsid w:val="A5560BCB"/>
    <w:multiLevelType w:val="singleLevel"/>
    <w:tmpl w:val="A5560BCB"/>
    <w:lvl w:ilvl="0" w:tentative="0">
      <w:start w:val="1"/>
      <w:numFmt w:val="decimal"/>
      <w:suff w:val="nothing"/>
      <w:lvlText w:val="%1．"/>
      <w:lvlJc w:val="left"/>
      <w:pPr>
        <w:ind w:left="0" w:firstLine="400"/>
      </w:pPr>
      <w:rPr>
        <w:rFonts w:hint="default"/>
      </w:rPr>
    </w:lvl>
  </w:abstractNum>
  <w:abstractNum w:abstractNumId="2">
    <w:nsid w:val="AA40EFC1"/>
    <w:multiLevelType w:val="singleLevel"/>
    <w:tmpl w:val="AA40EFC1"/>
    <w:lvl w:ilvl="0" w:tentative="0">
      <w:start w:val="1"/>
      <w:numFmt w:val="decimal"/>
      <w:suff w:val="nothing"/>
      <w:lvlText w:val="%1．"/>
      <w:lvlJc w:val="left"/>
      <w:pPr>
        <w:ind w:left="0" w:firstLine="400"/>
      </w:pPr>
      <w:rPr>
        <w:rFonts w:hint="default"/>
      </w:rPr>
    </w:lvl>
  </w:abstractNum>
  <w:abstractNum w:abstractNumId="3">
    <w:nsid w:val="D5D7E54C"/>
    <w:multiLevelType w:val="singleLevel"/>
    <w:tmpl w:val="D5D7E54C"/>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4AA6AEB"/>
    <w:rsid w:val="05B0028B"/>
    <w:rsid w:val="05C74289"/>
    <w:rsid w:val="05DD01AD"/>
    <w:rsid w:val="06D663A6"/>
    <w:rsid w:val="07664AA9"/>
    <w:rsid w:val="09D22773"/>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85A3EE7"/>
    <w:rsid w:val="19AB7B33"/>
    <w:rsid w:val="1B000B55"/>
    <w:rsid w:val="1C52663A"/>
    <w:rsid w:val="1DC51825"/>
    <w:rsid w:val="1E1D2544"/>
    <w:rsid w:val="1F7B2D1C"/>
    <w:rsid w:val="1FBD62B1"/>
    <w:rsid w:val="20B16B03"/>
    <w:rsid w:val="219B01F8"/>
    <w:rsid w:val="21A07DC1"/>
    <w:rsid w:val="21A904D3"/>
    <w:rsid w:val="22E362D2"/>
    <w:rsid w:val="23A83B2E"/>
    <w:rsid w:val="24BB5C18"/>
    <w:rsid w:val="25333665"/>
    <w:rsid w:val="26963B9B"/>
    <w:rsid w:val="26D52249"/>
    <w:rsid w:val="28865645"/>
    <w:rsid w:val="2967317C"/>
    <w:rsid w:val="29EB6A59"/>
    <w:rsid w:val="2A962AEA"/>
    <w:rsid w:val="2B9F66A7"/>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2D9561B"/>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03636"/>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557385"/>
    <w:rsid w:val="6C775AF2"/>
    <w:rsid w:val="6E5E469C"/>
    <w:rsid w:val="6F0453DE"/>
    <w:rsid w:val="6F250725"/>
    <w:rsid w:val="6F395FEB"/>
    <w:rsid w:val="71212378"/>
    <w:rsid w:val="717766ED"/>
    <w:rsid w:val="72625B8C"/>
    <w:rsid w:val="72F50D26"/>
    <w:rsid w:val="73BB4BC8"/>
    <w:rsid w:val="74607426"/>
    <w:rsid w:val="74C13C0D"/>
    <w:rsid w:val="76B33626"/>
    <w:rsid w:val="76C91732"/>
    <w:rsid w:val="77DD02F3"/>
    <w:rsid w:val="79562EED"/>
    <w:rsid w:val="7AC124B5"/>
    <w:rsid w:val="7AF9322A"/>
    <w:rsid w:val="7B161079"/>
    <w:rsid w:val="7B6660C0"/>
    <w:rsid w:val="7CAF0D43"/>
    <w:rsid w:val="7CC12FE9"/>
    <w:rsid w:val="7D0A0C4E"/>
    <w:rsid w:val="7DBC3A33"/>
    <w:rsid w:val="7DFD69D9"/>
    <w:rsid w:val="7EB76882"/>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962</Words>
  <Characters>1033</Characters>
  <Lines>13</Lines>
  <Paragraphs>3</Paragraphs>
  <TotalTime>6</TotalTime>
  <ScaleCrop>false</ScaleCrop>
  <LinksUpToDate>false</LinksUpToDate>
  <CharactersWithSpaces>1151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2025-04-26T01:49:00Z</cp:lastPrinted>
  <dcterms:modified xsi:type="dcterms:W3CDTF">2025-04-27T01:56:31Z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DD791137DB254654B61282F47AB43CED_13</vt:lpwstr>
  </property>
  <property fmtid="{D5CDD505-2E9C-101B-9397-08002B2CF9AE}" pid="4" name="KSOTemplateDocerSaveRecord">
    <vt:lpwstr>eyJoZGlkIjoiZTY4MTM0ODYwZTQwMzg1YTFlYTgwYTFiMDUxZDQ0NjciLCJ1c2VySWQiOiIzMjcyOTE0OTYifQ==</vt:lpwstr>
  </property>
</Properties>
</file>