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AA18F">
      <w:pPr>
        <w:keepNext/>
        <w:keepLines/>
        <w:spacing w:line="312" w:lineRule="auto"/>
        <w:jc w:val="center"/>
        <w:rPr>
          <w:rFonts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202</w:t>
      </w:r>
      <w:r>
        <w:rPr>
          <w:rFonts w:hint="eastAsia" w:ascii="宋体" w:hAnsi="宋体" w:eastAsia="宋体" w:cs="微软雅黑"/>
          <w:b/>
          <w:bCs/>
          <w:kern w:val="44"/>
          <w:sz w:val="30"/>
          <w:szCs w:val="30"/>
          <w:lang w:val="en-US" w:eastAsia="zh-CN"/>
        </w:rPr>
        <w:t>5</w:t>
      </w:r>
      <w:r>
        <w:rPr>
          <w:rFonts w:hint="eastAsia" w:ascii="宋体" w:hAnsi="宋体" w:eastAsia="宋体" w:cs="微软雅黑"/>
          <w:b/>
          <w:bCs/>
          <w:kern w:val="44"/>
          <w:sz w:val="30"/>
          <w:szCs w:val="30"/>
        </w:rPr>
        <w:t>年网络安全等级保护测评服务</w:t>
      </w:r>
    </w:p>
    <w:p w14:paraId="4744D173">
      <w:pPr>
        <w:keepNext/>
        <w:keepLines/>
        <w:spacing w:line="312" w:lineRule="auto"/>
        <w:jc w:val="center"/>
        <w:rPr>
          <w:rFonts w:ascii="宋体" w:hAnsi="宋体" w:eastAsia="宋体" w:cs="微软雅黑"/>
          <w:b/>
          <w:bCs/>
          <w:kern w:val="44"/>
          <w:sz w:val="30"/>
          <w:szCs w:val="30"/>
        </w:rPr>
      </w:pPr>
      <w:r>
        <w:rPr>
          <w:rFonts w:hint="eastAsia" w:ascii="宋体" w:hAnsi="宋体" w:eastAsia="宋体" w:cs="微软雅黑"/>
          <w:b/>
          <w:bCs/>
          <w:kern w:val="44"/>
          <w:sz w:val="30"/>
          <w:szCs w:val="30"/>
        </w:rPr>
        <w:t>技术参数要求</w:t>
      </w:r>
    </w:p>
    <w:p w14:paraId="36241533">
      <w:pPr>
        <w:keepNext/>
        <w:keepLines/>
        <w:spacing w:line="312" w:lineRule="auto"/>
        <w:ind w:left="420" w:leftChars="200"/>
        <w:jc w:val="left"/>
        <w:rPr>
          <w:rFonts w:ascii="宋体" w:hAnsi="宋体" w:eastAsia="宋体" w:cs="微软雅黑"/>
          <w:b/>
          <w:bCs/>
          <w:kern w:val="44"/>
          <w:sz w:val="24"/>
          <w:szCs w:val="24"/>
        </w:rPr>
      </w:pPr>
    </w:p>
    <w:bookmarkEnd w:id="0"/>
    <w:p w14:paraId="214E1900">
      <w:pPr>
        <w:pStyle w:val="10"/>
        <w:numPr>
          <w:ilvl w:val="0"/>
          <w:numId w:val="2"/>
        </w:numPr>
        <w:spacing w:line="312" w:lineRule="auto"/>
        <w:ind w:firstLineChars="0"/>
        <w:rPr>
          <w:rFonts w:ascii="宋体" w:hAnsi="宋体" w:eastAsia="宋体"/>
          <w:b/>
          <w:sz w:val="28"/>
          <w:szCs w:val="28"/>
        </w:rPr>
      </w:pPr>
      <w:r>
        <w:rPr>
          <w:rFonts w:hint="eastAsia" w:ascii="宋体" w:hAnsi="宋体" w:eastAsia="宋体"/>
          <w:b/>
          <w:sz w:val="28"/>
          <w:szCs w:val="28"/>
        </w:rPr>
        <w:t>项目背景</w:t>
      </w:r>
    </w:p>
    <w:p w14:paraId="4C21D5D0">
      <w:pPr>
        <w:spacing w:line="312" w:lineRule="auto"/>
        <w:ind w:firstLine="480" w:firstLineChars="200"/>
        <w:rPr>
          <w:rFonts w:ascii="宋体" w:hAnsi="宋体" w:eastAsia="宋体"/>
          <w:sz w:val="24"/>
          <w:szCs w:val="24"/>
        </w:rPr>
      </w:pPr>
      <w:r>
        <w:rPr>
          <w:rFonts w:hint="eastAsia" w:ascii="宋体" w:hAnsi="宋体" w:eastAsia="宋体"/>
          <w:sz w:val="24"/>
          <w:szCs w:val="24"/>
        </w:rPr>
        <w:t>2019年至今，柳州市工人医院根据《中华人民共和国网络安全法》二十一条的规定，每年开展“医院信息系统”和“柳州市工人医院互联网医院系统”的网络安全等级（三级）保护测评工作，严格落实国家网络安全等级保护制度。今年，我院需要一家有网络安全等级保护测评资质的机构对相关等级保护对象开展等级测评工作，提供为期一年的等保测评服务，以衡量柳州市工人医院的等级保护对象是否达到相应等级的安全保护能力，并出具相应的测评报告。</w:t>
      </w:r>
    </w:p>
    <w:p w14:paraId="49146AF9">
      <w:pPr>
        <w:spacing w:line="312" w:lineRule="auto"/>
        <w:rPr>
          <w:rFonts w:ascii="宋体" w:hAnsi="宋体" w:eastAsia="宋体"/>
          <w:sz w:val="24"/>
          <w:szCs w:val="24"/>
        </w:rPr>
      </w:pPr>
    </w:p>
    <w:p w14:paraId="2F58A734">
      <w:pPr>
        <w:pStyle w:val="10"/>
        <w:spacing w:line="312" w:lineRule="auto"/>
        <w:ind w:firstLine="0" w:firstLineChars="0"/>
        <w:rPr>
          <w:rFonts w:ascii="宋体" w:hAnsi="宋体" w:eastAsia="宋体"/>
          <w:sz w:val="24"/>
          <w:szCs w:val="24"/>
        </w:rPr>
      </w:pPr>
      <w:r>
        <w:rPr>
          <w:rFonts w:hint="eastAsia" w:ascii="宋体" w:hAnsi="宋体" w:eastAsia="宋体"/>
          <w:b/>
          <w:sz w:val="28"/>
          <w:szCs w:val="28"/>
        </w:rPr>
        <w:t>二、项目建设内容及要求</w:t>
      </w:r>
    </w:p>
    <w:p w14:paraId="77133A13">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柳州市工人医院拟进行三级等保测评的系统共有2个，分别为医院信息系统、柳州市工人医院互联网医院，2个系统定级均为三级（S3A3G3）。</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4252"/>
        <w:gridCol w:w="1985"/>
        <w:gridCol w:w="1984"/>
      </w:tblGrid>
      <w:tr w14:paraId="3CBEE1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Align w:val="center"/>
          </w:tcPr>
          <w:p w14:paraId="37A7CFFB">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序</w:t>
            </w:r>
          </w:p>
        </w:tc>
        <w:tc>
          <w:tcPr>
            <w:tcW w:w="4252" w:type="dxa"/>
            <w:tcBorders>
              <w:right w:val="single" w:color="auto" w:sz="4" w:space="0"/>
            </w:tcBorders>
            <w:vAlign w:val="center"/>
          </w:tcPr>
          <w:p w14:paraId="3BE2AB5F">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测评的系统</w:t>
            </w:r>
          </w:p>
        </w:tc>
        <w:tc>
          <w:tcPr>
            <w:tcW w:w="1985" w:type="dxa"/>
            <w:vAlign w:val="center"/>
          </w:tcPr>
          <w:p w14:paraId="01D53787">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测评定级</w:t>
            </w:r>
          </w:p>
        </w:tc>
        <w:tc>
          <w:tcPr>
            <w:tcW w:w="1984" w:type="dxa"/>
            <w:tcBorders>
              <w:left w:val="single" w:color="auto" w:sz="4" w:space="0"/>
            </w:tcBorders>
            <w:vAlign w:val="center"/>
          </w:tcPr>
          <w:p w14:paraId="6BBFEB9D">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服务期限</w:t>
            </w:r>
          </w:p>
        </w:tc>
      </w:tr>
      <w:tr w14:paraId="60A080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Align w:val="center"/>
          </w:tcPr>
          <w:p w14:paraId="01D8C352">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1</w:t>
            </w:r>
          </w:p>
        </w:tc>
        <w:tc>
          <w:tcPr>
            <w:tcW w:w="4252" w:type="dxa"/>
            <w:tcBorders>
              <w:right w:val="single" w:color="auto" w:sz="4" w:space="0"/>
            </w:tcBorders>
            <w:vAlign w:val="center"/>
          </w:tcPr>
          <w:p w14:paraId="73C9D10A">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医院信息系统</w:t>
            </w:r>
          </w:p>
        </w:tc>
        <w:tc>
          <w:tcPr>
            <w:tcW w:w="1985" w:type="dxa"/>
            <w:vAlign w:val="center"/>
          </w:tcPr>
          <w:p w14:paraId="20656BF1">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三级</w:t>
            </w:r>
          </w:p>
        </w:tc>
        <w:tc>
          <w:tcPr>
            <w:tcW w:w="1984" w:type="dxa"/>
            <w:vMerge w:val="restart"/>
            <w:tcBorders>
              <w:left w:val="single" w:color="auto" w:sz="4" w:space="0"/>
            </w:tcBorders>
            <w:vAlign w:val="center"/>
          </w:tcPr>
          <w:p w14:paraId="6DEAB7F7">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一年</w:t>
            </w:r>
          </w:p>
        </w:tc>
      </w:tr>
      <w:tr w14:paraId="14FE7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 w:type="dxa"/>
            <w:vAlign w:val="center"/>
          </w:tcPr>
          <w:p w14:paraId="086EC5C9">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2</w:t>
            </w:r>
          </w:p>
        </w:tc>
        <w:tc>
          <w:tcPr>
            <w:tcW w:w="4252" w:type="dxa"/>
            <w:tcBorders>
              <w:right w:val="single" w:color="auto" w:sz="4" w:space="0"/>
            </w:tcBorders>
            <w:vAlign w:val="center"/>
          </w:tcPr>
          <w:p w14:paraId="1CA6593C">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柳州市工人医院互联网医院</w:t>
            </w:r>
          </w:p>
        </w:tc>
        <w:tc>
          <w:tcPr>
            <w:tcW w:w="1985" w:type="dxa"/>
            <w:vAlign w:val="center"/>
          </w:tcPr>
          <w:p w14:paraId="34BA0287">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三级</w:t>
            </w:r>
          </w:p>
        </w:tc>
        <w:tc>
          <w:tcPr>
            <w:tcW w:w="1984" w:type="dxa"/>
            <w:vMerge w:val="continue"/>
            <w:tcBorders>
              <w:left w:val="single" w:color="auto" w:sz="4" w:space="0"/>
            </w:tcBorders>
            <w:vAlign w:val="center"/>
          </w:tcPr>
          <w:p w14:paraId="5EFFC391">
            <w:pPr>
              <w:pStyle w:val="2"/>
              <w:spacing w:after="0" w:line="312" w:lineRule="auto"/>
              <w:ind w:firstLine="420"/>
              <w:rPr>
                <w:rFonts w:ascii="宋体" w:hAnsi="宋体" w:eastAsia="宋体" w:cs="宋体"/>
                <w:sz w:val="24"/>
                <w:lang w:val="en-US"/>
              </w:rPr>
            </w:pPr>
          </w:p>
        </w:tc>
      </w:tr>
    </w:tbl>
    <w:p w14:paraId="018060D5">
      <w:pPr>
        <w:pStyle w:val="2"/>
        <w:spacing w:after="0" w:line="312" w:lineRule="auto"/>
        <w:rPr>
          <w:lang w:val="en-US"/>
        </w:rPr>
      </w:pPr>
    </w:p>
    <w:p w14:paraId="350F8766">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三、项目实施要求</w:t>
      </w:r>
    </w:p>
    <w:p w14:paraId="2FCA1A7D">
      <w:pPr>
        <w:rPr>
          <w:rFonts w:ascii="宋体" w:hAnsi="宋体" w:eastAsia="宋体" w:cs="宋体"/>
          <w:kern w:val="0"/>
          <w:sz w:val="24"/>
          <w:szCs w:val="24"/>
        </w:rPr>
      </w:pPr>
      <w:r>
        <w:rPr>
          <w:rFonts w:ascii="宋体" w:hAnsi="宋体" w:eastAsia="宋体" w:cs="宋体"/>
          <w:kern w:val="0"/>
          <w:sz w:val="24"/>
          <w:szCs w:val="24"/>
        </w:rPr>
        <w:tab/>
      </w:r>
      <w:r>
        <w:rPr>
          <w:rFonts w:hint="eastAsia" w:ascii="宋体" w:hAnsi="宋体" w:eastAsia="宋体" w:cs="宋体"/>
          <w:kern w:val="0"/>
          <w:sz w:val="24"/>
          <w:szCs w:val="24"/>
        </w:rPr>
        <w:t>3.1每年度的测评分预测评和终评，预测评提供差距分析报告和整改建议方案，并指导柳州市工人医院完成三级等保安全整改。完成整改后进行不符合项终评测试，出具最终测评报告。测评机构应提供咨询服务并充分协助我院完成系统整改，最终通过三级等保测评，并同时提供纸质版（四份）和电子版测评报告。</w:t>
      </w:r>
    </w:p>
    <w:p w14:paraId="776708DB">
      <w:pPr>
        <w:ind w:firstLine="420"/>
        <w:rPr>
          <w:rFonts w:ascii="宋体" w:hAnsi="宋体" w:eastAsia="宋体" w:cs="宋体"/>
          <w:kern w:val="0"/>
          <w:sz w:val="24"/>
          <w:szCs w:val="24"/>
        </w:rPr>
      </w:pPr>
      <w:r>
        <w:rPr>
          <w:rFonts w:hint="eastAsia" w:ascii="宋体" w:hAnsi="宋体" w:eastAsia="宋体" w:cs="宋体"/>
          <w:kern w:val="0"/>
          <w:sz w:val="24"/>
          <w:szCs w:val="24"/>
        </w:rPr>
        <w:t>3.2测评时限要求：我院出具项目进场通知书之日起10个工作日内到场开展当年的现场测评工作；现场测评结束且我院确定整改完成后，30个工作日内提供本年度的测评报告。</w:t>
      </w:r>
    </w:p>
    <w:p w14:paraId="46CBC124">
      <w:pPr>
        <w:ind w:firstLine="420"/>
        <w:rPr>
          <w:rFonts w:ascii="宋体" w:hAnsi="宋体" w:eastAsia="宋体" w:cs="宋体"/>
          <w:kern w:val="0"/>
          <w:sz w:val="24"/>
          <w:szCs w:val="24"/>
        </w:rPr>
      </w:pPr>
      <w:r>
        <w:rPr>
          <w:rFonts w:hint="eastAsia" w:ascii="宋体" w:hAnsi="宋体" w:eastAsia="宋体" w:cs="宋体"/>
          <w:kern w:val="0"/>
          <w:sz w:val="24"/>
          <w:szCs w:val="24"/>
        </w:rPr>
        <w:t>3.3 测评公司应按技术标准认真、严谨地开展我单位的网络安全等级保护测评工作，本着实事求是的原则，如实出具符合等保2.0相关技术标准要求、国家网络安全等级保护管理部门规范要求且本地公安机关认可的网络安全等级保护测评报告。</w:t>
      </w:r>
    </w:p>
    <w:p w14:paraId="11BD62D0">
      <w:pPr>
        <w:pStyle w:val="2"/>
        <w:rPr>
          <w:lang w:val="en-US"/>
        </w:rPr>
      </w:pPr>
    </w:p>
    <w:p w14:paraId="29848C26">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四、资质要求</w:t>
      </w:r>
    </w:p>
    <w:p w14:paraId="14CD71D9">
      <w:pPr>
        <w:pStyle w:val="2"/>
        <w:ind w:firstLine="420" w:firstLineChars="0"/>
        <w:rPr>
          <w:lang w:val="en-US"/>
        </w:rPr>
      </w:pPr>
      <w:r>
        <w:rPr>
          <w:rFonts w:hint="eastAsia"/>
          <w:sz w:val="24"/>
          <w:szCs w:val="24"/>
        </w:rPr>
        <w:t>供应商必须具备公安部第三研究所颁发的《网络安全等级测评与检测评估机构服务认证证书》以及其他必要的资质证明，并在询价时出示相关资料复印件证明。</w:t>
      </w:r>
      <w:bookmarkStart w:id="4" w:name="_GoBack"/>
      <w:bookmarkEnd w:id="4"/>
    </w:p>
    <w:p w14:paraId="28954C81">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五、售后服务及其他要求</w:t>
      </w:r>
    </w:p>
    <w:p w14:paraId="02A4ACF6">
      <w:pPr>
        <w:spacing w:line="312" w:lineRule="auto"/>
        <w:ind w:firstLine="420"/>
        <w:jc w:val="left"/>
        <w:rPr>
          <w:rFonts w:ascii="宋体" w:hAnsi="宋体" w:cs="宋体"/>
          <w:color w:val="FF0000"/>
          <w:sz w:val="24"/>
          <w:szCs w:val="24"/>
        </w:rPr>
      </w:pPr>
      <w:r>
        <w:rPr>
          <w:rFonts w:hint="eastAsia" w:ascii="宋体" w:hAnsi="宋体" w:cs="宋体"/>
          <w:sz w:val="24"/>
          <w:szCs w:val="24"/>
        </w:rPr>
        <w:t>测评公司应指定经验丰富的测评师为我单位提供技术、实施、售后服务，且在未来一年内提供信息安全建设、等保合规相关的咨询服务和技术建议，含电话支持、现场沟通、线上咨询等多种方式服务，应做到工作日期间电话或微信等常用联系方式及时响应。</w:t>
      </w:r>
      <w:bookmarkStart w:id="1" w:name="_Toc507405798"/>
    </w:p>
    <w:p w14:paraId="028C0069">
      <w:pPr>
        <w:pStyle w:val="2"/>
        <w:rPr>
          <w:lang w:val="en-US"/>
        </w:rPr>
      </w:pPr>
    </w:p>
    <w:p w14:paraId="4FF8619C">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六、违约责任</w:t>
      </w:r>
    </w:p>
    <w:p w14:paraId="06C5879F">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6.1投标方逾期提交服务成果的，每天向我方支付合同金额1‰违约金，超过 90 天我方有权解除合同，违约方承担因此给我方造成经济损失。</w:t>
      </w:r>
    </w:p>
    <w:p w14:paraId="62F08473">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6.2若投标方提供的产品或软件侵犯了第三方合法权益而引发的任何纠纷或诉讼，均由投标方负责交涉并承担全部责任。</w:t>
      </w:r>
    </w:p>
    <w:p w14:paraId="401617A1">
      <w:pPr>
        <w:spacing w:line="312" w:lineRule="auto"/>
        <w:ind w:firstLine="420"/>
        <w:jc w:val="left"/>
        <w:rPr>
          <w:rFonts w:ascii="宋体" w:hAnsi="宋体" w:eastAsia="宋体" w:cs="宋体"/>
          <w:sz w:val="24"/>
        </w:rPr>
      </w:pPr>
      <w:r>
        <w:rPr>
          <w:rFonts w:hint="eastAsia" w:ascii="宋体" w:hAnsi="宋体" w:eastAsia="宋体" w:cs="宋体"/>
          <w:sz w:val="24"/>
          <w:szCs w:val="24"/>
        </w:rPr>
        <w:t>6.3</w:t>
      </w:r>
      <w:r>
        <w:rPr>
          <w:rFonts w:hint="eastAsia" w:ascii="宋体" w:hAnsi="宋体" w:eastAsia="宋体" w:cs="宋体"/>
          <w:sz w:val="24"/>
        </w:rPr>
        <w:t>投标方未按本技术要求和响应文件中规定的其他服务承诺提供售后服务的，每次投标方应按合同合计金额的5% 向甲方支付违约金。</w:t>
      </w:r>
    </w:p>
    <w:p w14:paraId="2A954BE3">
      <w:pPr>
        <w:pStyle w:val="2"/>
        <w:spacing w:after="0" w:line="312" w:lineRule="auto"/>
        <w:ind w:firstLine="420"/>
        <w:rPr>
          <w:rFonts w:ascii="宋体" w:hAnsi="宋体" w:eastAsia="宋体" w:cs="宋体"/>
          <w:sz w:val="24"/>
          <w:lang w:val="en-US"/>
        </w:rPr>
      </w:pPr>
      <w:r>
        <w:rPr>
          <w:rFonts w:hint="eastAsia" w:ascii="宋体" w:hAnsi="宋体" w:eastAsia="宋体" w:cs="宋体"/>
          <w:sz w:val="24"/>
          <w:lang w:val="en-US"/>
        </w:rPr>
        <w:t>6.4任何一方违反本技术要求中“保密、廉洁条款”要求的，应承担相应的违约责任并赔偿由此造成的损失，损失累计金额超过总合同款项的5%的，损失方同时有权终止合同并收回已付款项。</w:t>
      </w:r>
    </w:p>
    <w:p w14:paraId="3C8D197C">
      <w:pPr>
        <w:pStyle w:val="2"/>
        <w:spacing w:after="0" w:line="312" w:lineRule="auto"/>
        <w:ind w:firstLine="420"/>
        <w:rPr>
          <w:rFonts w:ascii="宋体" w:hAnsi="宋体" w:eastAsia="宋体" w:cs="宋体"/>
          <w:kern w:val="2"/>
          <w:sz w:val="24"/>
          <w:lang w:val="en-US"/>
        </w:rPr>
      </w:pPr>
      <w:r>
        <w:rPr>
          <w:rFonts w:hint="eastAsia" w:ascii="宋体" w:hAnsi="宋体" w:eastAsia="宋体" w:cs="宋体"/>
          <w:kern w:val="2"/>
          <w:sz w:val="24"/>
          <w:lang w:val="en-US"/>
        </w:rPr>
        <w:t>6.5</w:t>
      </w:r>
      <w:r>
        <w:rPr>
          <w:rFonts w:ascii="宋体" w:hAnsi="宋体" w:eastAsia="宋体" w:cs="宋体"/>
          <w:kern w:val="2"/>
          <w:sz w:val="24"/>
          <w:lang w:val="en-US"/>
        </w:rPr>
        <w:t>工程师人员变更必须得到医院书面同意，否则视为</w:t>
      </w:r>
      <w:r>
        <w:rPr>
          <w:rFonts w:hint="eastAsia" w:ascii="宋体" w:hAnsi="宋体" w:eastAsia="宋体" w:cs="宋体"/>
          <w:kern w:val="2"/>
          <w:sz w:val="24"/>
          <w:lang w:val="en-US"/>
        </w:rPr>
        <w:t>乙方</w:t>
      </w:r>
      <w:r>
        <w:rPr>
          <w:rFonts w:ascii="宋体" w:hAnsi="宋体" w:eastAsia="宋体" w:cs="宋体"/>
          <w:kern w:val="2"/>
          <w:sz w:val="24"/>
          <w:lang w:val="en-US"/>
        </w:rPr>
        <w:t>违约，</w:t>
      </w:r>
      <w:r>
        <w:rPr>
          <w:rFonts w:hint="eastAsia" w:ascii="宋体" w:hAnsi="宋体" w:eastAsia="宋体" w:cs="宋体"/>
          <w:kern w:val="2"/>
          <w:sz w:val="24"/>
          <w:lang w:val="en-US"/>
        </w:rPr>
        <w:t>甲</w:t>
      </w:r>
      <w:r>
        <w:rPr>
          <w:rFonts w:ascii="宋体" w:hAnsi="宋体" w:eastAsia="宋体" w:cs="宋体"/>
          <w:kern w:val="2"/>
          <w:sz w:val="24"/>
          <w:lang w:val="en-US"/>
        </w:rPr>
        <w:t>方有权按500</w:t>
      </w:r>
      <w:r>
        <w:rPr>
          <w:rFonts w:hint="eastAsia" w:ascii="宋体" w:hAnsi="宋体" w:eastAsia="宋体" w:cs="宋体"/>
          <w:kern w:val="2"/>
          <w:sz w:val="24"/>
          <w:lang w:val="en-US"/>
        </w:rPr>
        <w:t>0</w:t>
      </w:r>
      <w:r>
        <w:rPr>
          <w:rFonts w:ascii="宋体" w:hAnsi="宋体" w:eastAsia="宋体" w:cs="宋体"/>
          <w:kern w:val="2"/>
          <w:sz w:val="24"/>
          <w:lang w:val="en-US"/>
        </w:rPr>
        <w:t>元/人/次从</w:t>
      </w:r>
      <w:r>
        <w:rPr>
          <w:rFonts w:hint="eastAsia" w:ascii="宋体" w:hAnsi="宋体" w:eastAsia="宋体" w:cs="宋体"/>
          <w:kern w:val="2"/>
          <w:sz w:val="24"/>
          <w:lang w:val="en-US"/>
        </w:rPr>
        <w:t>总</w:t>
      </w:r>
      <w:r>
        <w:rPr>
          <w:rFonts w:ascii="宋体" w:hAnsi="宋体" w:eastAsia="宋体" w:cs="宋体"/>
          <w:kern w:val="2"/>
          <w:sz w:val="24"/>
          <w:lang w:val="en-US"/>
        </w:rPr>
        <w:t>合同款中扣除</w:t>
      </w:r>
      <w:r>
        <w:rPr>
          <w:rFonts w:hint="eastAsia" w:ascii="宋体" w:hAnsi="宋体" w:eastAsia="宋体" w:cs="宋体"/>
          <w:kern w:val="2"/>
          <w:sz w:val="24"/>
          <w:lang w:val="en-US"/>
        </w:rPr>
        <w:t>。</w:t>
      </w:r>
    </w:p>
    <w:p w14:paraId="0C17719B">
      <w:pPr>
        <w:pStyle w:val="2"/>
        <w:spacing w:after="0" w:line="312" w:lineRule="auto"/>
        <w:ind w:firstLine="420"/>
        <w:rPr>
          <w:rFonts w:ascii="宋体" w:hAnsi="宋体" w:eastAsia="宋体" w:cs="宋体"/>
          <w:kern w:val="2"/>
          <w:sz w:val="24"/>
          <w:lang w:val="en-US"/>
        </w:rPr>
      </w:pPr>
    </w:p>
    <w:bookmarkEnd w:id="1"/>
    <w:p w14:paraId="7A6E0CB0">
      <w:pPr>
        <w:pStyle w:val="2"/>
        <w:spacing w:after="0" w:line="312" w:lineRule="auto"/>
        <w:rPr>
          <w:rFonts w:ascii="宋体" w:hAnsi="宋体" w:eastAsia="宋体" w:cs="宋体"/>
          <w:b/>
          <w:bCs/>
          <w:sz w:val="28"/>
          <w:lang w:val="en-US"/>
        </w:rPr>
      </w:pPr>
      <w:bookmarkStart w:id="2" w:name="_Toc507405799"/>
      <w:bookmarkStart w:id="3" w:name="_Toc507405800"/>
      <w:r>
        <w:rPr>
          <w:rFonts w:hint="eastAsia" w:ascii="宋体" w:hAnsi="宋体" w:eastAsia="宋体" w:cs="宋体"/>
          <w:b/>
          <w:bCs/>
          <w:sz w:val="28"/>
          <w:lang w:val="en-US"/>
        </w:rPr>
        <w:t>七、保密、廉洁协议</w:t>
      </w:r>
    </w:p>
    <w:p w14:paraId="6AE9C3C8">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2508B5A3">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7.2 双方不得以任何方式向第三方泄露本项目的软件技术、设计方案以及功能配置等内容。</w:t>
      </w:r>
    </w:p>
    <w:p w14:paraId="5A2CE9EE">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7.3不以任何方式向第三方泄露在本协议开发实施过程中获取的经济、技术、数据以及双方其他非公开的信息。</w:t>
      </w:r>
    </w:p>
    <w:p w14:paraId="081746C0">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0001EDD3">
      <w:pPr>
        <w:spacing w:line="312" w:lineRule="auto"/>
        <w:ind w:firstLine="480" w:firstLineChars="200"/>
        <w:jc w:val="left"/>
        <w:rPr>
          <w:rFonts w:ascii="宋体" w:hAnsi="宋体" w:eastAsia="宋体" w:cs="宋体"/>
          <w:sz w:val="24"/>
          <w:szCs w:val="24"/>
        </w:rPr>
      </w:pPr>
      <w:r>
        <w:rPr>
          <w:rFonts w:hint="eastAsia" w:ascii="宋体" w:hAnsi="宋体" w:eastAsia="宋体" w:cs="宋体"/>
          <w:sz w:val="24"/>
          <w:szCs w:val="24"/>
        </w:rPr>
        <w:t>7.5保密期限自本合同生效之日起永久有效，如乙方需解除保密协议需向甲方提出书面申请，双方协商同意签字确认后方可解除。</w:t>
      </w:r>
    </w:p>
    <w:p w14:paraId="650D625C">
      <w:pPr>
        <w:pStyle w:val="2"/>
        <w:spacing w:after="0" w:line="312" w:lineRule="auto"/>
        <w:rPr>
          <w:lang w:val="en-US"/>
        </w:rPr>
      </w:pPr>
    </w:p>
    <w:p w14:paraId="4D8351CB">
      <w:pPr>
        <w:pStyle w:val="2"/>
        <w:spacing w:after="0" w:line="312" w:lineRule="auto"/>
        <w:rPr>
          <w:rFonts w:ascii="宋体" w:hAnsi="宋体" w:eastAsia="宋体" w:cs="宋体"/>
          <w:b/>
          <w:bCs/>
          <w:sz w:val="28"/>
          <w:lang w:val="en-US"/>
        </w:rPr>
      </w:pPr>
      <w:r>
        <w:rPr>
          <w:rFonts w:hint="eastAsia" w:ascii="宋体" w:hAnsi="宋体" w:eastAsia="宋体" w:cs="宋体"/>
          <w:b/>
          <w:bCs/>
          <w:sz w:val="28"/>
          <w:lang w:val="en-US"/>
        </w:rPr>
        <w:t>八、报价</w:t>
      </w:r>
    </w:p>
    <w:p w14:paraId="41E5AF70">
      <w:pPr>
        <w:pStyle w:val="2"/>
        <w:spacing w:after="0" w:line="312" w:lineRule="auto"/>
        <w:ind w:firstLine="420"/>
        <w:rPr>
          <w:rFonts w:ascii="宋体" w:hAnsi="宋体" w:eastAsia="宋体" w:cs="宋体"/>
          <w:sz w:val="24"/>
        </w:rPr>
      </w:pPr>
      <w:r>
        <w:rPr>
          <w:rFonts w:hint="eastAsia" w:ascii="宋体" w:hAnsi="宋体" w:eastAsia="宋体" w:cs="宋体"/>
          <w:sz w:val="24"/>
        </w:rPr>
        <w:t>竞标文件提供技术偏离表、服务偏离表，并标明详细的技术和服务内容。竞标文件按系统模块报价，报价表价格包含系统软硬件费用、产品安装、调试实施、培训费用</w:t>
      </w:r>
      <w:r>
        <w:rPr>
          <w:rFonts w:hint="eastAsia" w:ascii="宋体" w:hAnsi="宋体" w:eastAsia="宋体"/>
          <w:sz w:val="24"/>
        </w:rPr>
        <w:t>等费用</w:t>
      </w:r>
      <w:r>
        <w:rPr>
          <w:rFonts w:hint="eastAsia" w:ascii="宋体" w:hAnsi="宋体" w:eastAsia="宋体" w:cs="宋体"/>
          <w:sz w:val="24"/>
        </w:rPr>
        <w:t>，以及明示所有责任、义务和一切风险。</w:t>
      </w:r>
    </w:p>
    <w:p w14:paraId="3C63233D">
      <w:pPr>
        <w:pStyle w:val="2"/>
        <w:spacing w:after="0" w:line="312" w:lineRule="auto"/>
        <w:ind w:firstLine="420"/>
        <w:rPr>
          <w:lang w:val="en-US"/>
        </w:rPr>
      </w:pPr>
    </w:p>
    <w:p w14:paraId="424BC004">
      <w:pPr>
        <w:pStyle w:val="3"/>
        <w:numPr>
          <w:ilvl w:val="0"/>
          <w:numId w:val="0"/>
        </w:numPr>
        <w:spacing w:before="0" w:after="0" w:line="312" w:lineRule="auto"/>
        <w:rPr>
          <w:rFonts w:ascii="宋体" w:hAnsi="宋体"/>
          <w:bCs w:val="0"/>
          <w:sz w:val="32"/>
          <w:szCs w:val="32"/>
        </w:rPr>
      </w:pPr>
      <w:r>
        <w:rPr>
          <w:rFonts w:hint="eastAsia" w:ascii="宋体" w:hAnsi="宋体"/>
          <w:bCs w:val="0"/>
          <w:sz w:val="32"/>
          <w:szCs w:val="32"/>
        </w:rPr>
        <w:t>九、付款方式</w:t>
      </w:r>
      <w:bookmarkEnd w:id="2"/>
    </w:p>
    <w:bookmarkEnd w:id="3"/>
    <w:p w14:paraId="6F121FA9">
      <w:pPr>
        <w:pStyle w:val="10"/>
        <w:spacing w:line="360" w:lineRule="auto"/>
        <w:ind w:firstLine="614" w:firstLineChars="256"/>
        <w:rPr>
          <w:sz w:val="24"/>
        </w:rPr>
      </w:pPr>
      <w:r>
        <w:rPr>
          <w:rFonts w:hint="eastAsia" w:ascii="宋体" w:hAnsi="宋体" w:eastAsia="宋体" w:cs="微软雅黑"/>
          <w:sz w:val="24"/>
          <w:szCs w:val="24"/>
        </w:rPr>
        <w:t>合同签订后，开展网络安全等级保护测评工作，并出具网络安全等级保护测评报告的纸质版和电子版后，支付该年度测评费用。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OWE0M2Y5OWYwZTYyYWYwNmUzNWIwNzlhMjAzZWIifQ=="/>
  </w:docVars>
  <w:rsids>
    <w:rsidRoot w:val="003E62DF"/>
    <w:rsid w:val="000263E5"/>
    <w:rsid w:val="00041A59"/>
    <w:rsid w:val="000E2410"/>
    <w:rsid w:val="001068A0"/>
    <w:rsid w:val="0014199D"/>
    <w:rsid w:val="001949D2"/>
    <w:rsid w:val="001A11FC"/>
    <w:rsid w:val="001A1C12"/>
    <w:rsid w:val="002164DE"/>
    <w:rsid w:val="00227340"/>
    <w:rsid w:val="00277363"/>
    <w:rsid w:val="002A29C0"/>
    <w:rsid w:val="002B65E5"/>
    <w:rsid w:val="00306E6E"/>
    <w:rsid w:val="00313679"/>
    <w:rsid w:val="003336DD"/>
    <w:rsid w:val="003A6B37"/>
    <w:rsid w:val="003E62DF"/>
    <w:rsid w:val="00435C7C"/>
    <w:rsid w:val="00477C6A"/>
    <w:rsid w:val="00481560"/>
    <w:rsid w:val="00491534"/>
    <w:rsid w:val="004D3BA6"/>
    <w:rsid w:val="005A540A"/>
    <w:rsid w:val="005D449A"/>
    <w:rsid w:val="006244B1"/>
    <w:rsid w:val="006638C1"/>
    <w:rsid w:val="006A3CAE"/>
    <w:rsid w:val="006C202C"/>
    <w:rsid w:val="006E12DA"/>
    <w:rsid w:val="006E634D"/>
    <w:rsid w:val="007B099F"/>
    <w:rsid w:val="007C04DE"/>
    <w:rsid w:val="007D2245"/>
    <w:rsid w:val="008A1BF4"/>
    <w:rsid w:val="008C322F"/>
    <w:rsid w:val="009506AF"/>
    <w:rsid w:val="00964580"/>
    <w:rsid w:val="00A06C84"/>
    <w:rsid w:val="00A140D3"/>
    <w:rsid w:val="00A430A7"/>
    <w:rsid w:val="00A80E77"/>
    <w:rsid w:val="00AA22E6"/>
    <w:rsid w:val="00AB2123"/>
    <w:rsid w:val="00B405EC"/>
    <w:rsid w:val="00B759E0"/>
    <w:rsid w:val="00BA5221"/>
    <w:rsid w:val="00D355EF"/>
    <w:rsid w:val="00D373AA"/>
    <w:rsid w:val="00D5380E"/>
    <w:rsid w:val="00DC1FBB"/>
    <w:rsid w:val="00E61AD4"/>
    <w:rsid w:val="00EA04B2"/>
    <w:rsid w:val="00EE0D63"/>
    <w:rsid w:val="00EF0761"/>
    <w:rsid w:val="00F13AA1"/>
    <w:rsid w:val="00FC6869"/>
    <w:rsid w:val="038608DA"/>
    <w:rsid w:val="06DF14B2"/>
    <w:rsid w:val="072E01FC"/>
    <w:rsid w:val="08741252"/>
    <w:rsid w:val="09A47EE1"/>
    <w:rsid w:val="0A791D80"/>
    <w:rsid w:val="0F2A1F3D"/>
    <w:rsid w:val="109B068D"/>
    <w:rsid w:val="14782DB8"/>
    <w:rsid w:val="14AF00BD"/>
    <w:rsid w:val="153D4F2B"/>
    <w:rsid w:val="165C1DAE"/>
    <w:rsid w:val="16ED2D59"/>
    <w:rsid w:val="174D1CA9"/>
    <w:rsid w:val="17536FF6"/>
    <w:rsid w:val="17541870"/>
    <w:rsid w:val="19151124"/>
    <w:rsid w:val="1A251034"/>
    <w:rsid w:val="1AA944D3"/>
    <w:rsid w:val="1B5C436C"/>
    <w:rsid w:val="1B6F375A"/>
    <w:rsid w:val="1B91509A"/>
    <w:rsid w:val="1D9262D5"/>
    <w:rsid w:val="22293C01"/>
    <w:rsid w:val="224243ED"/>
    <w:rsid w:val="24DA1462"/>
    <w:rsid w:val="251F0377"/>
    <w:rsid w:val="25D43FBF"/>
    <w:rsid w:val="26AA16D4"/>
    <w:rsid w:val="284C2F0D"/>
    <w:rsid w:val="290632D5"/>
    <w:rsid w:val="2C6E439E"/>
    <w:rsid w:val="2CA67011"/>
    <w:rsid w:val="2E55261B"/>
    <w:rsid w:val="34906983"/>
    <w:rsid w:val="34A02F04"/>
    <w:rsid w:val="356078D0"/>
    <w:rsid w:val="367D4F11"/>
    <w:rsid w:val="3A6B617C"/>
    <w:rsid w:val="3A965B44"/>
    <w:rsid w:val="3B4F3BCB"/>
    <w:rsid w:val="3D655CAD"/>
    <w:rsid w:val="3DCF123E"/>
    <w:rsid w:val="3FFE146B"/>
    <w:rsid w:val="41971DBD"/>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5EF576E"/>
    <w:rsid w:val="67234BE8"/>
    <w:rsid w:val="67C37F93"/>
    <w:rsid w:val="68B72934"/>
    <w:rsid w:val="69A9737D"/>
    <w:rsid w:val="6A5B6461"/>
    <w:rsid w:val="6B9E401E"/>
    <w:rsid w:val="6C1A6998"/>
    <w:rsid w:val="70CF56E5"/>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Body Text Indent 2"/>
    <w:basedOn w:val="1"/>
    <w:qFormat/>
    <w:uiPriority w:val="0"/>
    <w:pPr>
      <w:ind w:firstLine="630"/>
    </w:pPr>
    <w:rPr>
      <w:sz w:val="32"/>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p15"/>
    <w:basedOn w:val="1"/>
    <w:qFormat/>
    <w:uiPriority w:val="0"/>
    <w:pPr>
      <w:widowControl/>
      <w:ind w:firstLine="420"/>
    </w:pPr>
    <w:rPr>
      <w:kern w:val="0"/>
      <w:szCs w:val="21"/>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paragraph" w:customStyle="1" w:styleId="14">
    <w:name w:val="KSERT"/>
    <w:basedOn w:val="1"/>
    <w:qFormat/>
    <w:uiPriority w:val="0"/>
    <w:pPr>
      <w:spacing w:line="360" w:lineRule="auto"/>
      <w:ind w:firstLine="20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1782</Words>
  <Characters>1829</Characters>
  <Lines>13</Lines>
  <Paragraphs>3</Paragraphs>
  <TotalTime>51</TotalTime>
  <ScaleCrop>false</ScaleCrop>
  <LinksUpToDate>false</LinksUpToDate>
  <CharactersWithSpaces>1837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天空</cp:lastModifiedBy>
  <dcterms:modified xsi:type="dcterms:W3CDTF">2025-03-18T07:13:04Z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E2C5FAB78D5E4F8287524DB9D406AEF2_12</vt:lpwstr>
  </property>
  <property fmtid="{D5CDD505-2E9C-101B-9397-08002B2CF9AE}" pid="4" name="KSOTemplateDocerSaveRecord">
    <vt:lpwstr>eyJoZGlkIjoiYTRiMjI1NTRjYTU0YzUyY2Y5NGVkYmZjOTNkMWE4NWIiLCJ1c2VySWQiOiIxMTU2NzgxMTU1In0=</vt:lpwstr>
  </property>
</Properties>
</file>