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color w:val="auto"/>
          <w:sz w:val="36"/>
          <w:szCs w:val="36"/>
          <w:lang w:val="en-US" w:eastAsia="zh-CN"/>
        </w:rPr>
      </w:pPr>
      <w:r>
        <w:rPr>
          <w:rFonts w:hint="eastAsia" w:ascii="黑体" w:hAnsi="黑体" w:eastAsia="黑体" w:cs="黑体"/>
          <w:b/>
          <w:color w:val="auto"/>
          <w:sz w:val="36"/>
          <w:szCs w:val="36"/>
        </w:rPr>
        <w:t>柳州市工人医院天马社区卫生</w:t>
      </w:r>
      <w:r>
        <w:rPr>
          <w:rFonts w:hint="eastAsia" w:ascii="黑体" w:hAnsi="黑体" w:eastAsia="黑体" w:cs="黑体"/>
          <w:b/>
          <w:color w:val="auto"/>
          <w:sz w:val="36"/>
          <w:szCs w:val="36"/>
          <w:lang w:eastAsia="zh-CN"/>
        </w:rPr>
        <w:t>服务中心</w:t>
      </w:r>
      <w:r>
        <w:rPr>
          <w:rFonts w:hint="eastAsia" w:ascii="黑体" w:hAnsi="黑体" w:eastAsia="黑体" w:cs="黑体"/>
          <w:b/>
          <w:color w:val="auto"/>
          <w:sz w:val="36"/>
          <w:szCs w:val="36"/>
        </w:rPr>
        <w:t>电梯</w:t>
      </w:r>
      <w:r>
        <w:rPr>
          <w:rFonts w:hint="eastAsia" w:ascii="黑体" w:hAnsi="黑体" w:eastAsia="黑体" w:cs="黑体"/>
          <w:b/>
          <w:color w:val="auto"/>
          <w:sz w:val="36"/>
          <w:szCs w:val="36"/>
          <w:lang w:val="en-US" w:eastAsia="zh-CN"/>
        </w:rPr>
        <w:t>采购项目</w:t>
      </w:r>
    </w:p>
    <w:p>
      <w:pPr>
        <w:tabs>
          <w:tab w:val="left" w:pos="7275"/>
        </w:tabs>
        <w:spacing w:line="480" w:lineRule="exact"/>
        <w:jc w:val="center"/>
        <w:rPr>
          <w:rFonts w:hint="eastAsia" w:ascii="黑体" w:hAnsi="黑体" w:eastAsia="黑体" w:cs="黑体"/>
          <w:b/>
          <w:color w:val="auto"/>
          <w:sz w:val="36"/>
          <w:szCs w:val="36"/>
          <w:lang w:val="en-US" w:eastAsia="zh-CN"/>
        </w:rPr>
      </w:pPr>
      <w:r>
        <w:rPr>
          <w:rFonts w:hint="eastAsia" w:ascii="黑体" w:hAnsi="黑体" w:eastAsia="黑体" w:cs="黑体"/>
          <w:b/>
          <w:color w:val="auto"/>
          <w:sz w:val="36"/>
          <w:szCs w:val="36"/>
          <w:lang w:val="en-US" w:eastAsia="zh-CN"/>
        </w:rPr>
        <w:t>项目需求</w:t>
      </w:r>
    </w:p>
    <w:p>
      <w:pPr>
        <w:rPr>
          <w:rFonts w:hint="eastAsia" w:ascii="仿宋" w:hAnsi="仿宋" w:eastAsia="仿宋" w:cs="仿宋"/>
          <w:color w:val="auto"/>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一、项目名称</w:t>
      </w:r>
    </w:p>
    <w:p>
      <w:pPr>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柳州市工人医院天马</w:t>
      </w:r>
      <w:r>
        <w:rPr>
          <w:rFonts w:hint="eastAsia" w:ascii="仿宋" w:hAnsi="仿宋" w:eastAsia="仿宋" w:cs="仿宋"/>
          <w:color w:val="auto"/>
          <w:sz w:val="28"/>
          <w:szCs w:val="28"/>
          <w:lang w:eastAsia="zh-CN"/>
        </w:rPr>
        <w:t>社区卫生服务中心</w:t>
      </w:r>
      <w:r>
        <w:rPr>
          <w:rFonts w:hint="eastAsia" w:ascii="仿宋" w:hAnsi="仿宋" w:eastAsia="仿宋" w:cs="仿宋"/>
          <w:color w:val="auto"/>
          <w:sz w:val="28"/>
          <w:szCs w:val="28"/>
          <w:lang w:val="en-US" w:eastAsia="zh-CN"/>
        </w:rPr>
        <w:t>电梯采购项目。</w:t>
      </w:r>
    </w:p>
    <w:p>
      <w:pPr>
        <w:ind w:firstLine="560"/>
        <w:rPr>
          <w:rFonts w:hint="eastAsia" w:ascii="仿宋" w:hAnsi="仿宋" w:eastAsia="仿宋" w:cs="仿宋"/>
          <w:color w:val="auto"/>
          <w:sz w:val="28"/>
          <w:szCs w:val="28"/>
          <w:lang w:val="en-US" w:eastAsia="zh-CN"/>
        </w:rPr>
      </w:pPr>
    </w:p>
    <w:p>
      <w:pPr>
        <w:rPr>
          <w:rFonts w:hAnsi="宋体"/>
          <w:b/>
          <w:bCs/>
          <w:color w:val="auto"/>
          <w:sz w:val="28"/>
          <w:szCs w:val="28"/>
        </w:rPr>
      </w:pPr>
      <w:r>
        <w:rPr>
          <w:rFonts w:hint="eastAsia" w:ascii="仿宋" w:hAnsi="仿宋" w:eastAsia="仿宋" w:cs="仿宋"/>
          <w:b/>
          <w:bCs/>
          <w:color w:val="auto"/>
          <w:sz w:val="28"/>
          <w:szCs w:val="28"/>
        </w:rPr>
        <w:t>二、项目概况</w:t>
      </w:r>
    </w:p>
    <w:p>
      <w:pPr>
        <w:ind w:firstLine="561"/>
        <w:rPr>
          <w:rFonts w:hint="eastAsia" w:hAnsi="宋体"/>
          <w:color w:val="auto"/>
          <w:sz w:val="28"/>
          <w:szCs w:val="28"/>
          <w:lang w:val="en-US" w:eastAsia="zh-CN"/>
        </w:rPr>
      </w:pPr>
      <w:r>
        <w:rPr>
          <w:rFonts w:hint="eastAsia" w:ascii="仿宋" w:hAnsi="仿宋" w:eastAsia="仿宋" w:cs="仿宋"/>
          <w:color w:val="auto"/>
          <w:sz w:val="28"/>
          <w:szCs w:val="28"/>
        </w:rPr>
        <w:t>项目为柳州市工人医院天马</w:t>
      </w:r>
      <w:r>
        <w:rPr>
          <w:rFonts w:hint="eastAsia" w:ascii="仿宋" w:hAnsi="仿宋" w:eastAsia="仿宋" w:cs="仿宋"/>
          <w:color w:val="auto"/>
          <w:sz w:val="28"/>
          <w:szCs w:val="28"/>
          <w:lang w:eastAsia="zh-CN"/>
        </w:rPr>
        <w:t>社区卫生服务中心</w:t>
      </w:r>
      <w:r>
        <w:rPr>
          <w:rFonts w:hint="eastAsia" w:ascii="仿宋" w:hAnsi="仿宋" w:eastAsia="仿宋" w:cs="仿宋"/>
          <w:color w:val="auto"/>
          <w:sz w:val="28"/>
          <w:szCs w:val="28"/>
          <w:lang w:val="en-US" w:eastAsia="zh-CN"/>
        </w:rPr>
        <w:t>电梯采购项目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地址位于</w:t>
      </w:r>
      <w:r>
        <w:rPr>
          <w:rFonts w:hint="eastAsia" w:ascii="仿宋" w:hAnsi="仿宋" w:eastAsia="仿宋" w:cs="仿宋"/>
          <w:color w:val="auto"/>
          <w:sz w:val="28"/>
          <w:szCs w:val="28"/>
        </w:rPr>
        <w:t>柳州市柳石路</w:t>
      </w:r>
      <w:r>
        <w:rPr>
          <w:rFonts w:hint="eastAsia" w:ascii="仿宋" w:hAnsi="仿宋" w:eastAsia="仿宋" w:cs="仿宋"/>
          <w:color w:val="auto"/>
          <w:sz w:val="28"/>
          <w:szCs w:val="28"/>
          <w:lang w:val="en-US" w:eastAsia="zh-CN"/>
        </w:rPr>
        <w:t>37号柳州市金铸置业有限公司的房屋共1300㎡，包含一栋4层房屋1200㎡和4间平房100㎡。4层房屋中的第1层有6间房，2-4层每层7间房，共27间房，每间房约24㎡。</w:t>
      </w:r>
    </w:p>
    <w:p>
      <w:pPr>
        <w:ind w:firstLine="561"/>
        <w:rPr>
          <w:rFonts w:hint="eastAsia" w:hAnsi="宋体"/>
          <w:color w:val="auto"/>
          <w:sz w:val="28"/>
          <w:szCs w:val="28"/>
          <w:lang w:val="en-US" w:eastAsia="zh-CN"/>
        </w:rPr>
      </w:pPr>
    </w:p>
    <w:p>
      <w:pPr>
        <w:rPr>
          <w:rFonts w:hAnsi="宋体"/>
          <w:b/>
          <w:bCs/>
          <w:color w:val="auto"/>
          <w:sz w:val="28"/>
          <w:szCs w:val="28"/>
        </w:rPr>
      </w:pPr>
      <w:r>
        <w:rPr>
          <w:rFonts w:hint="eastAsia" w:ascii="仿宋" w:hAnsi="仿宋" w:eastAsia="仿宋" w:cs="仿宋"/>
          <w:b/>
          <w:bCs/>
          <w:color w:val="auto"/>
          <w:sz w:val="28"/>
          <w:szCs w:val="28"/>
        </w:rPr>
        <w:t>三、投标人/供应商资格条件</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1.投标人需为国内注册（指按国家有关规定要求注册的），具备法人资格，参与单位需具电梯销售、电梯安装等相关资质；</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2.参与单位三年内在经营活动中没有重大违法记录和不良信用记录；</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3.参与单位有效的“营业执照”副本复印件；</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 xml:space="preserve">4.由国家质量技术监督局颁发的中华人民共和国组织机构代码证复印件（三证合一除外）和法定代表人身份证明复印件； </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5.参与单位有效的“税务登记证”副本复印件（国税或地税，三证合一除外）；</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6.投标人需要提供供货品牌电梯厂商专项授权书或相关授权证明；</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7.标书中应注明该单位相关业绩。</w:t>
      </w:r>
    </w:p>
    <w:p>
      <w:pPr>
        <w:ind w:firstLine="560" w:firstLineChars="200"/>
        <w:rPr>
          <w:rFonts w:hint="eastAsia" w:hAnsi="宋体"/>
          <w:color w:val="auto"/>
          <w:sz w:val="28"/>
          <w:szCs w:val="28"/>
        </w:rPr>
      </w:pPr>
    </w:p>
    <w:p>
      <w:pPr>
        <w:rPr>
          <w:rFonts w:hAnsi="宋体"/>
          <w:b/>
          <w:bCs/>
          <w:color w:val="auto"/>
          <w:sz w:val="28"/>
          <w:szCs w:val="28"/>
        </w:rPr>
      </w:pPr>
      <w:r>
        <w:rPr>
          <w:rFonts w:hint="eastAsia" w:ascii="仿宋" w:hAnsi="仿宋" w:eastAsia="仿宋" w:cs="仿宋"/>
          <w:b/>
          <w:bCs/>
          <w:color w:val="auto"/>
          <w:sz w:val="28"/>
          <w:szCs w:val="28"/>
        </w:rPr>
        <w:t>四、项目内容</w:t>
      </w:r>
    </w:p>
    <w:p>
      <w:pPr>
        <w:jc w:val="center"/>
        <w:rPr>
          <w:rFonts w:hAnsi="宋体"/>
          <w:b/>
          <w:bCs/>
          <w:color w:val="auto"/>
          <w:sz w:val="28"/>
          <w:szCs w:val="28"/>
        </w:rPr>
      </w:pPr>
      <w:r>
        <w:rPr>
          <w:rFonts w:hint="eastAsia" w:hAnsi="宋体"/>
          <w:b/>
          <w:bCs/>
          <w:color w:val="auto"/>
          <w:sz w:val="28"/>
          <w:szCs w:val="28"/>
        </w:rPr>
        <w:t>技术参数一览表</w:t>
      </w:r>
    </w:p>
    <w:tbl>
      <w:tblPr>
        <w:tblStyle w:val="9"/>
        <w:tblW w:w="9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20"/>
        <w:gridCol w:w="109"/>
        <w:gridCol w:w="576"/>
        <w:gridCol w:w="1284"/>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41" w:type="dxa"/>
            <w:shd w:val="clear" w:color="auto" w:fill="auto"/>
            <w:vAlign w:val="center"/>
          </w:tcPr>
          <w:p>
            <w:pPr>
              <w:jc w:val="center"/>
              <w:rPr>
                <w:rFonts w:hAnsi="宋体"/>
                <w:color w:val="auto"/>
                <w:szCs w:val="21"/>
              </w:rPr>
            </w:pPr>
            <w:r>
              <w:rPr>
                <w:rFonts w:hint="eastAsia" w:hAnsi="宋体"/>
                <w:color w:val="auto"/>
                <w:szCs w:val="21"/>
              </w:rPr>
              <w:t>项号</w:t>
            </w:r>
          </w:p>
        </w:tc>
        <w:tc>
          <w:tcPr>
            <w:tcW w:w="1020" w:type="dxa"/>
            <w:shd w:val="clear" w:color="auto" w:fill="auto"/>
            <w:vAlign w:val="center"/>
          </w:tcPr>
          <w:p>
            <w:pPr>
              <w:jc w:val="center"/>
              <w:rPr>
                <w:rFonts w:hAnsi="宋体"/>
                <w:color w:val="auto"/>
                <w:szCs w:val="21"/>
              </w:rPr>
            </w:pPr>
            <w:r>
              <w:rPr>
                <w:rFonts w:hint="eastAsia" w:hAnsi="宋体"/>
                <w:color w:val="auto"/>
                <w:szCs w:val="21"/>
              </w:rPr>
              <w:t>货物</w:t>
            </w:r>
          </w:p>
          <w:p>
            <w:pPr>
              <w:jc w:val="center"/>
              <w:rPr>
                <w:rFonts w:hAnsi="宋体"/>
                <w:color w:val="auto"/>
                <w:szCs w:val="21"/>
              </w:rPr>
            </w:pPr>
            <w:r>
              <w:rPr>
                <w:rFonts w:hint="eastAsia" w:hAnsi="宋体"/>
                <w:color w:val="auto"/>
                <w:szCs w:val="21"/>
              </w:rPr>
              <w:t>名称</w:t>
            </w:r>
          </w:p>
        </w:tc>
        <w:tc>
          <w:tcPr>
            <w:tcW w:w="685" w:type="dxa"/>
            <w:gridSpan w:val="2"/>
            <w:shd w:val="clear" w:color="auto" w:fill="auto"/>
            <w:vAlign w:val="center"/>
          </w:tcPr>
          <w:p>
            <w:pPr>
              <w:jc w:val="center"/>
              <w:rPr>
                <w:rFonts w:hAnsi="宋体"/>
                <w:color w:val="auto"/>
                <w:szCs w:val="21"/>
              </w:rPr>
            </w:pPr>
            <w:r>
              <w:rPr>
                <w:rFonts w:hint="eastAsia" w:hAnsi="宋体"/>
                <w:color w:val="auto"/>
                <w:szCs w:val="21"/>
              </w:rPr>
              <w:t>数量</w:t>
            </w:r>
          </w:p>
        </w:tc>
        <w:tc>
          <w:tcPr>
            <w:tcW w:w="1284" w:type="dxa"/>
            <w:shd w:val="clear" w:color="auto" w:fill="auto"/>
            <w:vAlign w:val="center"/>
          </w:tcPr>
          <w:p>
            <w:pPr>
              <w:jc w:val="center"/>
              <w:rPr>
                <w:rFonts w:hAnsi="宋体"/>
                <w:color w:val="auto"/>
                <w:szCs w:val="21"/>
              </w:rPr>
            </w:pPr>
            <w:r>
              <w:rPr>
                <w:rFonts w:hint="eastAsia" w:hAnsi="宋体"/>
                <w:color w:val="auto"/>
                <w:szCs w:val="21"/>
              </w:rPr>
              <w:t>参考品牌</w:t>
            </w:r>
          </w:p>
          <w:p>
            <w:pPr>
              <w:jc w:val="center"/>
              <w:rPr>
                <w:rFonts w:hAnsi="宋体"/>
                <w:color w:val="auto"/>
                <w:szCs w:val="21"/>
              </w:rPr>
            </w:pPr>
            <w:r>
              <w:rPr>
                <w:rFonts w:hint="eastAsia" w:hAnsi="宋体"/>
                <w:color w:val="auto"/>
                <w:szCs w:val="21"/>
              </w:rPr>
              <w:t>及型号</w:t>
            </w:r>
          </w:p>
        </w:tc>
        <w:tc>
          <w:tcPr>
            <w:tcW w:w="6347" w:type="dxa"/>
            <w:shd w:val="clear" w:color="auto" w:fill="auto"/>
            <w:vAlign w:val="center"/>
          </w:tcPr>
          <w:p>
            <w:pPr>
              <w:jc w:val="center"/>
              <w:rPr>
                <w:rFonts w:hAnsi="宋体"/>
                <w:color w:val="auto"/>
                <w:szCs w:val="21"/>
              </w:rPr>
            </w:pPr>
            <w:r>
              <w:rPr>
                <w:rFonts w:hint="eastAsia" w:hAnsi="宋体"/>
                <w:color w:val="auto"/>
                <w:szCs w:val="21"/>
              </w:rPr>
              <w:t>主要技术参数及性能（配置）要求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541" w:type="dxa"/>
            <w:shd w:val="clear" w:color="auto" w:fill="auto"/>
            <w:vAlign w:val="center"/>
          </w:tcPr>
          <w:p>
            <w:pPr>
              <w:spacing w:line="240" w:lineRule="exact"/>
              <w:jc w:val="center"/>
              <w:rPr>
                <w:rFonts w:hAnsi="宋体"/>
                <w:color w:val="auto"/>
              </w:rPr>
            </w:pPr>
            <w:r>
              <w:rPr>
                <w:rFonts w:hint="eastAsia" w:hAnsi="宋体"/>
                <w:color w:val="auto"/>
              </w:rPr>
              <w:t>1</w:t>
            </w:r>
          </w:p>
        </w:tc>
        <w:tc>
          <w:tcPr>
            <w:tcW w:w="1020" w:type="dxa"/>
            <w:shd w:val="clear" w:color="auto" w:fill="auto"/>
            <w:vAlign w:val="center"/>
          </w:tcPr>
          <w:p>
            <w:pPr>
              <w:jc w:val="center"/>
              <w:rPr>
                <w:rFonts w:hAnsi="宋体"/>
                <w:color w:val="auto"/>
              </w:rPr>
            </w:pPr>
            <w:r>
              <w:rPr>
                <w:rFonts w:hint="eastAsia" w:hAnsi="宋体"/>
                <w:color w:val="auto"/>
              </w:rPr>
              <w:t>无机房无障碍乘客电梯</w:t>
            </w:r>
          </w:p>
        </w:tc>
        <w:tc>
          <w:tcPr>
            <w:tcW w:w="685" w:type="dxa"/>
            <w:gridSpan w:val="2"/>
            <w:shd w:val="clear" w:color="auto" w:fill="auto"/>
            <w:vAlign w:val="center"/>
          </w:tcPr>
          <w:p>
            <w:pPr>
              <w:jc w:val="center"/>
              <w:rPr>
                <w:rFonts w:hAnsi="宋体"/>
                <w:color w:val="auto"/>
              </w:rPr>
            </w:pPr>
            <w:r>
              <w:rPr>
                <w:rFonts w:hint="eastAsia" w:hAnsi="宋体"/>
                <w:color w:val="auto"/>
              </w:rPr>
              <w:t>1台</w:t>
            </w:r>
          </w:p>
        </w:tc>
        <w:tc>
          <w:tcPr>
            <w:tcW w:w="1284" w:type="dxa"/>
            <w:shd w:val="clear" w:color="auto" w:fill="auto"/>
            <w:vAlign w:val="center"/>
          </w:tcPr>
          <w:p>
            <w:pPr>
              <w:jc w:val="center"/>
              <w:rPr>
                <w:rFonts w:hint="eastAsia" w:hAnsi="宋体" w:eastAsia="宋体"/>
                <w:color w:val="auto"/>
                <w:lang w:eastAsia="zh-CN"/>
              </w:rPr>
            </w:pPr>
            <w:r>
              <w:rPr>
                <w:rFonts w:hint="eastAsia" w:hAnsi="宋体"/>
                <w:color w:val="auto"/>
                <w:sz w:val="21"/>
                <w:szCs w:val="21"/>
                <w:lang w:val="en-US" w:eastAsia="zh-CN"/>
              </w:rPr>
              <w:t>相当于</w:t>
            </w:r>
            <w:r>
              <w:rPr>
                <w:rFonts w:hint="eastAsia" w:hAnsi="宋体"/>
                <w:color w:val="auto"/>
                <w:sz w:val="21"/>
                <w:szCs w:val="21"/>
              </w:rPr>
              <w:t>康力、富士、通用</w:t>
            </w:r>
          </w:p>
        </w:tc>
        <w:tc>
          <w:tcPr>
            <w:tcW w:w="6347" w:type="dxa"/>
            <w:shd w:val="clear" w:color="auto" w:fill="auto"/>
            <w:vAlign w:val="center"/>
          </w:tcPr>
          <w:p>
            <w:pPr>
              <w:spacing w:line="380" w:lineRule="exact"/>
              <w:rPr>
                <w:rFonts w:hAnsi="宋体"/>
                <w:b/>
                <w:bCs/>
                <w:color w:val="auto"/>
                <w:szCs w:val="21"/>
              </w:rPr>
            </w:pPr>
            <w:bookmarkStart w:id="0" w:name="_Hlk111834384"/>
            <w:r>
              <w:rPr>
                <w:rFonts w:hint="eastAsia" w:hAnsi="宋体"/>
                <w:color w:val="auto"/>
                <w:sz w:val="24"/>
              </w:rPr>
              <w:t>★</w:t>
            </w:r>
            <w:r>
              <w:rPr>
                <w:rFonts w:hint="eastAsia" w:hAnsi="宋体"/>
                <w:b/>
                <w:bCs/>
                <w:color w:val="auto"/>
                <w:szCs w:val="21"/>
              </w:rPr>
              <w:t>一、技术规格参数要求：</w:t>
            </w:r>
          </w:p>
          <w:p>
            <w:pPr>
              <w:numPr>
                <w:ilvl w:val="0"/>
                <w:numId w:val="1"/>
              </w:numPr>
              <w:spacing w:line="240" w:lineRule="atLeast"/>
              <w:rPr>
                <w:rFonts w:hAnsi="宋体"/>
                <w:color w:val="auto"/>
              </w:rPr>
            </w:pPr>
            <w:r>
              <w:rPr>
                <w:rFonts w:hint="eastAsia" w:hAnsi="宋体"/>
                <w:color w:val="auto"/>
              </w:rPr>
              <w:t>电梯编号：T1</w:t>
            </w:r>
          </w:p>
          <w:p>
            <w:pPr>
              <w:numPr>
                <w:ilvl w:val="0"/>
                <w:numId w:val="1"/>
              </w:numPr>
              <w:spacing w:line="240" w:lineRule="atLeast"/>
              <w:rPr>
                <w:rFonts w:hAnsi="宋体"/>
                <w:color w:val="auto"/>
              </w:rPr>
            </w:pPr>
            <w:r>
              <w:rPr>
                <w:rFonts w:hint="eastAsia" w:hAnsi="宋体"/>
                <w:color w:val="auto"/>
              </w:rPr>
              <w:t>数量：1台</w:t>
            </w:r>
          </w:p>
          <w:p>
            <w:pPr>
              <w:numPr>
                <w:ilvl w:val="0"/>
                <w:numId w:val="1"/>
              </w:numPr>
              <w:spacing w:line="240" w:lineRule="atLeast"/>
              <w:rPr>
                <w:rFonts w:hAnsi="宋体"/>
                <w:color w:val="auto"/>
              </w:rPr>
            </w:pPr>
            <w:r>
              <w:rPr>
                <w:rFonts w:hint="eastAsia" w:hAnsi="宋体"/>
                <w:color w:val="auto"/>
              </w:rPr>
              <w:t>载重量(kg)：1050（14人）</w:t>
            </w:r>
          </w:p>
          <w:p>
            <w:pPr>
              <w:pStyle w:val="12"/>
              <w:numPr>
                <w:ilvl w:val="0"/>
                <w:numId w:val="1"/>
              </w:numPr>
              <w:rPr>
                <w:rFonts w:ascii="宋体" w:hAnsi="宋体" w:cs="宋体"/>
                <w:color w:val="auto"/>
                <w:szCs w:val="21"/>
              </w:rPr>
            </w:pPr>
            <w:r>
              <w:rPr>
                <w:rFonts w:hint="eastAsia" w:ascii="宋体" w:hAnsi="宋体" w:cs="宋体"/>
                <w:color w:val="auto"/>
                <w:szCs w:val="21"/>
              </w:rPr>
              <w:t>速度(m/s)：1.0m/s</w:t>
            </w:r>
          </w:p>
          <w:p>
            <w:pPr>
              <w:pStyle w:val="12"/>
              <w:numPr>
                <w:ilvl w:val="0"/>
                <w:numId w:val="1"/>
              </w:numPr>
              <w:rPr>
                <w:rFonts w:ascii="宋体" w:hAnsi="宋体" w:cs="宋体"/>
                <w:color w:val="auto"/>
                <w:szCs w:val="21"/>
              </w:rPr>
            </w:pPr>
            <w:r>
              <w:rPr>
                <w:rFonts w:hint="eastAsia" w:ascii="宋体" w:hAnsi="宋体" w:cs="宋体"/>
                <w:color w:val="auto"/>
                <w:szCs w:val="21"/>
              </w:rPr>
              <w:t>层/站/门：4/4/4</w:t>
            </w:r>
          </w:p>
          <w:p>
            <w:pPr>
              <w:numPr>
                <w:ilvl w:val="0"/>
                <w:numId w:val="1"/>
              </w:numPr>
              <w:spacing w:line="380" w:lineRule="exact"/>
              <w:rPr>
                <w:rFonts w:hAnsi="宋体"/>
                <w:color w:val="auto"/>
                <w:szCs w:val="21"/>
              </w:rPr>
            </w:pPr>
            <w:r>
              <w:rPr>
                <w:rFonts w:hint="eastAsia" w:hAnsi="宋体"/>
                <w:color w:val="auto"/>
                <w:szCs w:val="21"/>
              </w:rPr>
              <w:t>停层站：1、2、3</w:t>
            </w:r>
            <w:r>
              <w:rPr>
                <w:rFonts w:hint="eastAsia" w:hAnsi="宋体"/>
                <w:color w:val="auto"/>
                <w:szCs w:val="21"/>
                <w:lang w:eastAsia="zh-CN"/>
              </w:rPr>
              <w:t>、</w:t>
            </w:r>
            <w:r>
              <w:rPr>
                <w:rFonts w:hint="eastAsia" w:hAnsi="宋体"/>
                <w:color w:val="auto"/>
                <w:szCs w:val="21"/>
                <w:lang w:val="en-US" w:eastAsia="zh-CN"/>
              </w:rPr>
              <w:t>4</w:t>
            </w:r>
          </w:p>
          <w:p>
            <w:pPr>
              <w:numPr>
                <w:ilvl w:val="0"/>
                <w:numId w:val="1"/>
              </w:numPr>
              <w:spacing w:line="380" w:lineRule="exact"/>
              <w:rPr>
                <w:rFonts w:hAnsi="宋体"/>
                <w:color w:val="auto"/>
                <w:szCs w:val="21"/>
              </w:rPr>
            </w:pPr>
            <w:r>
              <w:rPr>
                <w:rFonts w:hint="eastAsia" w:hAnsi="宋体"/>
                <w:color w:val="auto"/>
                <w:szCs w:val="21"/>
              </w:rPr>
              <w:t>提升高度：11</w:t>
            </w:r>
          </w:p>
          <w:p>
            <w:pPr>
              <w:numPr>
                <w:ilvl w:val="0"/>
                <w:numId w:val="1"/>
              </w:numPr>
              <w:spacing w:line="380" w:lineRule="exact"/>
              <w:rPr>
                <w:rFonts w:hAnsi="宋体"/>
                <w:color w:val="auto"/>
                <w:szCs w:val="21"/>
              </w:rPr>
            </w:pPr>
            <w:r>
              <w:rPr>
                <w:rFonts w:hint="eastAsia" w:hAnsi="宋体"/>
                <w:color w:val="auto"/>
                <w:szCs w:val="21"/>
              </w:rPr>
              <w:t>顶层净高度：4500mm</w:t>
            </w:r>
          </w:p>
          <w:p>
            <w:pPr>
              <w:numPr>
                <w:ilvl w:val="0"/>
                <w:numId w:val="1"/>
              </w:numPr>
              <w:spacing w:line="380" w:lineRule="exact"/>
              <w:rPr>
                <w:rFonts w:hAnsi="宋体"/>
                <w:color w:val="auto"/>
                <w:szCs w:val="21"/>
              </w:rPr>
            </w:pPr>
            <w:r>
              <w:rPr>
                <w:rFonts w:hint="eastAsia" w:hAnsi="宋体"/>
                <w:color w:val="auto"/>
                <w:szCs w:val="21"/>
              </w:rPr>
              <w:t>底坑净深：1500mm</w:t>
            </w:r>
          </w:p>
          <w:p>
            <w:pPr>
              <w:pStyle w:val="12"/>
              <w:numPr>
                <w:ilvl w:val="0"/>
                <w:numId w:val="1"/>
              </w:numPr>
              <w:rPr>
                <w:rFonts w:ascii="宋体" w:hAnsi="宋体" w:cs="宋体"/>
                <w:color w:val="auto"/>
                <w:szCs w:val="21"/>
              </w:rPr>
            </w:pPr>
            <w:r>
              <w:rPr>
                <w:rFonts w:hint="eastAsia" w:ascii="宋体" w:hAnsi="宋体" w:cs="宋体"/>
                <w:color w:val="auto"/>
                <w:szCs w:val="21"/>
              </w:rPr>
              <w:t>闲驶停靠层（基站）：1层为基站层</w:t>
            </w:r>
          </w:p>
          <w:p>
            <w:pPr>
              <w:pStyle w:val="12"/>
              <w:numPr>
                <w:ilvl w:val="0"/>
                <w:numId w:val="1"/>
              </w:numPr>
              <w:rPr>
                <w:rFonts w:ascii="宋体" w:hAnsi="宋体" w:cs="宋体"/>
                <w:color w:val="auto"/>
                <w:szCs w:val="21"/>
              </w:rPr>
            </w:pPr>
            <w:r>
              <w:rPr>
                <w:rFonts w:hint="eastAsia" w:ascii="宋体" w:hAnsi="宋体" w:cs="宋体"/>
                <w:color w:val="auto"/>
                <w:szCs w:val="21"/>
              </w:rPr>
              <w:t>开门方式：中分</w:t>
            </w:r>
          </w:p>
          <w:p>
            <w:pPr>
              <w:numPr>
                <w:ilvl w:val="0"/>
                <w:numId w:val="1"/>
              </w:numPr>
              <w:rPr>
                <w:rFonts w:hAnsi="宋体"/>
                <w:color w:val="auto"/>
                <w:szCs w:val="21"/>
              </w:rPr>
            </w:pPr>
            <w:r>
              <w:rPr>
                <w:rFonts w:hint="eastAsia" w:hAnsi="宋体"/>
                <w:color w:val="auto"/>
                <w:szCs w:val="21"/>
              </w:rPr>
              <w:t>厅门预留洞尺寸（宽×高）：1100mm×2200mm</w:t>
            </w:r>
          </w:p>
          <w:p>
            <w:pPr>
              <w:numPr>
                <w:ilvl w:val="0"/>
                <w:numId w:val="1"/>
              </w:numPr>
              <w:rPr>
                <w:rFonts w:hAnsi="宋体"/>
                <w:color w:val="auto"/>
                <w:szCs w:val="21"/>
              </w:rPr>
            </w:pPr>
            <w:r>
              <w:rPr>
                <w:rFonts w:hint="eastAsia" w:hAnsi="宋体"/>
                <w:color w:val="auto"/>
                <w:szCs w:val="21"/>
              </w:rPr>
              <w:t>厅外召唤箱布置方式：并联/两梯两组</w:t>
            </w:r>
          </w:p>
          <w:p>
            <w:pPr>
              <w:numPr>
                <w:ilvl w:val="0"/>
                <w:numId w:val="1"/>
              </w:numPr>
              <w:rPr>
                <w:rFonts w:hAnsi="宋体"/>
                <w:color w:val="auto"/>
                <w:szCs w:val="21"/>
              </w:rPr>
            </w:pPr>
            <w:r>
              <w:rPr>
                <w:rFonts w:hint="eastAsia" w:hAnsi="宋体"/>
                <w:color w:val="auto"/>
                <w:szCs w:val="21"/>
              </w:rPr>
              <w:t>厅外召唤箱预留孔尺寸（宽×高）：150mm×450mm（(置于两厅门间隔中分线距地面1100处），145mm×450mm (置于厅门墙洞右侧距地面1100mm处)</w:t>
            </w:r>
          </w:p>
          <w:p>
            <w:pPr>
              <w:numPr>
                <w:ilvl w:val="0"/>
                <w:numId w:val="1"/>
              </w:numPr>
              <w:rPr>
                <w:rFonts w:hAnsi="宋体"/>
                <w:color w:val="auto"/>
                <w:szCs w:val="21"/>
              </w:rPr>
            </w:pPr>
            <w:r>
              <w:rPr>
                <w:rFonts w:hint="eastAsia" w:hAnsi="宋体"/>
                <w:color w:val="auto"/>
                <w:szCs w:val="21"/>
              </w:rPr>
              <w:t>井道净空尺寸（宽×深）：2200mm×2200mm</w:t>
            </w:r>
          </w:p>
          <w:p>
            <w:pPr>
              <w:numPr>
                <w:ilvl w:val="0"/>
                <w:numId w:val="1"/>
              </w:numPr>
              <w:rPr>
                <w:rFonts w:hAnsi="宋体"/>
                <w:color w:val="auto"/>
              </w:rPr>
            </w:pPr>
            <w:r>
              <w:rPr>
                <w:rFonts w:hint="eastAsia" w:hAnsi="宋体"/>
                <w:color w:val="auto"/>
              </w:rPr>
              <w:t>轿厢内尺寸（宽×深×高）：1500</w:t>
            </w:r>
            <w:r>
              <w:rPr>
                <w:rFonts w:hint="eastAsia" w:hAnsi="宋体"/>
                <w:color w:val="auto"/>
                <w:szCs w:val="21"/>
              </w:rPr>
              <w:t>mm× 1600 mm×2400mm</w:t>
            </w:r>
          </w:p>
          <w:p>
            <w:pPr>
              <w:numPr>
                <w:ilvl w:val="0"/>
                <w:numId w:val="1"/>
              </w:numPr>
              <w:rPr>
                <w:color w:val="auto"/>
              </w:rPr>
            </w:pPr>
            <w:r>
              <w:rPr>
                <w:rFonts w:hint="eastAsia" w:hAnsi="宋体"/>
                <w:color w:val="auto"/>
                <w:szCs w:val="21"/>
              </w:rPr>
              <w:t>轿厢开门净尺寸（宽×高）：  900 mm×2100 mm</w:t>
            </w:r>
          </w:p>
          <w:p>
            <w:pPr>
              <w:spacing w:line="380" w:lineRule="exact"/>
              <w:rPr>
                <w:rFonts w:hAnsi="宋体"/>
                <w:b/>
                <w:bCs/>
                <w:color w:val="auto"/>
                <w:szCs w:val="21"/>
              </w:rPr>
            </w:pPr>
            <w:r>
              <w:rPr>
                <w:rFonts w:hint="eastAsia" w:hAnsi="宋体"/>
                <w:b/>
                <w:bCs/>
                <w:color w:val="auto"/>
                <w:szCs w:val="21"/>
              </w:rPr>
              <w:t>二、技术要求：</w:t>
            </w:r>
          </w:p>
          <w:p>
            <w:pPr>
              <w:pStyle w:val="6"/>
              <w:numPr>
                <w:ilvl w:val="0"/>
                <w:numId w:val="2"/>
              </w:numPr>
              <w:autoSpaceDE w:val="0"/>
              <w:autoSpaceDN w:val="0"/>
              <w:adjustRightInd w:val="0"/>
              <w:snapToGrid w:val="0"/>
              <w:spacing w:line="360" w:lineRule="exact"/>
              <w:jc w:val="left"/>
              <w:rPr>
                <w:rFonts w:hAnsi="宋体"/>
                <w:color w:val="auto"/>
                <w:kern w:val="0"/>
                <w:szCs w:val="21"/>
              </w:rPr>
            </w:pPr>
            <w:r>
              <w:rPr>
                <w:rFonts w:hint="eastAsia" w:hAnsi="宋体"/>
                <w:color w:val="auto"/>
                <w:sz w:val="24"/>
              </w:rPr>
              <w:t>★</w:t>
            </w:r>
            <w:r>
              <w:rPr>
                <w:rFonts w:hint="eastAsia" w:hAnsi="宋体"/>
                <w:color w:val="auto"/>
                <w:kern w:val="0"/>
                <w:szCs w:val="21"/>
              </w:rPr>
              <w:t>曳引机：永磁同步无齿轮曳引机，马达转速低，功率小节能环保，</w:t>
            </w:r>
            <w:r>
              <w:rPr>
                <w:color w:val="auto"/>
              </w:rPr>
              <w:t>曳引机</w:t>
            </w:r>
            <w:r>
              <w:rPr>
                <w:rFonts w:hint="eastAsia" w:hAnsi="宋体"/>
                <w:color w:val="auto"/>
                <w:kern w:val="0"/>
                <w:szCs w:val="21"/>
              </w:rPr>
              <w:t>为原厂原品牌制造</w:t>
            </w:r>
            <w:r>
              <w:rPr>
                <w:color w:val="auto"/>
              </w:rPr>
              <w:t>（以型式试验报告为准）</w:t>
            </w:r>
            <w:r>
              <w:rPr>
                <w:rFonts w:hint="eastAsia" w:hAnsi="宋体"/>
                <w:color w:val="auto"/>
                <w:kern w:val="0"/>
                <w:szCs w:val="21"/>
              </w:rPr>
              <w:t>；</w:t>
            </w:r>
          </w:p>
          <w:p>
            <w:pPr>
              <w:pStyle w:val="6"/>
              <w:numPr>
                <w:ilvl w:val="0"/>
                <w:numId w:val="2"/>
              </w:numPr>
              <w:autoSpaceDE w:val="0"/>
              <w:autoSpaceDN w:val="0"/>
              <w:adjustRightInd w:val="0"/>
              <w:snapToGrid w:val="0"/>
              <w:spacing w:line="360" w:lineRule="exact"/>
              <w:jc w:val="left"/>
              <w:rPr>
                <w:rFonts w:hAnsi="宋体"/>
                <w:color w:val="auto"/>
                <w:kern w:val="0"/>
                <w:szCs w:val="21"/>
              </w:rPr>
            </w:pPr>
            <w:r>
              <w:rPr>
                <w:rFonts w:hint="eastAsia" w:hAnsi="宋体"/>
                <w:color w:val="auto"/>
                <w:sz w:val="24"/>
              </w:rPr>
              <w:t>★</w:t>
            </w:r>
            <w:r>
              <w:rPr>
                <w:rFonts w:hint="eastAsia" w:hAnsi="宋体"/>
                <w:color w:val="auto"/>
                <w:kern w:val="0"/>
                <w:szCs w:val="21"/>
              </w:rPr>
              <w:t>控制系统：双</w:t>
            </w:r>
            <w:r>
              <w:rPr>
                <w:rFonts w:hAnsi="宋体"/>
                <w:color w:val="auto"/>
                <w:kern w:val="0"/>
                <w:szCs w:val="21"/>
              </w:rPr>
              <w:t>32</w:t>
            </w:r>
            <w:r>
              <w:rPr>
                <w:rFonts w:hint="eastAsia" w:hAnsi="宋体"/>
                <w:color w:val="auto"/>
                <w:kern w:val="0"/>
                <w:szCs w:val="21"/>
              </w:rPr>
              <w:t>位交流变频调压调速系统，控制柜（包含调试器）为原厂原品牌制造</w:t>
            </w:r>
            <w:r>
              <w:rPr>
                <w:color w:val="auto"/>
              </w:rPr>
              <w:t>（以型式试验报告为准）</w:t>
            </w:r>
            <w:r>
              <w:rPr>
                <w:rFonts w:hint="eastAsia" w:hAnsi="宋体"/>
                <w:color w:val="auto"/>
                <w:kern w:val="0"/>
                <w:szCs w:val="21"/>
              </w:rPr>
              <w:t>；</w:t>
            </w:r>
          </w:p>
          <w:p>
            <w:pPr>
              <w:pStyle w:val="6"/>
              <w:numPr>
                <w:ilvl w:val="0"/>
                <w:numId w:val="2"/>
              </w:numPr>
              <w:autoSpaceDE w:val="0"/>
              <w:autoSpaceDN w:val="0"/>
              <w:adjustRightInd w:val="0"/>
              <w:snapToGrid w:val="0"/>
              <w:spacing w:line="360" w:lineRule="exact"/>
              <w:jc w:val="left"/>
              <w:rPr>
                <w:rFonts w:hAnsi="宋体"/>
                <w:color w:val="auto"/>
                <w:kern w:val="0"/>
                <w:szCs w:val="21"/>
              </w:rPr>
            </w:pPr>
            <w:r>
              <w:rPr>
                <w:rFonts w:hint="eastAsia" w:hAnsi="宋体"/>
                <w:color w:val="auto"/>
                <w:kern w:val="0"/>
                <w:szCs w:val="21"/>
              </w:rPr>
              <w:t>门机：</w:t>
            </w:r>
            <w:r>
              <w:rPr>
                <w:rFonts w:hint="eastAsia" w:hAnsi="宋体"/>
                <w:color w:val="auto"/>
                <w:szCs w:val="21"/>
              </w:rPr>
              <w:t>采用永磁同步门机，使用32位微机控制</w:t>
            </w:r>
            <w:r>
              <w:rPr>
                <w:rFonts w:hint="eastAsia" w:hAnsi="宋体"/>
                <w:color w:val="auto"/>
                <w:kern w:val="0"/>
                <w:szCs w:val="21"/>
              </w:rPr>
              <w:t>；</w:t>
            </w:r>
          </w:p>
          <w:p>
            <w:pPr>
              <w:pStyle w:val="6"/>
              <w:widowControl/>
              <w:numPr>
                <w:ilvl w:val="0"/>
                <w:numId w:val="2"/>
              </w:numPr>
              <w:adjustRightInd w:val="0"/>
              <w:snapToGrid w:val="0"/>
              <w:spacing w:line="360" w:lineRule="exact"/>
              <w:jc w:val="left"/>
              <w:rPr>
                <w:rFonts w:hAnsi="宋体"/>
                <w:color w:val="auto"/>
                <w:kern w:val="0"/>
                <w:szCs w:val="21"/>
              </w:rPr>
            </w:pPr>
            <w:r>
              <w:rPr>
                <w:rFonts w:hint="eastAsia" w:hAnsi="宋体"/>
                <w:color w:val="auto"/>
                <w:kern w:val="0"/>
                <w:szCs w:val="21"/>
              </w:rPr>
              <w:t>曳引媒介：曳引钢丝绳；</w:t>
            </w:r>
          </w:p>
          <w:p>
            <w:pPr>
              <w:pStyle w:val="6"/>
              <w:numPr>
                <w:ilvl w:val="0"/>
                <w:numId w:val="2"/>
              </w:numPr>
              <w:autoSpaceDE w:val="0"/>
              <w:autoSpaceDN w:val="0"/>
              <w:adjustRightInd w:val="0"/>
              <w:snapToGrid w:val="0"/>
              <w:spacing w:line="360" w:lineRule="exact"/>
              <w:jc w:val="left"/>
              <w:rPr>
                <w:rFonts w:hAnsi="宋体"/>
                <w:color w:val="auto"/>
                <w:kern w:val="0"/>
                <w:szCs w:val="21"/>
              </w:rPr>
            </w:pPr>
            <w:r>
              <w:rPr>
                <w:rFonts w:hint="eastAsia" w:hAnsi="宋体"/>
                <w:color w:val="auto"/>
                <w:kern w:val="0"/>
                <w:szCs w:val="21"/>
              </w:rPr>
              <w:t>门安全保护：红外线感应光束+力矩检测保护，光束≥</w:t>
            </w:r>
            <w:r>
              <w:rPr>
                <w:rFonts w:hAnsi="宋体"/>
                <w:color w:val="auto"/>
                <w:kern w:val="0"/>
                <w:szCs w:val="21"/>
              </w:rPr>
              <w:t>40</w:t>
            </w:r>
            <w:r>
              <w:rPr>
                <w:rFonts w:hint="eastAsia" w:hAnsi="宋体"/>
                <w:color w:val="auto"/>
                <w:kern w:val="0"/>
                <w:szCs w:val="21"/>
              </w:rPr>
              <w:t>束；</w:t>
            </w:r>
          </w:p>
          <w:p>
            <w:pPr>
              <w:pStyle w:val="6"/>
              <w:widowControl/>
              <w:numPr>
                <w:ilvl w:val="0"/>
                <w:numId w:val="2"/>
              </w:numPr>
              <w:adjustRightInd w:val="0"/>
              <w:snapToGrid w:val="0"/>
              <w:spacing w:line="360" w:lineRule="exact"/>
              <w:jc w:val="left"/>
              <w:rPr>
                <w:rFonts w:hAnsi="宋体"/>
                <w:color w:val="auto"/>
                <w:kern w:val="0"/>
                <w:szCs w:val="21"/>
              </w:rPr>
            </w:pPr>
            <w:r>
              <w:rPr>
                <w:rFonts w:hint="eastAsia" w:hAnsi="宋体"/>
                <w:color w:val="auto"/>
                <w:kern w:val="0"/>
                <w:szCs w:val="21"/>
              </w:rPr>
              <w:t>电梯噪声、平层准确度、开关门时间指标；</w:t>
            </w:r>
          </w:p>
          <w:p>
            <w:pPr>
              <w:pStyle w:val="6"/>
              <w:widowControl/>
              <w:numPr>
                <w:ilvl w:val="0"/>
                <w:numId w:val="2"/>
              </w:numPr>
              <w:adjustRightInd w:val="0"/>
              <w:snapToGrid w:val="0"/>
              <w:spacing w:line="360" w:lineRule="exact"/>
              <w:jc w:val="left"/>
              <w:rPr>
                <w:rFonts w:hAnsi="宋体"/>
                <w:color w:val="auto"/>
                <w:kern w:val="0"/>
                <w:szCs w:val="21"/>
              </w:rPr>
            </w:pPr>
            <w:r>
              <w:rPr>
                <w:rFonts w:hint="eastAsia" w:hAnsi="宋体"/>
                <w:color w:val="auto"/>
              </w:rPr>
              <w:t>噪声</w:t>
            </w:r>
            <w:r>
              <w:rPr>
                <w:rFonts w:hint="eastAsia" w:hAnsi="宋体"/>
                <w:color w:val="auto"/>
                <w:kern w:val="0"/>
                <w:szCs w:val="21"/>
              </w:rPr>
              <w:t>：电梯运行时轿厢内噪声≤51db；</w:t>
            </w:r>
          </w:p>
          <w:p>
            <w:pPr>
              <w:pStyle w:val="6"/>
              <w:widowControl/>
              <w:numPr>
                <w:ilvl w:val="0"/>
                <w:numId w:val="2"/>
              </w:numPr>
              <w:adjustRightInd w:val="0"/>
              <w:snapToGrid w:val="0"/>
              <w:spacing w:line="360" w:lineRule="exact"/>
              <w:jc w:val="left"/>
              <w:rPr>
                <w:rFonts w:hAnsi="宋体"/>
                <w:color w:val="auto"/>
                <w:kern w:val="0"/>
                <w:szCs w:val="21"/>
              </w:rPr>
            </w:pPr>
            <w:r>
              <w:rPr>
                <w:rFonts w:hint="eastAsia" w:hAnsi="宋体"/>
                <w:color w:val="auto"/>
                <w:kern w:val="0"/>
                <w:szCs w:val="21"/>
              </w:rPr>
              <w:t>平层准确度：≤±</w:t>
            </w:r>
            <w:r>
              <w:rPr>
                <w:rFonts w:hAnsi="宋体"/>
                <w:color w:val="auto"/>
                <w:kern w:val="0"/>
                <w:szCs w:val="21"/>
              </w:rPr>
              <w:t>15mm</w:t>
            </w:r>
            <w:r>
              <w:rPr>
                <w:rFonts w:hint="eastAsia" w:hAnsi="宋体"/>
                <w:color w:val="auto"/>
                <w:kern w:val="0"/>
                <w:szCs w:val="21"/>
              </w:rPr>
              <w:t>；</w:t>
            </w:r>
          </w:p>
          <w:p>
            <w:pPr>
              <w:pStyle w:val="6"/>
              <w:widowControl/>
              <w:numPr>
                <w:ilvl w:val="0"/>
                <w:numId w:val="2"/>
              </w:numPr>
              <w:adjustRightInd w:val="0"/>
              <w:snapToGrid w:val="0"/>
              <w:spacing w:line="360" w:lineRule="exact"/>
              <w:jc w:val="left"/>
              <w:rPr>
                <w:rFonts w:hAnsi="宋体"/>
                <w:color w:val="auto"/>
                <w:kern w:val="0"/>
                <w:szCs w:val="21"/>
              </w:rPr>
            </w:pPr>
            <w:r>
              <w:rPr>
                <w:rFonts w:hint="eastAsia" w:hAnsi="宋体"/>
                <w:color w:val="auto"/>
                <w:kern w:val="0"/>
                <w:szCs w:val="21"/>
              </w:rPr>
              <w:t>开关门时间：≤</w:t>
            </w:r>
            <w:r>
              <w:rPr>
                <w:rFonts w:hAnsi="宋体"/>
                <w:color w:val="auto"/>
                <w:kern w:val="0"/>
                <w:szCs w:val="21"/>
              </w:rPr>
              <w:t>4.0m/s</w:t>
            </w:r>
            <w:r>
              <w:rPr>
                <w:rFonts w:hint="eastAsia" w:hAnsi="宋体"/>
                <w:color w:val="auto"/>
                <w:kern w:val="0"/>
                <w:szCs w:val="21"/>
              </w:rPr>
              <w:t>；</w:t>
            </w:r>
          </w:p>
          <w:p>
            <w:pPr>
              <w:spacing w:line="380" w:lineRule="exact"/>
              <w:rPr>
                <w:rFonts w:hAnsi="宋体"/>
                <w:b/>
                <w:bCs/>
                <w:color w:val="auto"/>
                <w:szCs w:val="21"/>
              </w:rPr>
            </w:pPr>
            <w:r>
              <w:rPr>
                <w:rFonts w:hint="eastAsia" w:hAnsi="宋体"/>
                <w:b/>
                <w:bCs/>
                <w:color w:val="auto"/>
                <w:szCs w:val="21"/>
              </w:rPr>
              <w:t>三、装饰要求：</w:t>
            </w:r>
          </w:p>
          <w:p>
            <w:pPr>
              <w:pStyle w:val="19"/>
              <w:numPr>
                <w:ilvl w:val="0"/>
                <w:numId w:val="3"/>
              </w:numPr>
              <w:spacing w:line="360" w:lineRule="exact"/>
              <w:ind w:firstLineChars="0"/>
              <w:rPr>
                <w:rFonts w:hAnsi="宋体"/>
                <w:color w:val="auto"/>
                <w:szCs w:val="21"/>
              </w:rPr>
            </w:pPr>
            <w:r>
              <w:rPr>
                <w:rFonts w:hint="eastAsia" w:hAnsi="宋体"/>
                <w:color w:val="auto"/>
                <w:szCs w:val="21"/>
              </w:rPr>
              <w:t>厅门及门套材质：首层发纹不锈钢厅门及小门套，其余层钢板喷涂厅门及小门套</w:t>
            </w:r>
          </w:p>
          <w:p>
            <w:pPr>
              <w:pStyle w:val="19"/>
              <w:numPr>
                <w:ilvl w:val="0"/>
                <w:numId w:val="3"/>
              </w:numPr>
              <w:spacing w:line="360" w:lineRule="exact"/>
              <w:ind w:firstLineChars="0"/>
              <w:rPr>
                <w:rFonts w:hAnsi="宋体"/>
                <w:color w:val="auto"/>
                <w:szCs w:val="21"/>
              </w:rPr>
            </w:pPr>
            <w:r>
              <w:rPr>
                <w:rFonts w:hint="eastAsia" w:hAnsi="宋体"/>
                <w:color w:val="auto"/>
                <w:szCs w:val="21"/>
              </w:rPr>
              <w:t>厅外召唤及显示系统：厅外召唤为发纹不锈钢面板带数字和方向显示，微动式按钮，段码液晶显示</w:t>
            </w:r>
          </w:p>
          <w:p>
            <w:pPr>
              <w:pStyle w:val="19"/>
              <w:numPr>
                <w:ilvl w:val="0"/>
                <w:numId w:val="3"/>
              </w:numPr>
              <w:spacing w:line="360" w:lineRule="exact"/>
              <w:ind w:firstLineChars="0"/>
              <w:rPr>
                <w:rFonts w:hAnsi="宋体"/>
                <w:color w:val="auto"/>
                <w:szCs w:val="21"/>
              </w:rPr>
            </w:pPr>
            <w:r>
              <w:rPr>
                <w:rFonts w:hint="eastAsia" w:hAnsi="宋体"/>
                <w:color w:val="auto"/>
                <w:szCs w:val="21"/>
              </w:rPr>
              <w:t>轿门及轿厢壁板材质：优质发纹不锈钢材质</w:t>
            </w:r>
          </w:p>
          <w:p>
            <w:pPr>
              <w:pStyle w:val="19"/>
              <w:numPr>
                <w:ilvl w:val="0"/>
                <w:numId w:val="3"/>
              </w:numPr>
              <w:spacing w:line="360" w:lineRule="exact"/>
              <w:ind w:firstLineChars="0"/>
              <w:rPr>
                <w:rFonts w:hAnsi="宋体"/>
                <w:color w:val="auto"/>
                <w:szCs w:val="21"/>
              </w:rPr>
            </w:pPr>
            <w:r>
              <w:rPr>
                <w:rFonts w:hint="eastAsia" w:hAnsi="宋体"/>
                <w:color w:val="auto"/>
                <w:szCs w:val="21"/>
              </w:rPr>
              <w:t>轿厢天花：亮度充足的L</w:t>
            </w:r>
            <w:r>
              <w:rPr>
                <w:rFonts w:hAnsi="宋体"/>
                <w:color w:val="auto"/>
                <w:szCs w:val="21"/>
              </w:rPr>
              <w:t>ED</w:t>
            </w:r>
            <w:r>
              <w:rPr>
                <w:rFonts w:hint="eastAsia" w:hAnsi="宋体"/>
                <w:color w:val="auto"/>
                <w:szCs w:val="21"/>
              </w:rPr>
              <w:t>吊顶，带横流式换气风扇</w:t>
            </w:r>
          </w:p>
          <w:p>
            <w:pPr>
              <w:pStyle w:val="19"/>
              <w:numPr>
                <w:ilvl w:val="0"/>
                <w:numId w:val="3"/>
              </w:numPr>
              <w:spacing w:line="360" w:lineRule="exact"/>
              <w:ind w:firstLineChars="0"/>
              <w:rPr>
                <w:rFonts w:hAnsi="宋体"/>
                <w:color w:val="auto"/>
                <w:szCs w:val="21"/>
              </w:rPr>
            </w:pPr>
            <w:r>
              <w:rPr>
                <w:rFonts w:hint="eastAsia" w:hAnsi="宋体"/>
                <w:color w:val="auto"/>
                <w:szCs w:val="21"/>
              </w:rPr>
              <w:t>轿厢内操纵箱：发纹不锈钢面板带数字和方向显示，微动式按钮，段码液晶显示</w:t>
            </w:r>
          </w:p>
          <w:p>
            <w:pPr>
              <w:pStyle w:val="19"/>
              <w:numPr>
                <w:ilvl w:val="0"/>
                <w:numId w:val="3"/>
              </w:numPr>
              <w:spacing w:line="360" w:lineRule="exact"/>
              <w:ind w:firstLineChars="0"/>
              <w:rPr>
                <w:rFonts w:hAnsi="宋体"/>
                <w:color w:val="auto"/>
                <w:szCs w:val="21"/>
              </w:rPr>
            </w:pPr>
            <w:r>
              <w:rPr>
                <w:rFonts w:hint="eastAsia" w:hAnsi="宋体"/>
                <w:color w:val="auto"/>
                <w:szCs w:val="21"/>
              </w:rPr>
              <w:t>轿厢地板：耐磨塑料地板胶</w:t>
            </w:r>
          </w:p>
          <w:p>
            <w:pPr>
              <w:pStyle w:val="19"/>
              <w:numPr>
                <w:ilvl w:val="0"/>
                <w:numId w:val="3"/>
              </w:numPr>
              <w:spacing w:line="360" w:lineRule="exact"/>
              <w:ind w:firstLineChars="0"/>
              <w:rPr>
                <w:rFonts w:hAnsi="宋体"/>
                <w:color w:val="auto"/>
                <w:szCs w:val="21"/>
              </w:rPr>
            </w:pPr>
            <w:r>
              <w:rPr>
                <w:rFonts w:hint="eastAsia" w:hAnsi="宋体"/>
                <w:color w:val="auto"/>
                <w:szCs w:val="21"/>
              </w:rPr>
              <w:t>地坎材质：硬质铝型材。</w:t>
            </w:r>
          </w:p>
          <w:p>
            <w:pPr>
              <w:spacing w:line="380" w:lineRule="exact"/>
              <w:rPr>
                <w:rFonts w:hAnsi="宋体"/>
                <w:b/>
                <w:bCs/>
                <w:color w:val="auto"/>
                <w:szCs w:val="21"/>
              </w:rPr>
            </w:pPr>
            <w:r>
              <w:rPr>
                <w:rFonts w:hint="eastAsia" w:hAnsi="宋体"/>
                <w:b/>
                <w:bCs/>
                <w:color w:val="auto"/>
                <w:szCs w:val="21"/>
              </w:rPr>
              <w:t>四、电气指标：</w:t>
            </w:r>
          </w:p>
          <w:p>
            <w:pPr>
              <w:pStyle w:val="6"/>
              <w:numPr>
                <w:ilvl w:val="0"/>
                <w:numId w:val="4"/>
              </w:numPr>
              <w:adjustRightInd w:val="0"/>
              <w:snapToGrid w:val="0"/>
              <w:spacing w:line="360" w:lineRule="exact"/>
              <w:jc w:val="left"/>
              <w:rPr>
                <w:rFonts w:hAnsi="宋体"/>
                <w:color w:val="auto"/>
                <w:kern w:val="0"/>
                <w:szCs w:val="21"/>
              </w:rPr>
            </w:pPr>
            <w:r>
              <w:rPr>
                <w:rFonts w:hint="eastAsia" w:hAnsi="宋体"/>
                <w:color w:val="auto"/>
                <w:kern w:val="0"/>
                <w:szCs w:val="21"/>
              </w:rPr>
              <w:t>拖动电源：交流</w:t>
            </w:r>
            <w:r>
              <w:rPr>
                <w:rFonts w:hAnsi="宋体"/>
                <w:color w:val="auto"/>
                <w:kern w:val="0"/>
                <w:szCs w:val="21"/>
              </w:rPr>
              <w:t>380V</w:t>
            </w:r>
            <w:r>
              <w:rPr>
                <w:rFonts w:hint="eastAsia" w:hAnsi="宋体"/>
                <w:color w:val="auto"/>
                <w:kern w:val="0"/>
                <w:szCs w:val="21"/>
              </w:rPr>
              <w:t>±</w:t>
            </w:r>
            <w:r>
              <w:rPr>
                <w:rFonts w:hAnsi="宋体"/>
                <w:color w:val="auto"/>
                <w:kern w:val="0"/>
                <w:szCs w:val="21"/>
              </w:rPr>
              <w:t>10%</w:t>
            </w:r>
            <w:r>
              <w:rPr>
                <w:rFonts w:hint="eastAsia" w:hAnsi="宋体"/>
                <w:color w:val="auto"/>
                <w:kern w:val="0"/>
                <w:szCs w:val="21"/>
              </w:rPr>
              <w:t>，三相，</w:t>
            </w:r>
            <w:r>
              <w:rPr>
                <w:rFonts w:hAnsi="宋体"/>
                <w:color w:val="auto"/>
                <w:kern w:val="0"/>
                <w:szCs w:val="21"/>
              </w:rPr>
              <w:t>50Hz</w:t>
            </w:r>
            <w:r>
              <w:rPr>
                <w:rFonts w:hint="eastAsia" w:hAnsi="宋体"/>
                <w:color w:val="auto"/>
                <w:kern w:val="0"/>
                <w:szCs w:val="21"/>
              </w:rPr>
              <w:t>±</w:t>
            </w:r>
            <w:r>
              <w:rPr>
                <w:rFonts w:hAnsi="宋体"/>
                <w:color w:val="auto"/>
                <w:kern w:val="0"/>
                <w:szCs w:val="21"/>
              </w:rPr>
              <w:t>1Hz</w:t>
            </w:r>
            <w:r>
              <w:rPr>
                <w:rFonts w:hint="eastAsia" w:hAnsi="宋体"/>
                <w:color w:val="auto"/>
                <w:kern w:val="0"/>
                <w:szCs w:val="21"/>
              </w:rPr>
              <w:t>；</w:t>
            </w:r>
          </w:p>
          <w:p>
            <w:pPr>
              <w:pStyle w:val="6"/>
              <w:numPr>
                <w:ilvl w:val="0"/>
                <w:numId w:val="4"/>
              </w:numPr>
              <w:adjustRightInd w:val="0"/>
              <w:snapToGrid w:val="0"/>
              <w:spacing w:line="360" w:lineRule="exact"/>
              <w:jc w:val="left"/>
              <w:rPr>
                <w:rFonts w:hAnsi="宋体"/>
                <w:color w:val="auto"/>
                <w:kern w:val="0"/>
                <w:szCs w:val="21"/>
              </w:rPr>
            </w:pPr>
            <w:r>
              <w:rPr>
                <w:rFonts w:hint="eastAsia" w:hAnsi="宋体"/>
                <w:color w:val="auto"/>
                <w:kern w:val="0"/>
                <w:szCs w:val="21"/>
              </w:rPr>
              <w:t>照明电源：交流</w:t>
            </w:r>
            <w:r>
              <w:rPr>
                <w:rFonts w:hAnsi="宋体"/>
                <w:color w:val="auto"/>
                <w:kern w:val="0"/>
                <w:szCs w:val="21"/>
              </w:rPr>
              <w:t>220V</w:t>
            </w:r>
            <w:r>
              <w:rPr>
                <w:rFonts w:hint="eastAsia" w:hAnsi="宋体"/>
                <w:color w:val="auto"/>
                <w:kern w:val="0"/>
                <w:szCs w:val="21"/>
              </w:rPr>
              <w:t>±</w:t>
            </w:r>
            <w:r>
              <w:rPr>
                <w:rFonts w:hAnsi="宋体"/>
                <w:color w:val="auto"/>
                <w:kern w:val="0"/>
                <w:szCs w:val="21"/>
              </w:rPr>
              <w:t>10%</w:t>
            </w:r>
            <w:r>
              <w:rPr>
                <w:rFonts w:hint="eastAsia" w:hAnsi="宋体"/>
                <w:color w:val="auto"/>
                <w:kern w:val="0"/>
                <w:szCs w:val="21"/>
              </w:rPr>
              <w:t>，</w:t>
            </w:r>
            <w:r>
              <w:rPr>
                <w:rFonts w:hAnsi="宋体"/>
                <w:color w:val="auto"/>
                <w:kern w:val="0"/>
                <w:szCs w:val="21"/>
              </w:rPr>
              <w:t>50Hz</w:t>
            </w:r>
            <w:r>
              <w:rPr>
                <w:rFonts w:hint="eastAsia" w:hAnsi="宋体"/>
                <w:color w:val="auto"/>
                <w:kern w:val="0"/>
                <w:szCs w:val="21"/>
              </w:rPr>
              <w:t>±</w:t>
            </w:r>
            <w:r>
              <w:rPr>
                <w:rFonts w:hAnsi="宋体"/>
                <w:color w:val="auto"/>
                <w:kern w:val="0"/>
                <w:szCs w:val="21"/>
              </w:rPr>
              <w:t>1Hz</w:t>
            </w:r>
            <w:r>
              <w:rPr>
                <w:rFonts w:hint="eastAsia" w:hAnsi="宋体"/>
                <w:color w:val="auto"/>
                <w:kern w:val="0"/>
                <w:szCs w:val="21"/>
              </w:rPr>
              <w:t>；</w:t>
            </w:r>
          </w:p>
          <w:p>
            <w:pPr>
              <w:pStyle w:val="6"/>
              <w:numPr>
                <w:ilvl w:val="0"/>
                <w:numId w:val="4"/>
              </w:numPr>
              <w:adjustRightInd w:val="0"/>
              <w:snapToGrid w:val="0"/>
              <w:spacing w:line="360" w:lineRule="exact"/>
              <w:jc w:val="left"/>
              <w:rPr>
                <w:rFonts w:hAnsi="宋体"/>
                <w:color w:val="auto"/>
                <w:kern w:val="0"/>
                <w:szCs w:val="21"/>
              </w:rPr>
            </w:pPr>
            <w:r>
              <w:rPr>
                <w:rFonts w:hint="eastAsia" w:hAnsi="宋体"/>
                <w:color w:val="auto"/>
                <w:kern w:val="0"/>
                <w:szCs w:val="21"/>
              </w:rPr>
              <w:t>供电方式：三相五线制（独立地线）；</w:t>
            </w:r>
          </w:p>
          <w:p>
            <w:pPr>
              <w:spacing w:line="380" w:lineRule="exact"/>
              <w:rPr>
                <w:rFonts w:hAnsi="宋体"/>
                <w:b/>
                <w:bCs/>
                <w:color w:val="auto"/>
                <w:szCs w:val="21"/>
              </w:rPr>
            </w:pPr>
            <w:r>
              <w:rPr>
                <w:rFonts w:hint="eastAsia" w:hAnsi="宋体"/>
                <w:b/>
                <w:bCs/>
                <w:color w:val="auto"/>
                <w:szCs w:val="21"/>
              </w:rPr>
              <w:t>五、基本功能要求：</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
                <w:bCs/>
                <w:color w:val="auto"/>
                <w:kern w:val="0"/>
                <w:szCs w:val="21"/>
              </w:rPr>
              <w:t>运行功能</w:t>
            </w:r>
            <w:r>
              <w:rPr>
                <w:rFonts w:hint="eastAsia" w:hAnsi="宋体"/>
                <w:bCs/>
                <w:color w:val="auto"/>
                <w:kern w:val="0"/>
                <w:szCs w:val="21"/>
              </w:rPr>
              <w:t>：</w:t>
            </w:r>
          </w:p>
          <w:p>
            <w:pPr>
              <w:pStyle w:val="6"/>
              <w:numPr>
                <w:ilvl w:val="0"/>
                <w:numId w:val="5"/>
              </w:numPr>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电梯变频驱动</w:t>
            </w:r>
            <w:r>
              <w:rPr>
                <w:rFonts w:hint="eastAsia" w:hAnsi="宋体"/>
                <w:bCs/>
                <w:color w:val="auto"/>
                <w:kern w:val="0"/>
                <w:szCs w:val="21"/>
              </w:rPr>
              <w:tab/>
            </w:r>
            <w:r>
              <w:rPr>
                <w:rFonts w:hint="eastAsia" w:hAnsi="宋体"/>
                <w:bCs/>
                <w:color w:val="auto"/>
                <w:kern w:val="0"/>
                <w:szCs w:val="21"/>
              </w:rPr>
              <w:t>精确调整电动机转速，令电梯启动、运行、停止时的速度曲线平稳、圆滑，获得良好的舒适感。</w:t>
            </w:r>
          </w:p>
          <w:p>
            <w:pPr>
              <w:pStyle w:val="6"/>
              <w:numPr>
                <w:ilvl w:val="0"/>
                <w:numId w:val="5"/>
              </w:numPr>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门机变频驱动</w:t>
            </w:r>
            <w:r>
              <w:rPr>
                <w:rFonts w:hint="eastAsia" w:hAnsi="宋体"/>
                <w:bCs/>
                <w:color w:val="auto"/>
                <w:kern w:val="0"/>
                <w:szCs w:val="21"/>
              </w:rPr>
              <w:tab/>
            </w:r>
            <w:r>
              <w:rPr>
                <w:rFonts w:hint="eastAsia" w:hAnsi="宋体"/>
                <w:bCs/>
                <w:color w:val="auto"/>
                <w:kern w:val="0"/>
                <w:szCs w:val="21"/>
              </w:rPr>
              <w:t>精确调整电动机转速，使门机的开启、关闭更轻柔灵敏。</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3、应急照明</w:t>
            </w:r>
            <w:r>
              <w:rPr>
                <w:rFonts w:hint="eastAsia" w:hAnsi="宋体"/>
                <w:bCs/>
                <w:color w:val="auto"/>
                <w:kern w:val="0"/>
                <w:szCs w:val="21"/>
              </w:rPr>
              <w:tab/>
            </w:r>
            <w:r>
              <w:rPr>
                <w:rFonts w:hint="eastAsia" w:hAnsi="宋体"/>
                <w:bCs/>
                <w:color w:val="auto"/>
                <w:kern w:val="0"/>
                <w:szCs w:val="21"/>
              </w:rPr>
              <w:t>停电时，自动打开轿内应急照明。</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4、光幕保护</w:t>
            </w:r>
            <w:r>
              <w:rPr>
                <w:rFonts w:hint="eastAsia" w:hAnsi="宋体"/>
                <w:bCs/>
                <w:color w:val="auto"/>
                <w:kern w:val="0"/>
                <w:szCs w:val="21"/>
              </w:rPr>
              <w:tab/>
            </w:r>
            <w:r>
              <w:rPr>
                <w:rFonts w:hint="eastAsia" w:hAnsi="宋体"/>
                <w:bCs/>
                <w:color w:val="auto"/>
                <w:kern w:val="0"/>
                <w:szCs w:val="21"/>
              </w:rPr>
              <w:t>门开启和关闭期间，用覆盖整个门高度的红外光探测乘客和物体的门保护装置。</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5、指定停靠</w:t>
            </w:r>
            <w:r>
              <w:rPr>
                <w:rFonts w:hint="eastAsia" w:hAnsi="宋体"/>
                <w:bCs/>
                <w:color w:val="auto"/>
                <w:kern w:val="0"/>
                <w:szCs w:val="21"/>
              </w:rPr>
              <w:tab/>
            </w:r>
            <w:r>
              <w:rPr>
                <w:rFonts w:hint="eastAsia" w:hAnsi="宋体"/>
                <w:bCs/>
                <w:color w:val="auto"/>
                <w:kern w:val="0"/>
                <w:szCs w:val="21"/>
              </w:rPr>
              <w:t>由于某种原因，电梯在目的层无法开门，电梯将关门运行至下一指定层楼。</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6、自动不停站通过</w:t>
            </w:r>
            <w:r>
              <w:rPr>
                <w:rFonts w:hint="eastAsia" w:hAnsi="宋体"/>
                <w:bCs/>
                <w:color w:val="auto"/>
                <w:kern w:val="0"/>
                <w:szCs w:val="21"/>
              </w:rPr>
              <w:tab/>
            </w:r>
            <w:r>
              <w:rPr>
                <w:rFonts w:hint="eastAsia" w:hAnsi="宋体"/>
                <w:bCs/>
                <w:color w:val="auto"/>
                <w:kern w:val="0"/>
                <w:szCs w:val="21"/>
              </w:rPr>
              <w:t>当轿内挤满乘客，或负载接近预定值，为保持最大运行效率，该轿厢将自动越过召唤层站。</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7、超载停梯</w:t>
            </w:r>
            <w:r>
              <w:rPr>
                <w:rFonts w:hint="eastAsia" w:hAnsi="宋体"/>
                <w:bCs/>
                <w:color w:val="auto"/>
                <w:kern w:val="0"/>
                <w:szCs w:val="21"/>
              </w:rPr>
              <w:tab/>
            </w:r>
            <w:r>
              <w:rPr>
                <w:rFonts w:hint="eastAsia" w:hAnsi="宋体"/>
                <w:bCs/>
                <w:color w:val="auto"/>
                <w:kern w:val="0"/>
                <w:szCs w:val="21"/>
              </w:rPr>
              <w:t>轿厢超载时，鸣响蜂鸣器并停止于该层站。</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8、轿厢风扇/照明自动开关</w:t>
            </w:r>
            <w:r>
              <w:rPr>
                <w:rFonts w:hint="eastAsia" w:hAnsi="宋体"/>
                <w:bCs/>
                <w:color w:val="auto"/>
                <w:kern w:val="0"/>
                <w:szCs w:val="21"/>
              </w:rPr>
              <w:tab/>
            </w:r>
            <w:r>
              <w:rPr>
                <w:rFonts w:hint="eastAsia" w:hAnsi="宋体"/>
                <w:bCs/>
                <w:color w:val="auto"/>
                <w:kern w:val="0"/>
                <w:szCs w:val="21"/>
              </w:rPr>
              <w:t>在规定的时间内没有召唤或指令信号，轿厢内的风扇和照明会自动关闭，以节能。</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9、上电再平层</w:t>
            </w:r>
            <w:r>
              <w:rPr>
                <w:rFonts w:hint="eastAsia" w:hAnsi="宋体"/>
                <w:bCs/>
                <w:color w:val="auto"/>
                <w:kern w:val="0"/>
                <w:szCs w:val="21"/>
              </w:rPr>
              <w:tab/>
            </w:r>
            <w:r>
              <w:rPr>
                <w:rFonts w:hint="eastAsia" w:hAnsi="宋体"/>
                <w:bCs/>
                <w:color w:val="auto"/>
                <w:kern w:val="0"/>
                <w:szCs w:val="21"/>
              </w:rPr>
              <w:t>由于停电或电源故障引起轿厢停在两层之间，当电源恢复后轿厢将就近自动运行到平层位置。</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10、远程关闭</w:t>
            </w:r>
            <w:r>
              <w:rPr>
                <w:rFonts w:hint="eastAsia" w:hAnsi="宋体"/>
                <w:bCs/>
                <w:color w:val="auto"/>
                <w:kern w:val="0"/>
                <w:szCs w:val="21"/>
              </w:rPr>
              <w:tab/>
            </w:r>
            <w:r>
              <w:rPr>
                <w:rFonts w:hint="eastAsia" w:hAnsi="宋体"/>
                <w:bCs/>
                <w:color w:val="auto"/>
                <w:kern w:val="0"/>
                <w:szCs w:val="21"/>
              </w:rPr>
              <w:t>通过钥匙开关，电梯可以被召唤到基站（服务完成后），并自动退出服务。</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11、防止失速内部计数器保护</w:t>
            </w:r>
            <w:r>
              <w:rPr>
                <w:rFonts w:hint="eastAsia" w:hAnsi="宋体"/>
                <w:bCs/>
                <w:color w:val="auto"/>
                <w:kern w:val="0"/>
                <w:szCs w:val="21"/>
              </w:rPr>
              <w:tab/>
            </w:r>
            <w:r>
              <w:rPr>
                <w:rFonts w:hint="eastAsia" w:hAnsi="宋体"/>
                <w:bCs/>
                <w:color w:val="auto"/>
                <w:kern w:val="0"/>
                <w:szCs w:val="21"/>
              </w:rPr>
              <w:t>由于曳引钢丝绳打滑而无法正常运行时，电梯停止运行。</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12、启动保护控制</w:t>
            </w:r>
            <w:r>
              <w:rPr>
                <w:rFonts w:hint="eastAsia" w:hAnsi="宋体"/>
                <w:bCs/>
                <w:color w:val="auto"/>
                <w:kern w:val="0"/>
                <w:szCs w:val="21"/>
              </w:rPr>
              <w:tab/>
            </w:r>
            <w:r>
              <w:rPr>
                <w:rFonts w:hint="eastAsia" w:hAnsi="宋体"/>
                <w:bCs/>
                <w:color w:val="auto"/>
                <w:kern w:val="0"/>
                <w:szCs w:val="21"/>
              </w:rPr>
              <w:t>电梯启动后在指定的时间内，没有离开门区，电梯停止运行。</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13、检修操作</w:t>
            </w:r>
            <w:r>
              <w:rPr>
                <w:rFonts w:hint="eastAsia" w:hAnsi="宋体"/>
                <w:bCs/>
                <w:color w:val="auto"/>
                <w:kern w:val="0"/>
                <w:szCs w:val="21"/>
              </w:rPr>
              <w:tab/>
            </w:r>
            <w:r>
              <w:rPr>
                <w:rFonts w:hint="eastAsia" w:hAnsi="宋体"/>
                <w:bCs/>
                <w:color w:val="auto"/>
                <w:kern w:val="0"/>
                <w:szCs w:val="21"/>
              </w:rPr>
              <w:t>当进入检修状态时，轿厢以慢速点动运行。</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14、点动运行</w:t>
            </w:r>
            <w:r>
              <w:rPr>
                <w:rFonts w:hint="eastAsia" w:hAnsi="宋体"/>
                <w:bCs/>
                <w:color w:val="auto"/>
                <w:kern w:val="0"/>
                <w:szCs w:val="21"/>
              </w:rPr>
              <w:tab/>
            </w:r>
            <w:r>
              <w:rPr>
                <w:rFonts w:hint="eastAsia" w:hAnsi="宋体"/>
                <w:bCs/>
                <w:color w:val="auto"/>
                <w:kern w:val="0"/>
                <w:szCs w:val="21"/>
              </w:rPr>
              <w:t>当进入紧急电动状态时，轿厢以慢速点动运行。</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15、故障自诊断</w:t>
            </w:r>
            <w:r>
              <w:rPr>
                <w:rFonts w:hint="eastAsia" w:hAnsi="宋体"/>
                <w:bCs/>
                <w:color w:val="auto"/>
                <w:kern w:val="0"/>
                <w:szCs w:val="21"/>
              </w:rPr>
              <w:tab/>
            </w:r>
            <w:r>
              <w:rPr>
                <w:rFonts w:hint="eastAsia" w:hAnsi="宋体"/>
                <w:bCs/>
                <w:color w:val="auto"/>
                <w:kern w:val="0"/>
                <w:szCs w:val="21"/>
              </w:rPr>
              <w:t>控制器可记录故障信息，以便快速排除故障，迅速恢复电梯运行。</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16、电梯门重复开关</w:t>
            </w:r>
            <w:r>
              <w:rPr>
                <w:rFonts w:hint="eastAsia" w:hAnsi="宋体"/>
                <w:bCs/>
                <w:color w:val="auto"/>
                <w:kern w:val="0"/>
                <w:szCs w:val="21"/>
              </w:rPr>
              <w:tab/>
            </w:r>
            <w:r>
              <w:rPr>
                <w:rFonts w:hint="eastAsia" w:hAnsi="宋体"/>
                <w:bCs/>
                <w:color w:val="auto"/>
                <w:kern w:val="0"/>
                <w:szCs w:val="21"/>
              </w:rPr>
              <w:t>有时因阻碍或干扰，电梯门未能关闭，电梯门会重复打开或关闭，直到杂物被清除。</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17、开门时间自动调整</w:t>
            </w:r>
            <w:r>
              <w:rPr>
                <w:rFonts w:hint="eastAsia" w:hAnsi="宋体"/>
                <w:bCs/>
                <w:color w:val="auto"/>
                <w:kern w:val="0"/>
                <w:szCs w:val="21"/>
              </w:rPr>
              <w:tab/>
            </w:r>
            <w:r>
              <w:rPr>
                <w:rFonts w:hint="eastAsia" w:hAnsi="宋体"/>
                <w:bCs/>
                <w:color w:val="auto"/>
                <w:kern w:val="0"/>
                <w:szCs w:val="21"/>
              </w:rPr>
              <w:t>按照层站召唤或轿厢召唤的区别，自动调整保持开门时间。</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18、本层重开门</w:t>
            </w:r>
            <w:r>
              <w:rPr>
                <w:rFonts w:hint="eastAsia" w:hAnsi="宋体"/>
                <w:bCs/>
                <w:color w:val="auto"/>
                <w:kern w:val="0"/>
                <w:szCs w:val="21"/>
              </w:rPr>
              <w:tab/>
            </w:r>
            <w:r>
              <w:rPr>
                <w:rFonts w:hint="eastAsia" w:hAnsi="宋体"/>
                <w:bCs/>
                <w:color w:val="auto"/>
                <w:kern w:val="0"/>
                <w:szCs w:val="21"/>
              </w:rPr>
              <w:t>关门途中，可以按本层站召唤按钮使门重新开启。19、即时关门</w:t>
            </w:r>
            <w:r>
              <w:rPr>
                <w:rFonts w:hint="eastAsia" w:hAnsi="宋体"/>
                <w:bCs/>
                <w:color w:val="auto"/>
                <w:kern w:val="0"/>
                <w:szCs w:val="21"/>
              </w:rPr>
              <w:tab/>
            </w:r>
            <w:r>
              <w:rPr>
                <w:rFonts w:hint="eastAsia" w:hAnsi="宋体"/>
                <w:bCs/>
                <w:color w:val="auto"/>
                <w:kern w:val="0"/>
                <w:szCs w:val="21"/>
              </w:rPr>
              <w:t>电梯停站开门到位时，按下关门按钮，门立即被关闭。</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20、停梯开门</w:t>
            </w:r>
            <w:r>
              <w:rPr>
                <w:rFonts w:hint="eastAsia" w:hAnsi="宋体"/>
                <w:bCs/>
                <w:color w:val="auto"/>
                <w:kern w:val="0"/>
                <w:szCs w:val="21"/>
              </w:rPr>
              <w:tab/>
            </w:r>
            <w:r>
              <w:rPr>
                <w:rFonts w:hint="eastAsia" w:hAnsi="宋体"/>
                <w:bCs/>
                <w:color w:val="auto"/>
                <w:kern w:val="0"/>
                <w:szCs w:val="21"/>
              </w:rPr>
              <w:t>电梯减速平层，直到完全停稳后才开门。</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21、轿内及层站微动指令按钮</w:t>
            </w:r>
            <w:r>
              <w:rPr>
                <w:rFonts w:hint="eastAsia" w:hAnsi="宋体"/>
                <w:bCs/>
                <w:color w:val="auto"/>
                <w:kern w:val="0"/>
                <w:szCs w:val="21"/>
              </w:rPr>
              <w:tab/>
            </w:r>
            <w:r>
              <w:rPr>
                <w:rFonts w:hint="eastAsia" w:hAnsi="宋体"/>
                <w:bCs/>
                <w:color w:val="auto"/>
                <w:kern w:val="0"/>
                <w:szCs w:val="21"/>
              </w:rPr>
              <w:t>轿内操纵箱指令按钮及层站召唤按钮采用新型微动型按钮。</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22、轿厢到站钟</w:t>
            </w:r>
            <w:r>
              <w:rPr>
                <w:rFonts w:hint="eastAsia" w:hAnsi="宋体"/>
                <w:bCs/>
                <w:color w:val="auto"/>
                <w:kern w:val="0"/>
                <w:szCs w:val="21"/>
              </w:rPr>
              <w:tab/>
            </w:r>
            <w:r>
              <w:rPr>
                <w:rFonts w:hint="eastAsia" w:hAnsi="宋体"/>
                <w:bCs/>
                <w:color w:val="auto"/>
                <w:kern w:val="0"/>
                <w:szCs w:val="21"/>
              </w:rPr>
              <w:t>装于轿顶的电子钟的钟声告知侯梯的乘客电梯已到站。</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23、五地通话装置</w:t>
            </w:r>
            <w:r>
              <w:rPr>
                <w:rFonts w:hint="eastAsia" w:hAnsi="宋体"/>
                <w:bCs/>
                <w:color w:val="auto"/>
                <w:kern w:val="0"/>
                <w:szCs w:val="21"/>
              </w:rPr>
              <w:tab/>
            </w:r>
            <w:r>
              <w:rPr>
                <w:rFonts w:hint="eastAsia" w:hAnsi="宋体"/>
                <w:bCs/>
                <w:color w:val="auto"/>
                <w:kern w:val="0"/>
                <w:szCs w:val="21"/>
              </w:rPr>
              <w:t>通过对讲机，可让轿内、轿顶、电梯机房、井道底坑、救援值班室之间通话。</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24、警铃</w:t>
            </w:r>
            <w:r>
              <w:rPr>
                <w:rFonts w:hint="eastAsia" w:hAnsi="宋体"/>
                <w:bCs/>
                <w:color w:val="auto"/>
                <w:kern w:val="0"/>
                <w:szCs w:val="21"/>
              </w:rPr>
              <w:tab/>
            </w:r>
            <w:r>
              <w:rPr>
                <w:rFonts w:hint="eastAsia" w:hAnsi="宋体"/>
                <w:bCs/>
                <w:color w:val="auto"/>
                <w:kern w:val="0"/>
                <w:szCs w:val="21"/>
              </w:rPr>
              <w:t>紧急时，连续按下轿内操纵箱上的警铃按钮，安装于轿厢顶上的电铃会鸣响。</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25、轿内层楼、方向指示</w:t>
            </w:r>
            <w:r>
              <w:rPr>
                <w:rFonts w:hint="eastAsia" w:hAnsi="宋体"/>
                <w:bCs/>
                <w:color w:val="auto"/>
                <w:kern w:val="0"/>
                <w:szCs w:val="21"/>
              </w:rPr>
              <w:tab/>
            </w:r>
            <w:r>
              <w:rPr>
                <w:rFonts w:hint="eastAsia" w:hAnsi="宋体"/>
                <w:bCs/>
                <w:color w:val="auto"/>
                <w:kern w:val="0"/>
                <w:szCs w:val="21"/>
              </w:rPr>
              <w:t>轿内显示电梯所在层楼及当前运行方向。</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26、层站层楼、方向指示</w:t>
            </w:r>
            <w:r>
              <w:rPr>
                <w:rFonts w:hint="eastAsia" w:hAnsi="宋体"/>
                <w:bCs/>
                <w:color w:val="auto"/>
                <w:kern w:val="0"/>
                <w:szCs w:val="21"/>
              </w:rPr>
              <w:tab/>
            </w:r>
            <w:r>
              <w:rPr>
                <w:rFonts w:hint="eastAsia" w:hAnsi="宋体"/>
                <w:bCs/>
                <w:color w:val="auto"/>
                <w:kern w:val="0"/>
                <w:szCs w:val="21"/>
              </w:rPr>
              <w:t>层站显示电梯所在层楼及当前运行方向。</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27、上下越层及上下极限保护装置</w:t>
            </w:r>
            <w:r>
              <w:rPr>
                <w:rFonts w:hint="eastAsia" w:hAnsi="宋体"/>
                <w:bCs/>
                <w:color w:val="auto"/>
                <w:kern w:val="0"/>
                <w:szCs w:val="21"/>
              </w:rPr>
              <w:tab/>
            </w:r>
            <w:r>
              <w:rPr>
                <w:rFonts w:hint="eastAsia" w:hAnsi="宋体"/>
                <w:bCs/>
                <w:color w:val="auto"/>
                <w:kern w:val="0"/>
                <w:szCs w:val="21"/>
              </w:rPr>
              <w:t>该装置可有效地防止当电梯万一发生失控时的冲顶或撞底现象，使电梯更安全可靠。</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28、下行超速保护装置</w:t>
            </w:r>
            <w:r>
              <w:rPr>
                <w:rFonts w:hint="eastAsia" w:hAnsi="宋体"/>
                <w:bCs/>
                <w:color w:val="auto"/>
                <w:kern w:val="0"/>
                <w:szCs w:val="21"/>
              </w:rPr>
              <w:tab/>
            </w:r>
            <w:r>
              <w:rPr>
                <w:rFonts w:hint="eastAsia" w:hAnsi="宋体"/>
                <w:bCs/>
                <w:color w:val="auto"/>
                <w:kern w:val="0"/>
                <w:szCs w:val="21"/>
              </w:rPr>
              <w:t>当电梯下降运行的速度超过额定速度的1.2倍时，该装置自动切断控制电源，使电机停止运转以阻止电梯超速下行；如电梯继续超速下行，其速度超过额定速度的1.4倍时，安全钳动作，强制电梯停止运行，保证安全。</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29、上行超速保护装置</w:t>
            </w:r>
            <w:r>
              <w:rPr>
                <w:rFonts w:hint="eastAsia" w:hAnsi="宋体"/>
                <w:bCs/>
                <w:color w:val="auto"/>
                <w:kern w:val="0"/>
                <w:szCs w:val="21"/>
              </w:rPr>
              <w:tab/>
            </w:r>
            <w:r>
              <w:rPr>
                <w:rFonts w:hint="eastAsia" w:hAnsi="宋体"/>
                <w:bCs/>
                <w:color w:val="auto"/>
                <w:kern w:val="0"/>
                <w:szCs w:val="21"/>
              </w:rPr>
              <w:t>当电梯上行的速度超过额定速度的1.2倍时，该装置自动将电梯减速或制停。</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30、指令登记删除</w:t>
            </w:r>
            <w:r>
              <w:rPr>
                <w:rFonts w:hint="eastAsia" w:hAnsi="宋体"/>
                <w:bCs/>
                <w:color w:val="auto"/>
                <w:kern w:val="0"/>
                <w:szCs w:val="21"/>
              </w:rPr>
              <w:tab/>
            </w:r>
            <w:r>
              <w:rPr>
                <w:rFonts w:hint="eastAsia" w:hAnsi="宋体"/>
                <w:bCs/>
                <w:color w:val="auto"/>
                <w:kern w:val="0"/>
                <w:szCs w:val="21"/>
              </w:rPr>
              <w:t>如按错了轿内楼层指令按钮，只要把同一按钮连按两次，就可取消已登记指令。</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31、预称重启动</w:t>
            </w:r>
            <w:r>
              <w:rPr>
                <w:rFonts w:hint="eastAsia" w:hAnsi="宋体"/>
                <w:bCs/>
                <w:color w:val="auto"/>
                <w:kern w:val="0"/>
                <w:szCs w:val="21"/>
              </w:rPr>
              <w:tab/>
            </w:r>
            <w:r>
              <w:rPr>
                <w:rFonts w:hint="eastAsia" w:hAnsi="宋体"/>
                <w:bCs/>
                <w:color w:val="auto"/>
                <w:kern w:val="0"/>
                <w:szCs w:val="21"/>
              </w:rPr>
              <w:t>电梯启动前，预先对轿厢内负载进行称重，以使电梯启动平稳。</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32、消防返回</w:t>
            </w:r>
            <w:r>
              <w:rPr>
                <w:rFonts w:hint="eastAsia" w:hAnsi="宋体"/>
                <w:bCs/>
                <w:color w:val="auto"/>
                <w:kern w:val="0"/>
                <w:szCs w:val="21"/>
              </w:rPr>
              <w:tab/>
            </w:r>
            <w:r>
              <w:rPr>
                <w:rFonts w:hint="eastAsia" w:hAnsi="宋体"/>
                <w:bCs/>
                <w:color w:val="auto"/>
                <w:kern w:val="0"/>
                <w:szCs w:val="21"/>
              </w:rPr>
              <w:t>启动基站或监控屏上的开关，所有召唤均被取消，电梯立即驶往指定救援层站停靠，并自动开门。</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33、提前开门</w:t>
            </w:r>
            <w:r>
              <w:rPr>
                <w:rFonts w:hint="eastAsia" w:hAnsi="宋体"/>
                <w:bCs/>
                <w:color w:val="auto"/>
                <w:kern w:val="0"/>
                <w:szCs w:val="21"/>
              </w:rPr>
              <w:tab/>
            </w:r>
            <w:r>
              <w:rPr>
                <w:rFonts w:hint="eastAsia" w:hAnsi="宋体"/>
                <w:bCs/>
                <w:color w:val="auto"/>
                <w:kern w:val="0"/>
                <w:szCs w:val="21"/>
              </w:rPr>
              <w:t>电梯减速进入开门区域，自动开门，提高运行效率。</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34、语音报站</w:t>
            </w:r>
            <w:r>
              <w:rPr>
                <w:rFonts w:hint="eastAsia" w:hAnsi="宋体"/>
                <w:bCs/>
                <w:color w:val="auto"/>
                <w:kern w:val="0"/>
                <w:szCs w:val="21"/>
              </w:rPr>
              <w:tab/>
            </w:r>
            <w:r>
              <w:rPr>
                <w:rFonts w:hint="eastAsia" w:hAnsi="宋体"/>
                <w:bCs/>
                <w:color w:val="auto"/>
                <w:kern w:val="0"/>
                <w:szCs w:val="21"/>
              </w:rPr>
              <w:t>在正常运行到站的情况下，利用语音装置告知乘客有关信息。</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35、停电应急平层</w:t>
            </w:r>
            <w:r>
              <w:rPr>
                <w:rFonts w:hint="eastAsia" w:hAnsi="宋体"/>
                <w:bCs/>
                <w:color w:val="auto"/>
                <w:kern w:val="0"/>
                <w:szCs w:val="21"/>
              </w:rPr>
              <w:tab/>
            </w:r>
            <w:r>
              <w:rPr>
                <w:rFonts w:hint="eastAsia" w:hAnsi="宋体"/>
                <w:bCs/>
                <w:color w:val="auto"/>
                <w:kern w:val="0"/>
                <w:szCs w:val="21"/>
              </w:rPr>
              <w:t>正常电源断电时，充电式电池提供电梯电源，电梯驶往最近层站。</w:t>
            </w:r>
          </w:p>
          <w:p>
            <w:pPr>
              <w:pStyle w:val="6"/>
              <w:autoSpaceDE w:val="0"/>
              <w:autoSpaceDN w:val="0"/>
              <w:adjustRightInd w:val="0"/>
              <w:snapToGrid w:val="0"/>
              <w:spacing w:line="360" w:lineRule="exact"/>
              <w:jc w:val="left"/>
              <w:rPr>
                <w:rFonts w:hAnsi="宋体"/>
                <w:bCs/>
                <w:color w:val="auto"/>
                <w:kern w:val="0"/>
                <w:szCs w:val="21"/>
              </w:rPr>
            </w:pPr>
            <w:r>
              <w:rPr>
                <w:rFonts w:hint="eastAsia" w:hAnsi="宋体"/>
                <w:bCs/>
                <w:color w:val="auto"/>
                <w:kern w:val="0"/>
                <w:szCs w:val="21"/>
              </w:rPr>
              <w:t>36、物联网</w:t>
            </w:r>
            <w:r>
              <w:rPr>
                <w:rFonts w:hint="eastAsia" w:hAnsi="宋体"/>
                <w:bCs/>
                <w:color w:val="auto"/>
                <w:kern w:val="0"/>
                <w:szCs w:val="21"/>
              </w:rPr>
              <w:tab/>
            </w:r>
            <w:r>
              <w:rPr>
                <w:rFonts w:hint="eastAsia" w:hAnsi="宋体"/>
                <w:bCs/>
                <w:color w:val="auto"/>
                <w:kern w:val="0"/>
                <w:szCs w:val="21"/>
              </w:rPr>
              <w:t>远程监控电梯运行状态、故障预警并指导维修维护的故障排除。</w:t>
            </w:r>
          </w:p>
          <w:bookmarkEnd w:id="0"/>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32" w:hRule="atLeast"/>
          <w:jc w:val="center"/>
        </w:trPr>
        <w:tc>
          <w:tcPr>
            <w:tcW w:w="98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outlineLvl w:val="0"/>
              <w:rPr>
                <w:rFonts w:hAnsi="宋体"/>
                <w:color w:val="auto"/>
                <w:spacing w:val="-4"/>
              </w:rPr>
            </w:pPr>
            <w:r>
              <w:rPr>
                <w:rFonts w:hint="eastAsia" w:hAnsi="宋体"/>
                <w:b/>
                <w:color w:val="auto"/>
                <w:sz w:val="24"/>
              </w:rPr>
              <w:t>其他要求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432" w:hRule="atLeast"/>
          <w:jc w:val="center"/>
        </w:trPr>
        <w:tc>
          <w:tcPr>
            <w:tcW w:w="1670" w:type="dxa"/>
            <w:gridSpan w:val="3"/>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Ansi="宋体"/>
                <w:color w:val="auto"/>
                <w:kern w:val="0"/>
                <w:szCs w:val="21"/>
              </w:rPr>
            </w:pPr>
            <w:r>
              <w:rPr>
                <w:rFonts w:hint="eastAsia" w:hAnsi="宋体"/>
                <w:color w:val="auto"/>
                <w:kern w:val="0"/>
                <w:szCs w:val="21"/>
              </w:rPr>
              <w:t>质保期</w:t>
            </w:r>
          </w:p>
        </w:tc>
        <w:tc>
          <w:tcPr>
            <w:tcW w:w="8207" w:type="dxa"/>
            <w:gridSpan w:val="3"/>
            <w:tcBorders>
              <w:left w:val="single" w:color="auto" w:sz="4" w:space="0"/>
              <w:bottom w:val="single" w:color="auto" w:sz="4" w:space="0"/>
              <w:right w:val="single" w:color="auto" w:sz="4" w:space="0"/>
            </w:tcBorders>
            <w:shd w:val="clear" w:color="auto" w:fill="auto"/>
            <w:vAlign w:val="center"/>
          </w:tcPr>
          <w:p>
            <w:pPr>
              <w:pStyle w:val="4"/>
              <w:tabs>
                <w:tab w:val="left" w:pos="3765"/>
              </w:tabs>
              <w:spacing w:line="320" w:lineRule="exact"/>
              <w:jc w:val="left"/>
              <w:rPr>
                <w:rFonts w:hAnsi="宋体"/>
                <w:color w:val="auto"/>
                <w:kern w:val="0"/>
                <w:szCs w:val="21"/>
              </w:rPr>
            </w:pPr>
            <w:r>
              <w:rPr>
                <w:rFonts w:hint="eastAsia" w:ascii="宋体" w:hAnsi="宋体" w:eastAsia="宋体" w:cs="宋体"/>
                <w:color w:val="auto"/>
                <w:kern w:val="2"/>
                <w:sz w:val="21"/>
                <w:szCs w:val="22"/>
                <w:lang w:val="en-US" w:eastAsia="zh-CN" w:bidi="ar-SA"/>
              </w:rPr>
              <w:t>自电梯安装调试验收合格并交付使用之日起不少于</w:t>
            </w:r>
            <w:r>
              <w:rPr>
                <w:rFonts w:hint="eastAsia" w:ascii="宋体" w:hAnsi="宋体" w:eastAsia="宋体" w:cs="宋体"/>
                <w:color w:val="auto"/>
                <w:kern w:val="2"/>
                <w:sz w:val="21"/>
                <w:szCs w:val="22"/>
                <w:u w:val="single"/>
                <w:lang w:val="en-US" w:eastAsia="zh-CN" w:bidi="ar-SA"/>
              </w:rPr>
              <w:t xml:space="preserve"> </w:t>
            </w:r>
            <w:r>
              <w:rPr>
                <w:rFonts w:hint="eastAsia" w:hAnsi="宋体" w:cs="宋体"/>
                <w:color w:val="auto"/>
                <w:kern w:val="2"/>
                <w:sz w:val="21"/>
                <w:szCs w:val="22"/>
                <w:u w:val="single"/>
                <w:lang w:val="en-US" w:eastAsia="zh-CN" w:bidi="ar-SA"/>
              </w:rPr>
              <w:t xml:space="preserve"> </w:t>
            </w:r>
            <w:r>
              <w:rPr>
                <w:rFonts w:hint="eastAsia" w:ascii="宋体" w:hAnsi="宋体" w:eastAsia="宋体" w:cs="宋体"/>
                <w:color w:val="auto"/>
                <w:kern w:val="2"/>
                <w:sz w:val="21"/>
                <w:szCs w:val="22"/>
                <w:u w:val="single"/>
                <w:lang w:val="en-US" w:eastAsia="zh-CN" w:bidi="ar-SA"/>
              </w:rPr>
              <w:t xml:space="preserve">2  </w:t>
            </w:r>
            <w:r>
              <w:rPr>
                <w:rFonts w:hint="eastAsia" w:ascii="宋体" w:hAnsi="宋体" w:eastAsia="宋体" w:cs="宋体"/>
                <w:color w:val="auto"/>
                <w:kern w:val="2"/>
                <w:sz w:val="21"/>
                <w:szCs w:val="22"/>
                <w:lang w:val="en-US" w:eastAsia="zh-CN" w:bidi="ar-SA"/>
              </w:rPr>
              <w:t>年，质保期内免费维修、保养、更换配件。质保期内，免费定期上门保养（检查、清洁、除尘、加油、调整）。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30" w:type="dxa"/>
            <w:bottom w:w="0" w:type="dxa"/>
            <w:right w:w="30" w:type="dxa"/>
          </w:tblCellMar>
        </w:tblPrEx>
        <w:trPr>
          <w:trHeight w:val="5794" w:hRule="atLeast"/>
          <w:jc w:val="center"/>
        </w:trPr>
        <w:tc>
          <w:tcPr>
            <w:tcW w:w="16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Ansi="宋体"/>
                <w:color w:val="auto"/>
                <w:kern w:val="0"/>
                <w:szCs w:val="21"/>
              </w:rPr>
            </w:pPr>
            <w:r>
              <w:rPr>
                <w:rFonts w:hint="eastAsia" w:hAnsi="宋体"/>
                <w:color w:val="auto"/>
                <w:kern w:val="0"/>
                <w:szCs w:val="21"/>
              </w:rPr>
              <w:t>售后服务要求</w:t>
            </w:r>
          </w:p>
        </w:tc>
        <w:tc>
          <w:tcPr>
            <w:tcW w:w="82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405" w:firstLineChars="193"/>
              <w:rPr>
                <w:rFonts w:hAnsi="宋体"/>
                <w:color w:val="auto"/>
              </w:rPr>
            </w:pPr>
            <w:r>
              <w:rPr>
                <w:rFonts w:hint="eastAsia" w:hAnsi="宋体"/>
                <w:color w:val="auto"/>
              </w:rPr>
              <w:t>1、免费送货上门、安装、调试；免费提供相关技术指导、维护及培训服务。</w:t>
            </w:r>
          </w:p>
          <w:p>
            <w:pPr>
              <w:snapToGrid w:val="0"/>
              <w:spacing w:line="360" w:lineRule="exact"/>
              <w:rPr>
                <w:rFonts w:hAnsi="宋体"/>
                <w:color w:val="auto"/>
              </w:rPr>
            </w:pPr>
            <w:r>
              <w:rPr>
                <w:rFonts w:hint="eastAsia" w:hAnsi="宋体"/>
                <w:color w:val="auto"/>
              </w:rPr>
              <w:t xml:space="preserve">    2、质保期后根据签订的维保合同提供终身维修服务及配件供应；其它售后服务按厂家承诺执行。</w:t>
            </w:r>
          </w:p>
          <w:p>
            <w:pPr>
              <w:snapToGrid w:val="0"/>
              <w:spacing w:line="360" w:lineRule="exact"/>
              <w:rPr>
                <w:rFonts w:hAnsi="宋体"/>
                <w:color w:val="auto"/>
                <w:szCs w:val="21"/>
              </w:rPr>
            </w:pPr>
            <w:r>
              <w:rPr>
                <w:rFonts w:hint="eastAsia" w:hAnsi="宋体"/>
                <w:color w:val="auto"/>
                <w:szCs w:val="21"/>
              </w:rPr>
              <w:t xml:space="preserve">    3、售后服务以生产厂家的售后服务承诺书为标准；</w:t>
            </w:r>
          </w:p>
          <w:p>
            <w:pPr>
              <w:snapToGrid w:val="0"/>
              <w:spacing w:line="360" w:lineRule="exact"/>
              <w:rPr>
                <w:rFonts w:hAnsi="宋体"/>
                <w:color w:val="auto"/>
                <w:szCs w:val="21"/>
              </w:rPr>
            </w:pPr>
            <w:r>
              <w:rPr>
                <w:rFonts w:hint="eastAsia" w:hAnsi="宋体"/>
                <w:color w:val="auto"/>
              </w:rPr>
              <w:t xml:space="preserve">    4、质保期内，免费定期上门保养（检查、清洁、除尘、加油、调整）；</w:t>
            </w:r>
          </w:p>
          <w:p>
            <w:pPr>
              <w:snapToGrid w:val="0"/>
              <w:spacing w:line="360" w:lineRule="exact"/>
              <w:rPr>
                <w:rFonts w:hAnsi="宋体"/>
                <w:color w:val="auto"/>
                <w:szCs w:val="21"/>
              </w:rPr>
            </w:pPr>
            <w:r>
              <w:rPr>
                <w:rFonts w:hint="eastAsia" w:hAnsi="宋体"/>
                <w:color w:val="auto"/>
              </w:rPr>
              <w:t xml:space="preserve">    5、如设备在质保期内使用过程发生质量问题，在接到通知后供应商的维修技术人员必须在</w:t>
            </w:r>
            <w:r>
              <w:rPr>
                <w:rFonts w:hint="eastAsia" w:hAnsi="宋体"/>
                <w:color w:val="auto"/>
                <w:u w:val="single"/>
              </w:rPr>
              <w:t>15</w:t>
            </w:r>
            <w:r>
              <w:rPr>
                <w:rFonts w:hint="eastAsia" w:hAnsi="宋体"/>
                <w:color w:val="auto"/>
              </w:rPr>
              <w:t>分钟内响应，</w:t>
            </w:r>
            <w:r>
              <w:rPr>
                <w:rFonts w:hint="eastAsia" w:hAnsi="宋体"/>
                <w:color w:val="auto"/>
                <w:u w:val="single"/>
              </w:rPr>
              <w:t xml:space="preserve">30 </w:t>
            </w:r>
            <w:r>
              <w:rPr>
                <w:rFonts w:hint="eastAsia" w:hAnsi="宋体"/>
                <w:color w:val="auto"/>
              </w:rPr>
              <w:t>分钟内到达现场处理，一般故障处理时限不超过</w:t>
            </w:r>
            <w:r>
              <w:rPr>
                <w:rFonts w:hint="eastAsia" w:hAnsi="宋体"/>
                <w:color w:val="auto"/>
                <w:u w:val="single"/>
              </w:rPr>
              <w:t>60</w:t>
            </w:r>
            <w:r>
              <w:rPr>
                <w:rFonts w:hint="eastAsia" w:hAnsi="宋体"/>
                <w:color w:val="auto"/>
              </w:rPr>
              <w:t>分钟，重大故障处理时限不超过</w:t>
            </w:r>
            <w:r>
              <w:rPr>
                <w:rFonts w:hint="eastAsia" w:hAnsi="宋体"/>
                <w:color w:val="auto"/>
                <w:u w:val="single"/>
              </w:rPr>
              <w:t xml:space="preserve"> 24</w:t>
            </w:r>
            <w:r>
              <w:rPr>
                <w:rFonts w:hint="eastAsia" w:hAnsi="宋体"/>
                <w:color w:val="auto"/>
              </w:rPr>
              <w:t>小时修复；</w:t>
            </w:r>
          </w:p>
          <w:p>
            <w:pPr>
              <w:snapToGrid w:val="0"/>
              <w:spacing w:line="360" w:lineRule="exact"/>
              <w:rPr>
                <w:rFonts w:hAnsi="宋体"/>
                <w:color w:val="auto"/>
                <w:szCs w:val="21"/>
              </w:rPr>
            </w:pPr>
            <w:r>
              <w:rPr>
                <w:rFonts w:hint="eastAsia" w:hAnsi="宋体"/>
                <w:color w:val="auto"/>
              </w:rPr>
              <w:t xml:space="preserve">    6、免费对采购人的2-5名操作人员进行不少于两天的技术培训，安装调试过程也应让操作人员共同参与，并进行现场培训；</w:t>
            </w:r>
          </w:p>
          <w:p>
            <w:pPr>
              <w:pStyle w:val="6"/>
              <w:tabs>
                <w:tab w:val="left" w:pos="3765"/>
              </w:tabs>
              <w:spacing w:line="360" w:lineRule="exact"/>
              <w:ind w:firstLine="315" w:firstLineChars="150"/>
              <w:rPr>
                <w:rFonts w:hAnsi="宋体"/>
                <w:color w:val="auto"/>
                <w:szCs w:val="21"/>
              </w:rPr>
            </w:pPr>
            <w:r>
              <w:rPr>
                <w:rFonts w:hint="eastAsia" w:hAnsi="宋体"/>
                <w:color w:val="auto"/>
                <w:szCs w:val="21"/>
              </w:rPr>
              <w:t xml:space="preserve"> 7、供应商应在广西区域内有售后服务维修机构，必须常年备有产品足够</w:t>
            </w:r>
            <w:r>
              <w:rPr>
                <w:rFonts w:hint="eastAsia" w:hAnsi="宋体" w:cs="Arial"/>
                <w:bCs/>
                <w:color w:val="auto"/>
                <w:spacing w:val="2"/>
                <w:kern w:val="11"/>
                <w:position w:val="2"/>
                <w:szCs w:val="21"/>
              </w:rPr>
              <w:t>的易损易耗件、</w:t>
            </w:r>
            <w:r>
              <w:rPr>
                <w:rFonts w:hint="eastAsia" w:hAnsi="宋体"/>
                <w:color w:val="auto"/>
                <w:szCs w:val="21"/>
              </w:rPr>
              <w:t>备品备件，以</w:t>
            </w:r>
            <w:r>
              <w:rPr>
                <w:rFonts w:hint="eastAsia" w:hAnsi="宋体" w:cs="Arial"/>
                <w:bCs/>
                <w:color w:val="auto"/>
                <w:spacing w:val="2"/>
                <w:kern w:val="11"/>
                <w:position w:val="2"/>
                <w:szCs w:val="21"/>
              </w:rPr>
              <w:t>保证采购人的需要</w:t>
            </w:r>
            <w:r>
              <w:rPr>
                <w:rFonts w:hint="eastAsia" w:hAnsi="宋体"/>
                <w:color w:val="auto"/>
                <w:szCs w:val="21"/>
              </w:rPr>
              <w:t>；</w:t>
            </w:r>
          </w:p>
          <w:p>
            <w:pPr>
              <w:snapToGrid w:val="0"/>
              <w:spacing w:line="360" w:lineRule="exact"/>
              <w:ind w:firstLine="420" w:firstLineChars="200"/>
              <w:rPr>
                <w:rFonts w:hAnsi="宋体"/>
                <w:color w:val="auto"/>
                <w:szCs w:val="21"/>
              </w:rPr>
            </w:pPr>
            <w:r>
              <w:rPr>
                <w:rFonts w:hint="eastAsia" w:hAnsi="宋体"/>
                <w:color w:val="auto"/>
                <w:szCs w:val="21"/>
              </w:rPr>
              <w:t>8、供应商</w:t>
            </w:r>
            <w:r>
              <w:rPr>
                <w:rFonts w:hint="eastAsia" w:hAnsi="宋体"/>
                <w:color w:val="auto"/>
              </w:rPr>
              <w:t>须提供质保期满后服务维修的收费标准及提供零配件优惠清单；</w:t>
            </w:r>
          </w:p>
          <w:p>
            <w:pPr>
              <w:snapToGrid w:val="0"/>
              <w:spacing w:line="360" w:lineRule="exact"/>
              <w:rPr>
                <w:rFonts w:hAnsi="宋体"/>
                <w:color w:val="auto"/>
                <w:szCs w:val="21"/>
              </w:rPr>
            </w:pPr>
            <w:r>
              <w:rPr>
                <w:rFonts w:hint="eastAsia" w:hAnsi="宋体"/>
                <w:color w:val="auto"/>
                <w:szCs w:val="21"/>
              </w:rPr>
              <w:t xml:space="preserve">    9、签订维保合同；</w:t>
            </w:r>
          </w:p>
          <w:p>
            <w:pPr>
              <w:pStyle w:val="6"/>
              <w:tabs>
                <w:tab w:val="left" w:pos="3765"/>
              </w:tabs>
              <w:spacing w:line="360" w:lineRule="exact"/>
              <w:ind w:firstLine="315" w:firstLineChars="150"/>
              <w:rPr>
                <w:rFonts w:hAnsi="宋体"/>
                <w:bCs/>
                <w:color w:val="auto"/>
              </w:rPr>
            </w:pPr>
            <w:r>
              <w:rPr>
                <w:rFonts w:hint="eastAsia" w:hAnsi="宋体"/>
                <w:color w:val="auto"/>
                <w:szCs w:val="21"/>
              </w:rPr>
              <w:t>设备在质保期内所有非操作失误发生的质量问题由供应商免费维修、免费更换损坏的零部件；</w:t>
            </w:r>
          </w:p>
        </w:tc>
      </w:tr>
    </w:tbl>
    <w:p>
      <w:pPr>
        <w:spacing w:line="340" w:lineRule="exact"/>
        <w:ind w:right="-27" w:rightChars="-13"/>
        <w:rPr>
          <w:rFonts w:hAnsi="宋体"/>
          <w:bCs/>
          <w:color w:val="auto"/>
          <w:szCs w:val="21"/>
        </w:rPr>
      </w:pPr>
      <w:r>
        <w:rPr>
          <w:rFonts w:hint="eastAsia" w:hAnsi="宋体"/>
          <w:bCs/>
          <w:color w:val="auto"/>
          <w:szCs w:val="21"/>
        </w:rPr>
        <w:t>注：1、本一览表中的技术参数及其性能（配置）仅起参考作用，供应商可选用其他型号规格替代，但这些替代的型号规格要实质上相当于或优于参考型号及其技术参数性能（配置）要求；</w:t>
      </w:r>
    </w:p>
    <w:p>
      <w:pPr>
        <w:pStyle w:val="6"/>
        <w:spacing w:line="340" w:lineRule="exact"/>
        <w:ind w:right="-27" w:rightChars="-13" w:firstLine="407" w:firstLineChars="194"/>
        <w:rPr>
          <w:rFonts w:hAnsi="宋体"/>
          <w:color w:val="auto"/>
          <w:szCs w:val="21"/>
        </w:rPr>
      </w:pPr>
      <w:r>
        <w:rPr>
          <w:rFonts w:hint="eastAsia" w:hAnsi="宋体"/>
          <w:color w:val="auto"/>
          <w:szCs w:val="21"/>
        </w:rPr>
        <w:t>2、本一览表中</w:t>
      </w:r>
      <w:r>
        <w:rPr>
          <w:rFonts w:hint="eastAsia" w:hAnsi="宋体"/>
          <w:bCs/>
          <w:color w:val="auto"/>
          <w:szCs w:val="21"/>
        </w:rPr>
        <w:t>技术参数性能（配置）</w:t>
      </w:r>
      <w:r>
        <w:rPr>
          <w:rFonts w:hint="eastAsia" w:hAnsi="宋体"/>
          <w:color w:val="auto"/>
          <w:szCs w:val="21"/>
        </w:rPr>
        <w:t>不明确或有误的，请说明详细、正确的技术参数性能（配置）同时填写报价表和商务及技术条款偏离表；</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3、货物需求（带★号的功能要求为重要参数，是否满足需注明偏离情况）</w:t>
      </w:r>
    </w:p>
    <w:p>
      <w:pPr>
        <w:rPr>
          <w:rFonts w:hint="eastAsia" w:hAnsi="宋体"/>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五、招标要求</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1.应标方负责项目所有设备的采购及安装，电梯符合中华人民共和国有关电梯制造与安装安全标准。</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2.项目中电梯设备参考品牌</w:t>
      </w:r>
      <w:r>
        <w:rPr>
          <w:rFonts w:hint="eastAsia" w:ascii="仿宋" w:hAnsi="仿宋" w:eastAsia="仿宋" w:cs="仿宋"/>
          <w:color w:val="auto"/>
          <w:sz w:val="28"/>
          <w:szCs w:val="28"/>
          <w:lang w:val="en-US" w:eastAsia="zh-CN"/>
        </w:rPr>
        <w:t>相当于</w:t>
      </w:r>
      <w:r>
        <w:rPr>
          <w:rFonts w:hint="eastAsia" w:ascii="仿宋" w:hAnsi="仿宋" w:eastAsia="仿宋" w:cs="仿宋"/>
          <w:color w:val="auto"/>
          <w:sz w:val="28"/>
          <w:szCs w:val="28"/>
        </w:rPr>
        <w:t xml:space="preserve">康力电梯、珠江富士、通用电梯。 </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3.应标单位设备安装过程中做好各项安全文明施工措施，不得影响医院正常运行。</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4.主要设备到场后经院方验收合格后才能进行安装。</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5.应标单位负责项目清单内所有设备的运输以及搬运至院方指定安装位置。</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6.项目质保期要求所有设备质保至少</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7.应标单位负责为院方办理报装报验手续，政府部门（当地技监局）收取的有关费用由用户直接支付给技监局。</w:t>
      </w:r>
    </w:p>
    <w:p>
      <w:pPr>
        <w:ind w:firstLine="561"/>
        <w:rPr>
          <w:rFonts w:hint="eastAsia" w:ascii="仿宋" w:hAnsi="仿宋" w:eastAsia="仿宋" w:cs="仿宋"/>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六、合同工期及报价方式</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1.签订合同后，45天内完成所有设备采购及安装；</w:t>
      </w:r>
    </w:p>
    <w:p>
      <w:pPr>
        <w:ind w:firstLine="561"/>
        <w:rPr>
          <w:rFonts w:hint="eastAsia" w:ascii="仿宋" w:hAnsi="仿宋" w:eastAsia="仿宋" w:cs="仿宋"/>
          <w:color w:val="auto"/>
          <w:sz w:val="28"/>
          <w:szCs w:val="28"/>
        </w:rPr>
      </w:pPr>
      <w:r>
        <w:rPr>
          <w:rFonts w:hint="eastAsia" w:ascii="仿宋" w:hAnsi="仿宋" w:eastAsia="仿宋" w:cs="仿宋"/>
          <w:color w:val="auto"/>
          <w:sz w:val="28"/>
          <w:szCs w:val="28"/>
        </w:rPr>
        <w:t xml:space="preserve">2.报价为总价包干报价形式。 </w:t>
      </w:r>
    </w:p>
    <w:p>
      <w:pPr>
        <w:ind w:firstLine="561"/>
        <w:rPr>
          <w:rFonts w:hAnsi="宋体"/>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付款方式：签订合同后，设备到场初步验收合格后支付合同总价款的60%，设备全部安装到位、调试运行正常并经国家技监部门检验合格后，支付项目款至合同总价款的97%，甲方按合同总价扣3%为质保金，保修期满一年后由乙方申请，甲方将剩余质保金无息退还乙方。</w:t>
      </w:r>
      <w:bookmarkStart w:id="1" w:name="_GoBack"/>
      <w:bookmarkEnd w:id="1"/>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C"/>
    <w:multiLevelType w:val="multilevel"/>
    <w:tmpl w:val="0000000C"/>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24D2B0"/>
    <w:multiLevelType w:val="singleLevel"/>
    <w:tmpl w:val="1F24D2B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6E1373"/>
    <w:rsid w:val="002B0B00"/>
    <w:rsid w:val="006E1373"/>
    <w:rsid w:val="00F40B29"/>
    <w:rsid w:val="115537D9"/>
    <w:rsid w:val="21200977"/>
    <w:rsid w:val="2428700E"/>
    <w:rsid w:val="281A202C"/>
    <w:rsid w:val="2E3E0FF3"/>
    <w:rsid w:val="41634BE1"/>
    <w:rsid w:val="47910750"/>
    <w:rsid w:val="4CB85467"/>
    <w:rsid w:val="547F5099"/>
    <w:rsid w:val="5AAA08DE"/>
    <w:rsid w:val="5F7A1E51"/>
    <w:rsid w:val="6B452193"/>
    <w:rsid w:val="7F9D07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qFormat="1" w:unhideWhenUsed="0"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qFormat="1" w:unhideWhenUsed="0" w:uiPriority="0"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semiHidden="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宋体"/>
      <w:kern w:val="2"/>
      <w:sz w:val="21"/>
      <w:szCs w:val="22"/>
      <w:lang w:val="en-US" w:eastAsia="zh-CN" w:bidi="ar-SA"/>
    </w:rPr>
  </w:style>
  <w:style w:type="paragraph" w:styleId="2">
    <w:name w:val="heading 3"/>
    <w:next w:val="1"/>
    <w:qFormat/>
    <w:uiPriority w:val="9"/>
    <w:pPr>
      <w:jc w:val="left"/>
    </w:pPr>
    <w:rPr>
      <w:rFonts w:ascii="Calibri" w:hAnsi="Calibri" w:eastAsia="宋体" w:cs="Times New Roman"/>
      <w:b/>
      <w:sz w:val="28"/>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index 8"/>
    <w:basedOn w:val="1"/>
    <w:next w:val="1"/>
    <w:qFormat/>
    <w:uiPriority w:val="0"/>
    <w:pPr>
      <w:jc w:val="left"/>
    </w:pPr>
    <w:rPr>
      <w:rFonts w:ascii="Times New Roman" w:hAnsi="Times New Roman"/>
    </w:rPr>
  </w:style>
  <w:style w:type="paragraph" w:styleId="4">
    <w:name w:val="annotation text"/>
    <w:basedOn w:val="1"/>
    <w:link w:val="20"/>
    <w:qFormat/>
    <w:uiPriority w:val="0"/>
    <w:pPr>
      <w:jc w:val="left"/>
    </w:pPr>
  </w:style>
  <w:style w:type="paragraph" w:styleId="5">
    <w:name w:val="Body Text"/>
    <w:basedOn w:val="1"/>
    <w:qFormat/>
    <w:uiPriority w:val="0"/>
    <w:pPr>
      <w:spacing w:line="380" w:lineRule="exact"/>
    </w:pPr>
    <w:rPr>
      <w:rFonts w:ascii="Times New Roman" w:hAnsi="Times New Roman" w:cs="Times New Roman"/>
      <w:sz w:val="24"/>
      <w:szCs w:val="24"/>
    </w:rPr>
  </w:style>
  <w:style w:type="paragraph" w:styleId="6">
    <w:name w:val="Plain Text"/>
    <w:basedOn w:val="1"/>
    <w:qFormat/>
    <w:uiPriority w:val="0"/>
    <w:rPr>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Char Char Char Char Char Char1 Char"/>
    <w:basedOn w:val="1"/>
    <w:qFormat/>
    <w:uiPriority w:val="0"/>
    <w:rPr>
      <w:sz w:val="24"/>
      <w:szCs w:val="24"/>
    </w:rPr>
  </w:style>
  <w:style w:type="character" w:customStyle="1" w:styleId="14">
    <w:name w:val="font21"/>
    <w:basedOn w:val="11"/>
    <w:qFormat/>
    <w:uiPriority w:val="0"/>
    <w:rPr>
      <w:rFonts w:hint="eastAsia" w:ascii="宋体" w:hAnsi="宋体" w:eastAsia="宋体" w:cs="宋体"/>
      <w:color w:val="000000"/>
      <w:sz w:val="24"/>
      <w:szCs w:val="24"/>
      <w:u w:val="none"/>
    </w:rPr>
  </w:style>
  <w:style w:type="character" w:customStyle="1" w:styleId="15">
    <w:name w:val="font31"/>
    <w:basedOn w:val="11"/>
    <w:qFormat/>
    <w:uiPriority w:val="0"/>
    <w:rPr>
      <w:rFonts w:hint="default" w:ascii="Times New Roman" w:hAnsi="Times New Roman" w:cs="Times New Roman"/>
      <w:color w:val="000000"/>
      <w:sz w:val="22"/>
      <w:szCs w:val="22"/>
      <w:u w:val="none"/>
    </w:rPr>
  </w:style>
  <w:style w:type="character" w:customStyle="1" w:styleId="16">
    <w:name w:val="font41"/>
    <w:basedOn w:val="11"/>
    <w:qFormat/>
    <w:uiPriority w:val="0"/>
    <w:rPr>
      <w:rFonts w:hint="eastAsia" w:ascii="宋体" w:hAnsi="宋体" w:eastAsia="宋体" w:cs="宋体"/>
      <w:color w:val="000000"/>
      <w:sz w:val="22"/>
      <w:szCs w:val="22"/>
      <w:u w:val="none"/>
    </w:rPr>
  </w:style>
  <w:style w:type="paragraph" w:customStyle="1" w:styleId="17">
    <w:name w:val="正文2"/>
    <w:basedOn w:val="1"/>
    <w:qFormat/>
    <w:uiPriority w:val="0"/>
    <w:pPr>
      <w:spacing w:before="156" w:line="360" w:lineRule="auto"/>
      <w:ind w:firstLine="510" w:firstLineChars="200"/>
    </w:pPr>
    <w:rPr>
      <w:sz w:val="24"/>
    </w:rPr>
  </w:style>
  <w:style w:type="character" w:customStyle="1" w:styleId="18">
    <w:name w:val="font11"/>
    <w:basedOn w:val="11"/>
    <w:qFormat/>
    <w:uiPriority w:val="0"/>
    <w:rPr>
      <w:rFonts w:hint="eastAsia" w:ascii="宋体" w:hAnsi="宋体" w:eastAsia="宋体" w:cs="宋体"/>
      <w:color w:val="000000"/>
      <w:sz w:val="22"/>
      <w:szCs w:val="22"/>
      <w:u w:val="none"/>
    </w:rPr>
  </w:style>
  <w:style w:type="paragraph" w:customStyle="1" w:styleId="19">
    <w:name w:val="List Paragraph"/>
    <w:basedOn w:val="1"/>
    <w:qFormat/>
    <w:uiPriority w:val="99"/>
    <w:pPr>
      <w:ind w:firstLine="420" w:firstLineChars="200"/>
    </w:pPr>
  </w:style>
  <w:style w:type="character" w:customStyle="1" w:styleId="20">
    <w:name w:val="标题 3 字符"/>
    <w:basedOn w:val="11"/>
    <w:link w:val="4"/>
    <w:qFormat/>
    <w:uiPriority w:val="9"/>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3580</Words>
  <Characters>3782</Characters>
  <Lines>29</Lines>
  <Paragraphs>8</Paragraphs>
  <TotalTime>0</TotalTime>
  <ScaleCrop>false</ScaleCrop>
  <LinksUpToDate>false</LinksUpToDate>
  <CharactersWithSpaces>3953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dcterms:modified xsi:type="dcterms:W3CDTF">2025-03-17T02:34:16Z</dcterms:modified>
  <dc:title>关于西院门诊住院综合楼大堂采光井电动百叶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DBF2455E0C70405DB4A0D2D0D634D539</vt:lpwstr>
  </property>
  <property fmtid="{D5CDD505-2E9C-101B-9397-08002B2CF9AE}" pid="4" name="KSOTemplateDocerSaveRecord">
    <vt:lpwstr>eyJoZGlkIjoiNmUwOTMyYjk1NDI5MjVmOGYzNDRkZDJiZjhkN2Y3NTUiLCJ1c2VySWQiOiIxNjE5MTMwNDM1In0=</vt:lpwstr>
  </property>
</Properties>
</file>