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138E4">
      <w:pPr>
        <w:tabs>
          <w:tab w:val="left" w:pos="7275"/>
        </w:tabs>
        <w:spacing w:line="480" w:lineRule="exact"/>
        <w:jc w:val="center"/>
        <w:rPr>
          <w:rFonts w:hint="eastAsia" w:ascii="方正大标宋简体" w:hAnsi="方正大标宋简体" w:eastAsia="方正大标宋简体" w:cs="方正大标宋简体"/>
          <w:b/>
          <w:color w:val="auto"/>
          <w:sz w:val="36"/>
          <w:szCs w:val="36"/>
        </w:rPr>
      </w:pPr>
      <w:r>
        <w:rPr>
          <w:rFonts w:hint="eastAsia" w:ascii="方正大标宋简体" w:hAnsi="方正大标宋简体" w:eastAsia="方正大标宋简体" w:cs="方正大标宋简体"/>
          <w:b/>
          <w:color w:val="auto"/>
          <w:sz w:val="36"/>
          <w:szCs w:val="36"/>
        </w:rPr>
        <w:t>柳州市工人医院财务科智能票据柜</w:t>
      </w:r>
      <w:r>
        <w:rPr>
          <w:rFonts w:hint="eastAsia" w:ascii="方正大标宋简体" w:hAnsi="方正大标宋简体" w:eastAsia="方正大标宋简体" w:cs="方正大标宋简体"/>
          <w:b/>
          <w:color w:val="auto"/>
          <w:sz w:val="36"/>
          <w:szCs w:val="36"/>
          <w:lang w:val="en-US" w:eastAsia="zh-CN"/>
        </w:rPr>
        <w:t>采购</w:t>
      </w:r>
      <w:r>
        <w:rPr>
          <w:rFonts w:hint="eastAsia" w:ascii="方正大标宋简体" w:hAnsi="方正大标宋简体" w:eastAsia="方正大标宋简体" w:cs="方正大标宋简体"/>
          <w:b/>
          <w:color w:val="auto"/>
          <w:sz w:val="36"/>
          <w:szCs w:val="36"/>
        </w:rPr>
        <w:t>需求</w:t>
      </w:r>
    </w:p>
    <w:p w14:paraId="42C7D7A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14:paraId="444521A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柳州市工人医院财务科智能票据柜采购</w:t>
      </w:r>
    </w:p>
    <w:p w14:paraId="463ECE3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14:paraId="4DEA8F23">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应我院财务科需求，拟</w:t>
      </w:r>
      <w:r>
        <w:rPr>
          <w:rFonts w:hint="eastAsia" w:ascii="仿宋" w:hAnsi="仿宋" w:eastAsia="仿宋" w:cs="仿宋"/>
          <w:sz w:val="30"/>
          <w:szCs w:val="30"/>
          <w:lang w:val="en-US" w:eastAsia="zh-CN"/>
        </w:rPr>
        <w:t>采购2台智能票据柜分别放置在鱼峰院区、西院区</w:t>
      </w:r>
      <w:r>
        <w:rPr>
          <w:rFonts w:hint="eastAsia" w:ascii="仿宋" w:hAnsi="仿宋" w:eastAsia="仿宋" w:cs="仿宋"/>
          <w:color w:val="auto"/>
          <w:sz w:val="28"/>
          <w:szCs w:val="28"/>
        </w:rPr>
        <w:t>。</w:t>
      </w:r>
    </w:p>
    <w:p w14:paraId="177A109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14:paraId="25A691D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14:paraId="2AF55AA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投标人三年内在经营活动中没有重大违法记录和不良信用记录。</w:t>
      </w:r>
    </w:p>
    <w:p w14:paraId="05AC03E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投标人有效的“营业执照”副本复印件。</w:t>
      </w:r>
    </w:p>
    <w:p w14:paraId="54B065DE">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p>
    <w:tbl>
      <w:tblPr>
        <w:tblStyle w:val="6"/>
        <w:tblW w:w="9030"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845"/>
        <w:gridCol w:w="4920"/>
        <w:gridCol w:w="1530"/>
      </w:tblGrid>
      <w:tr w14:paraId="353C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DC0B">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8CF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商品名称</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8BFC">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配置参数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EE4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数量（单位）</w:t>
            </w:r>
          </w:p>
        </w:tc>
      </w:tr>
      <w:tr w14:paraId="447EA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0806">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00BD">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智能票据柜</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C458">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详见附件1：柳州市工人医院财务科智能票据柜参数需求</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1BF4">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2台</w:t>
            </w:r>
          </w:p>
        </w:tc>
      </w:tr>
    </w:tbl>
    <w:p w14:paraId="3042FD0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备注：报名参加该项目的供应商如需了解项目需求情况，请与总务科联系，联系电话：0772-3806175林女士。</w:t>
      </w:r>
    </w:p>
    <w:p w14:paraId="1658D8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14:paraId="4D8278A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14:paraId="7477381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2.该项目按单项进行报价，报价含人工费、材料费、装卸车费、运输费、管理费、保险、质保期、利润、税金、安装调试、培训等为完成本项目所需的所有费用，在实施期间不因市场因素而变动。</w:t>
      </w:r>
    </w:p>
    <w:p w14:paraId="7D172C3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3.报价人需按报价清单模板（详见附件2）要求填写应标设备品牌、型号、参数、偏离情况、报价、质保期等内容。</w:t>
      </w:r>
    </w:p>
    <w:p w14:paraId="53D7EA99">
      <w:pPr>
        <w:pStyle w:val="2"/>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4.竞标文件需提供项目详细图文介绍，实施验收参照本技术文档及竞标文件提供的图文介绍为依据。</w:t>
      </w:r>
    </w:p>
    <w:p w14:paraId="28EE9DE4">
      <w:pPr>
        <w:pStyle w:val="2"/>
        <w:ind w:firstLine="560" w:firstLineChars="200"/>
        <w:rPr>
          <w:rFonts w:hint="default"/>
          <w:lang w:val="en-US" w:eastAsia="zh-CN"/>
        </w:rPr>
      </w:pPr>
      <w:r>
        <w:rPr>
          <w:rFonts w:hint="eastAsia" w:ascii="仿宋" w:hAnsi="仿宋" w:eastAsia="仿宋" w:cs="仿宋"/>
          <w:color w:val="auto"/>
          <w:kern w:val="2"/>
          <w:sz w:val="28"/>
          <w:szCs w:val="28"/>
          <w:lang w:val="en-US" w:eastAsia="zh-CN" w:bidi="ar-SA"/>
        </w:rPr>
        <w:t>5.因厂商与院方存在对需求理解有差异的可能性，要求所有软件功能需求的响应以院方意见为准。</w:t>
      </w:r>
    </w:p>
    <w:p w14:paraId="631B8C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六、接口及系统改造要求</w:t>
      </w:r>
    </w:p>
    <w:p w14:paraId="4640930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1.提供全面的接口技术，与第三方系统共享数据和功能，接口技术包括中间件技术接口、WEBSEVICE通用接口、数据库级接口、文件文本接口等。</w:t>
      </w:r>
    </w:p>
    <w:p w14:paraId="3495F6C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2.提供与医院第三方系统统一接口的维护与管理，与HIS、电子病历、LIS、PACS、心电系统、体检系统、集成平台、智慧运营平台、成本管理系统、排班系统、人力资源管理系统、财务管理系统、互联网医院、OA平台、自助服务平台、DRG管理、绩效管理、电子发票、短信平台、财务电子档案等其他所有医院相关业务系统（包括以上医院系统但不仅限于以上系统）进行免费接口对接，实现数据交换。</w:t>
      </w:r>
    </w:p>
    <w:p w14:paraId="1C72416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14:paraId="14B1479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4.提供软件免费升级及个性化修改服务，免费实现院方的个性化需求；软件自身错误类问题提供永久性免费修改服务；</w:t>
      </w:r>
    </w:p>
    <w:p w14:paraId="3939CA4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5.免费提供医院新增业务信息系统的对接、免费实现医院上级管理部门要求的系统接口对接要求。</w:t>
      </w:r>
    </w:p>
    <w:p w14:paraId="6603420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6.若医院更换已对接的业务系统、乙方须免费提供与新业务系统的对接及联调服务。</w:t>
      </w:r>
    </w:p>
    <w:p w14:paraId="09EA8B5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7.项目软硬件系统不限定用户数、并发数、不限定医疗集团内部及院区使用。</w:t>
      </w:r>
    </w:p>
    <w:p w14:paraId="7EBD9A9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七、项目实施要求</w:t>
      </w:r>
    </w:p>
    <w:p w14:paraId="559D50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1</w:t>
      </w: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14:paraId="1E97A8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2</w:t>
      </w:r>
      <w:r>
        <w:rPr>
          <w:rFonts w:hint="eastAsia" w:ascii="仿宋" w:hAnsi="仿宋" w:eastAsia="仿宋" w:cs="仿宋"/>
          <w:color w:val="auto"/>
          <w:kern w:val="2"/>
          <w:sz w:val="28"/>
          <w:szCs w:val="28"/>
          <w:lang w:val="en-US" w:eastAsia="zh-CN" w:bidi="ar-SA"/>
        </w:rPr>
        <w:t>.供应商确保所供应产品符合国家相关技术部门规定技术要求。</w:t>
      </w:r>
    </w:p>
    <w:p w14:paraId="13814652">
      <w:pPr>
        <w:pStyle w:val="2"/>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3.合同签订后，7个工作日内项目实施人员必须进场，系统需在1个月内完成项目实施上线，请分别列出每个系统实施的工作计划及周期。</w:t>
      </w:r>
    </w:p>
    <w:p w14:paraId="52D9D54C">
      <w:pPr>
        <w:pStyle w:val="2"/>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4.人员要求：项目驻场实施工程师需有2年以上本厂商同等项目实施经验。项目实施阶段，驻场实施工程师不得少于1名。</w:t>
      </w:r>
    </w:p>
    <w:p w14:paraId="1AA68DC9">
      <w:pPr>
        <w:pStyle w:val="2"/>
        <w:ind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5.竞标文件中需提供软件提供项目驻场人员清单，清单中标明驻场人员详细信息，如姓名、联系方式、技术职称、社保证明（不少于半年）等。</w:t>
      </w:r>
    </w:p>
    <w:p w14:paraId="2FA829E6">
      <w:pPr>
        <w:pStyle w:val="2"/>
        <w:ind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6.培训要求：培训应包括但不限于软硬件系统的安装、部署、维护方法、系统的功能使用培训等。</w:t>
      </w:r>
    </w:p>
    <w:p w14:paraId="5F3F95C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结算方式</w:t>
      </w:r>
    </w:p>
    <w:p w14:paraId="49CBF7E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w:t>
      </w:r>
      <w:r>
        <w:rPr>
          <w:rFonts w:hint="eastAsia" w:ascii="仿宋" w:hAnsi="仿宋" w:eastAsia="仿宋" w:cs="宋体"/>
          <w:color w:val="auto"/>
          <w:sz w:val="28"/>
          <w:szCs w:val="28"/>
          <w:lang w:val="en-US" w:eastAsia="zh-CN"/>
        </w:rPr>
        <w:t>签订合同支付合同总金额30%货款，设备及系统验收完成一个月后支付60%货款，验收完成一年后支付10%货款</w:t>
      </w:r>
      <w:r>
        <w:rPr>
          <w:rFonts w:hint="eastAsia" w:ascii="仿宋" w:hAnsi="仿宋" w:eastAsia="仿宋" w:cs="宋体"/>
          <w:color w:val="auto"/>
          <w:sz w:val="28"/>
          <w:szCs w:val="28"/>
        </w:rPr>
        <w:t>。</w:t>
      </w:r>
    </w:p>
    <w:p w14:paraId="7B84C1A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、供应商遴选方式</w:t>
      </w:r>
    </w:p>
    <w:p w14:paraId="71FD9BB4">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本项目对投标人应标的硬件品牌型号、软件功能、参数偏离情况、质保期、价格及服务及时性进行综合评价，遴选1家供应商。</w:t>
      </w:r>
    </w:p>
    <w:p w14:paraId="42085C4F">
      <w:pPr>
        <w:spacing w:line="560" w:lineRule="exact"/>
        <w:ind w:firstLine="560" w:firstLineChars="200"/>
        <w:rPr>
          <w:rFonts w:hint="eastAsia" w:ascii="仿宋" w:hAnsi="仿宋" w:eastAsia="仿宋" w:cs="宋体"/>
          <w:color w:val="auto"/>
          <w:sz w:val="28"/>
          <w:szCs w:val="28"/>
        </w:rPr>
      </w:pPr>
    </w:p>
    <w:p w14:paraId="6DAE52BB">
      <w:pPr>
        <w:spacing w:line="560" w:lineRule="exact"/>
        <w:ind w:right="560"/>
        <w:jc w:val="right"/>
        <w:rPr>
          <w:rFonts w:hint="eastAsia" w:ascii="仿宋" w:hAnsi="仿宋" w:eastAsia="仿宋" w:cs="仿宋"/>
          <w:color w:val="auto"/>
          <w:sz w:val="28"/>
          <w:szCs w:val="28"/>
        </w:rPr>
      </w:pPr>
    </w:p>
    <w:p w14:paraId="2DBB95B4">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财务科：</w:t>
      </w:r>
    </w:p>
    <w:p w14:paraId="384592C5">
      <w:pPr>
        <w:spacing w:line="560" w:lineRule="exact"/>
        <w:ind w:right="560"/>
        <w:jc w:val="center"/>
        <w:rPr>
          <w:rFonts w:hint="eastAsia" w:ascii="仿宋" w:hAnsi="仿宋" w:eastAsia="仿宋" w:cs="仿宋"/>
          <w:color w:val="auto"/>
          <w:sz w:val="28"/>
          <w:szCs w:val="28"/>
          <w:lang w:val="en-US" w:eastAsia="zh-CN"/>
        </w:rPr>
      </w:pPr>
    </w:p>
    <w:p w14:paraId="760A0175">
      <w:pPr>
        <w:spacing w:line="560" w:lineRule="exact"/>
        <w:ind w:right="560"/>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总务科经办人：</w:t>
      </w:r>
    </w:p>
    <w:p w14:paraId="5D9331E9">
      <w:pPr>
        <w:spacing w:line="560" w:lineRule="exact"/>
        <w:ind w:right="560"/>
        <w:jc w:val="center"/>
        <w:rPr>
          <w:rFonts w:hint="eastAsia" w:ascii="仿宋" w:hAnsi="仿宋" w:eastAsia="仿宋" w:cs="仿宋"/>
          <w:color w:val="auto"/>
          <w:sz w:val="28"/>
          <w:szCs w:val="28"/>
        </w:rPr>
      </w:pPr>
    </w:p>
    <w:p w14:paraId="24F9492B">
      <w:pPr>
        <w:spacing w:line="560" w:lineRule="exact"/>
        <w:ind w:right="560"/>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总务科主任：</w:t>
      </w:r>
    </w:p>
    <w:p w14:paraId="7161C94F">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14ED948D">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w:t>
      </w:r>
    </w:p>
    <w:p w14:paraId="2A89ECE7">
      <w:pPr>
        <w:numPr>
          <w:ilvl w:val="0"/>
          <w:numId w:val="0"/>
        </w:numPr>
        <w:spacing w:line="560" w:lineRule="exact"/>
        <w:rPr>
          <w:rFonts w:hint="default" w:ascii="仿宋" w:hAnsi="仿宋" w:eastAsia="仿宋" w:cs="宋体"/>
          <w:b/>
          <w:bCs/>
          <w:color w:val="auto"/>
          <w:sz w:val="30"/>
          <w:szCs w:val="30"/>
          <w:lang w:val="en-US" w:eastAsia="zh-CN"/>
        </w:rPr>
      </w:pPr>
    </w:p>
    <w:p w14:paraId="3A27C49A">
      <w:pPr>
        <w:rPr>
          <w:rFonts w:hint="default" w:ascii="仿宋" w:hAnsi="仿宋" w:eastAsia="仿宋" w:cs="宋体"/>
          <w:b/>
          <w:bCs/>
          <w:color w:val="auto"/>
          <w:sz w:val="30"/>
          <w:szCs w:val="30"/>
          <w:lang w:val="en-US" w:eastAsia="zh-CN"/>
        </w:rPr>
      </w:pPr>
      <w:r>
        <w:rPr>
          <w:rFonts w:hint="default" w:ascii="仿宋" w:hAnsi="仿宋" w:eastAsia="仿宋" w:cs="宋体"/>
          <w:b/>
          <w:bCs/>
          <w:color w:val="auto"/>
          <w:sz w:val="30"/>
          <w:szCs w:val="30"/>
          <w:lang w:val="en-US" w:eastAsia="zh-CN"/>
        </w:rPr>
        <w:br w:type="page"/>
      </w:r>
    </w:p>
    <w:p w14:paraId="634529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1"/>
          <w:szCs w:val="21"/>
          <w:lang w:val="en-US" w:eastAsia="zh-CN"/>
        </w:rPr>
      </w:pPr>
      <w:r>
        <w:rPr>
          <w:rFonts w:hint="eastAsia" w:ascii="仿宋" w:hAnsi="仿宋" w:eastAsia="仿宋" w:cs="宋体"/>
          <w:b/>
          <w:bCs/>
          <w:color w:val="auto"/>
          <w:sz w:val="28"/>
          <w:szCs w:val="28"/>
          <w:lang w:val="en-US" w:eastAsia="zh-CN"/>
        </w:rPr>
        <w:t>附件1：</w:t>
      </w:r>
      <w:r>
        <w:rPr>
          <w:rFonts w:hint="eastAsia" w:ascii="仿宋" w:hAnsi="仿宋" w:eastAsia="仿宋" w:cs="仿宋"/>
          <w:i w:val="0"/>
          <w:iCs w:val="0"/>
          <w:color w:val="000000"/>
          <w:sz w:val="28"/>
          <w:szCs w:val="28"/>
          <w:u w:val="none"/>
          <w:lang w:val="en-US" w:eastAsia="zh-CN"/>
        </w:rPr>
        <w:t>柳州市工人医院财务科智能票据柜参数需求</w:t>
      </w:r>
    </w:p>
    <w:tbl>
      <w:tblPr>
        <w:tblW w:w="9975" w:type="dxa"/>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10"/>
        <w:gridCol w:w="1065"/>
        <w:gridCol w:w="6885"/>
        <w:gridCol w:w="915"/>
      </w:tblGrid>
      <w:tr w14:paraId="397F0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14:paraId="7179AA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名称</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56DB31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模块</w:t>
            </w:r>
          </w:p>
        </w:tc>
        <w:tc>
          <w:tcPr>
            <w:tcW w:w="6885" w:type="dxa"/>
            <w:tcBorders>
              <w:top w:val="single" w:color="000000" w:sz="4" w:space="0"/>
              <w:left w:val="single" w:color="000000" w:sz="4" w:space="0"/>
              <w:bottom w:val="single" w:color="000000" w:sz="4" w:space="0"/>
              <w:right w:val="single" w:color="000000" w:sz="4" w:space="0"/>
            </w:tcBorders>
            <w:shd w:val="clear"/>
            <w:noWrap/>
            <w:vAlign w:val="center"/>
          </w:tcPr>
          <w:p w14:paraId="6205AA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参数</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00E49B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数量（单位）</w:t>
            </w:r>
          </w:p>
        </w:tc>
      </w:tr>
      <w:tr w14:paraId="230F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AF4DFFA">
            <w:pPr>
              <w:keepNext w:val="0"/>
              <w:keepLines w:val="0"/>
              <w:widowControl/>
              <w:suppressLineNumbers w:val="0"/>
              <w:jc w:val="center"/>
              <w:textAlignment w:val="center"/>
              <w:rPr>
                <w:rFonts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智能票据柜</w:t>
            </w:r>
          </w:p>
        </w:tc>
        <w:tc>
          <w:tcPr>
            <w:tcW w:w="106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17452BE">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硬件</w:t>
            </w: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6CC0278A">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成熟产品，整体布局合理，外形美观、大气，可丝印专属LOGO，表面喷塑。</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D29B09">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2台</w:t>
            </w:r>
          </w:p>
        </w:tc>
      </w:tr>
      <w:tr w14:paraId="63ED6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CC2A21">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C14146">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0CEC2461">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21.5寸电容触控操作屏，稳定可靠，使用寿命长。</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AE0967">
            <w:pPr>
              <w:jc w:val="center"/>
              <w:rPr>
                <w:rFonts w:hint="eastAsia" w:ascii="等线" w:hAnsi="等线" w:eastAsia="等线" w:cs="等线"/>
                <w:i w:val="0"/>
                <w:iCs w:val="0"/>
                <w:color w:val="000000"/>
                <w:sz w:val="18"/>
                <w:szCs w:val="18"/>
                <w:u w:val="none"/>
              </w:rPr>
            </w:pPr>
          </w:p>
        </w:tc>
      </w:tr>
      <w:tr w14:paraId="16DF2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7FBF1A">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157A3A">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180C3C4E">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采用高品质80页/分钟高速扫描仪，重叠进纸自动检测，支持单面或双面扫，24位真彩色，最高1200dpi，支持软开启，具有防卡纸装置。</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FD4C0B">
            <w:pPr>
              <w:jc w:val="center"/>
              <w:rPr>
                <w:rFonts w:hint="eastAsia" w:ascii="等线" w:hAnsi="等线" w:eastAsia="等线" w:cs="等线"/>
                <w:i w:val="0"/>
                <w:iCs w:val="0"/>
                <w:color w:val="000000"/>
                <w:sz w:val="18"/>
                <w:szCs w:val="18"/>
                <w:u w:val="none"/>
              </w:rPr>
            </w:pPr>
          </w:p>
        </w:tc>
      </w:tr>
      <w:tr w14:paraId="61FA0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EAFB9E">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0644CF">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5F0779A1">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信捷PLC，型号XD2-32T-C，程序设计合理，成熟稳定，历经验证。采用多台SMH2301电机、多台S-245D驱动器，内部电源24V，线路布局合理。</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CC8112">
            <w:pPr>
              <w:jc w:val="center"/>
              <w:rPr>
                <w:rFonts w:hint="eastAsia" w:ascii="等线" w:hAnsi="等线" w:eastAsia="等线" w:cs="等线"/>
                <w:i w:val="0"/>
                <w:iCs w:val="0"/>
                <w:color w:val="000000"/>
                <w:sz w:val="18"/>
                <w:szCs w:val="18"/>
                <w:u w:val="none"/>
              </w:rPr>
            </w:pPr>
          </w:p>
        </w:tc>
      </w:tr>
      <w:tr w14:paraId="4065E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98DA7A">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28EF28">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136998DF">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装订机容量 150针，装订纸厚度80 张，易拆卸。</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FD29A2">
            <w:pPr>
              <w:jc w:val="center"/>
              <w:rPr>
                <w:rFonts w:hint="eastAsia" w:ascii="等线" w:hAnsi="等线" w:eastAsia="等线" w:cs="等线"/>
                <w:i w:val="0"/>
                <w:iCs w:val="0"/>
                <w:color w:val="000000"/>
                <w:sz w:val="18"/>
                <w:szCs w:val="18"/>
                <w:u w:val="none"/>
              </w:rPr>
            </w:pPr>
          </w:p>
        </w:tc>
      </w:tr>
      <w:tr w14:paraId="2B37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072AC2">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1EB3F1">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1140DC9B">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票据仓：1个，5000页A4纸容量；复核仓：1个，2000页纸张容量；抵扣联仓：300份容量；免扫件仓：1个，3000页A4纸存储容量。</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1A90DE">
            <w:pPr>
              <w:jc w:val="center"/>
              <w:rPr>
                <w:rFonts w:hint="eastAsia" w:ascii="等线" w:hAnsi="等线" w:eastAsia="等线" w:cs="等线"/>
                <w:i w:val="0"/>
                <w:iCs w:val="0"/>
                <w:color w:val="000000"/>
                <w:sz w:val="18"/>
                <w:szCs w:val="18"/>
                <w:u w:val="none"/>
              </w:rPr>
            </w:pPr>
          </w:p>
        </w:tc>
      </w:tr>
      <w:tr w14:paraId="21CE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0372C7">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574FAE">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61A028D7">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卡纸故障警示、装订故障警示等，故障率低于0.1%。</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DAC850">
            <w:pPr>
              <w:jc w:val="center"/>
              <w:rPr>
                <w:rFonts w:hint="eastAsia" w:ascii="等线" w:hAnsi="等线" w:eastAsia="等线" w:cs="等线"/>
                <w:i w:val="0"/>
                <w:iCs w:val="0"/>
                <w:color w:val="000000"/>
                <w:sz w:val="18"/>
                <w:szCs w:val="18"/>
                <w:u w:val="none"/>
              </w:rPr>
            </w:pPr>
          </w:p>
        </w:tc>
      </w:tr>
      <w:tr w14:paraId="3422A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C9E9BF">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AB2BA8">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1824008A">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2个，系统控制开启，支持短信码。</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704293">
            <w:pPr>
              <w:jc w:val="center"/>
              <w:rPr>
                <w:rFonts w:hint="eastAsia" w:ascii="等线" w:hAnsi="等线" w:eastAsia="等线" w:cs="等线"/>
                <w:i w:val="0"/>
                <w:iCs w:val="0"/>
                <w:color w:val="000000"/>
                <w:sz w:val="18"/>
                <w:szCs w:val="18"/>
                <w:u w:val="none"/>
              </w:rPr>
            </w:pPr>
          </w:p>
        </w:tc>
      </w:tr>
      <w:tr w14:paraId="12F6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2A9014">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FBDD22">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4EEFF97F">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支持二维码及条码识别</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572857">
            <w:pPr>
              <w:jc w:val="center"/>
              <w:rPr>
                <w:rFonts w:hint="eastAsia" w:ascii="等线" w:hAnsi="等线" w:eastAsia="等线" w:cs="等线"/>
                <w:i w:val="0"/>
                <w:iCs w:val="0"/>
                <w:color w:val="000000"/>
                <w:sz w:val="18"/>
                <w:szCs w:val="18"/>
                <w:u w:val="none"/>
              </w:rPr>
            </w:pPr>
          </w:p>
        </w:tc>
      </w:tr>
      <w:tr w14:paraId="5E3A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BABD08">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8C3255">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3151FA62">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1000mm*740mm*1250mm（长宽高）</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596941">
            <w:pPr>
              <w:jc w:val="center"/>
              <w:rPr>
                <w:rFonts w:hint="eastAsia" w:ascii="等线" w:hAnsi="等线" w:eastAsia="等线" w:cs="等线"/>
                <w:i w:val="0"/>
                <w:iCs w:val="0"/>
                <w:color w:val="000000"/>
                <w:sz w:val="18"/>
                <w:szCs w:val="18"/>
                <w:u w:val="none"/>
              </w:rPr>
            </w:pPr>
          </w:p>
        </w:tc>
      </w:tr>
      <w:tr w14:paraId="1532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B4DF287">
            <w:pPr>
              <w:jc w:val="center"/>
              <w:rPr>
                <w:rFonts w:hint="eastAsia" w:ascii="等线" w:hAnsi="等线" w:eastAsia="等线" w:cs="等线"/>
                <w:i w:val="0"/>
                <w:iCs w:val="0"/>
                <w:color w:val="000000"/>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3E4224C">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软件功能</w:t>
            </w: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086ABFCC">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扫描报销单上的二维码，提取该二维码关联的报销流程数据及影像文件</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3ADF56">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w:t>
            </w:r>
          </w:p>
        </w:tc>
      </w:tr>
      <w:tr w14:paraId="48B9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714633">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8FD805">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7D3E1E79">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将报销的材料扫描出来，并生成投递影像文件。</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EF6878">
            <w:pPr>
              <w:jc w:val="center"/>
              <w:rPr>
                <w:rFonts w:hint="eastAsia" w:ascii="等线" w:hAnsi="等线" w:eastAsia="等线" w:cs="等线"/>
                <w:i w:val="0"/>
                <w:iCs w:val="0"/>
                <w:color w:val="000000"/>
                <w:sz w:val="18"/>
                <w:szCs w:val="18"/>
                <w:u w:val="none"/>
              </w:rPr>
            </w:pPr>
          </w:p>
        </w:tc>
      </w:tr>
      <w:tr w14:paraId="54E3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D57F75">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66072E">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4EAF79F3">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对报销影像和投递影像进行识别，并形成结构化的数据，包括图像识别、文本识别、表格识别等，支持PDF、Word、Excel、jpg、BMP、Gif等多种文件格式。</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3E9314">
            <w:pPr>
              <w:jc w:val="center"/>
              <w:rPr>
                <w:rFonts w:hint="eastAsia" w:ascii="等线" w:hAnsi="等线" w:eastAsia="等线" w:cs="等线"/>
                <w:i w:val="0"/>
                <w:iCs w:val="0"/>
                <w:color w:val="000000"/>
                <w:sz w:val="18"/>
                <w:szCs w:val="18"/>
                <w:u w:val="none"/>
              </w:rPr>
            </w:pPr>
          </w:p>
        </w:tc>
      </w:tr>
      <w:tr w14:paraId="3E6F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76ABBD">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D0AAF8">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6D89A7D1">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利用OCR识别结果对报销流程中的影像文件（含附件）进行解析，包括发票解析、文本解析、图片解析等。文本解析分析包括合同、协议、预算结算、工作汇报等。</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A18EB4">
            <w:pPr>
              <w:jc w:val="center"/>
              <w:rPr>
                <w:rFonts w:hint="eastAsia" w:ascii="等线" w:hAnsi="等线" w:eastAsia="等线" w:cs="等线"/>
                <w:i w:val="0"/>
                <w:iCs w:val="0"/>
                <w:color w:val="000000"/>
                <w:sz w:val="18"/>
                <w:szCs w:val="18"/>
                <w:u w:val="none"/>
              </w:rPr>
            </w:pPr>
          </w:p>
        </w:tc>
      </w:tr>
      <w:tr w14:paraId="44FB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92D10D">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68F91C">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1A383C29">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利用OCR是被生成的结构化数据，将投递的影像材料和报销流程中的影像材料进行比对，比对一致的进行一一配对，直到完全配对成功为止。既包括发票配对，也包括非票附件配对。</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6360A5">
            <w:pPr>
              <w:jc w:val="center"/>
              <w:rPr>
                <w:rFonts w:hint="eastAsia" w:ascii="等线" w:hAnsi="等线" w:eastAsia="等线" w:cs="等线"/>
                <w:i w:val="0"/>
                <w:iCs w:val="0"/>
                <w:color w:val="000000"/>
                <w:sz w:val="18"/>
                <w:szCs w:val="18"/>
                <w:u w:val="none"/>
              </w:rPr>
            </w:pPr>
          </w:p>
        </w:tc>
      </w:tr>
      <w:tr w14:paraId="34D3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079F6B">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5EBF66">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21D8C4E2">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自动匹配不能成功的，可以进行人工再次配对，直到全部配对完成为止。支持一对多配对。</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C90EFD">
            <w:pPr>
              <w:jc w:val="center"/>
              <w:rPr>
                <w:rFonts w:hint="eastAsia" w:ascii="等线" w:hAnsi="等线" w:eastAsia="等线" w:cs="等线"/>
                <w:i w:val="0"/>
                <w:iCs w:val="0"/>
                <w:color w:val="000000"/>
                <w:sz w:val="18"/>
                <w:szCs w:val="18"/>
                <w:u w:val="none"/>
              </w:rPr>
            </w:pPr>
          </w:p>
        </w:tc>
      </w:tr>
      <w:tr w14:paraId="38E31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DB7EC8">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D62ADF2">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1619A699">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对特殊类型的报销材料，不能进行扫描投递的，再进行登记后，通过免扫件的方式投递到免扫件仓。</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53CFAA">
            <w:pPr>
              <w:jc w:val="center"/>
              <w:rPr>
                <w:rFonts w:hint="eastAsia" w:ascii="等线" w:hAnsi="等线" w:eastAsia="等线" w:cs="等线"/>
                <w:i w:val="0"/>
                <w:iCs w:val="0"/>
                <w:color w:val="000000"/>
                <w:sz w:val="18"/>
                <w:szCs w:val="18"/>
                <w:u w:val="none"/>
              </w:rPr>
            </w:pPr>
          </w:p>
        </w:tc>
      </w:tr>
      <w:tr w14:paraId="21FA3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A82010">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334DE9">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62681DF9">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比对成功的报销材料进行装订，同时收纳到票据仓中。</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FB21D4">
            <w:pPr>
              <w:jc w:val="center"/>
              <w:rPr>
                <w:rFonts w:hint="eastAsia" w:ascii="等线" w:hAnsi="等线" w:eastAsia="等线" w:cs="等线"/>
                <w:i w:val="0"/>
                <w:iCs w:val="0"/>
                <w:color w:val="000000"/>
                <w:sz w:val="18"/>
                <w:szCs w:val="18"/>
                <w:u w:val="none"/>
              </w:rPr>
            </w:pPr>
          </w:p>
        </w:tc>
      </w:tr>
      <w:tr w14:paraId="06465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1ABD57">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DE2ADD">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10D52AEB">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比对不成功的报销材料，提示报销人缺少哪些材料，同时退出该次投递的全部材料。</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C32494">
            <w:pPr>
              <w:jc w:val="center"/>
              <w:rPr>
                <w:rFonts w:hint="eastAsia" w:ascii="等线" w:hAnsi="等线" w:eastAsia="等线" w:cs="等线"/>
                <w:i w:val="0"/>
                <w:iCs w:val="0"/>
                <w:color w:val="000000"/>
                <w:sz w:val="18"/>
                <w:szCs w:val="18"/>
                <w:u w:val="none"/>
              </w:rPr>
            </w:pPr>
          </w:p>
        </w:tc>
      </w:tr>
      <w:tr w14:paraId="18B3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82840D">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6C02A4">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0EE4D2E1">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纸张数量、钉子数量、接口设置、网络设置等</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7EB6B3">
            <w:pPr>
              <w:jc w:val="center"/>
              <w:rPr>
                <w:rFonts w:hint="eastAsia" w:ascii="等线" w:hAnsi="等线" w:eastAsia="等线" w:cs="等线"/>
                <w:i w:val="0"/>
                <w:iCs w:val="0"/>
                <w:color w:val="000000"/>
                <w:sz w:val="18"/>
                <w:szCs w:val="18"/>
                <w:u w:val="none"/>
              </w:rPr>
            </w:pPr>
          </w:p>
        </w:tc>
      </w:tr>
      <w:tr w14:paraId="26EBD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F8EAD3">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9993BC">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7FF47950">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投递页面采用向导式操作引导，同时支持语音同步提示。</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D65DD6">
            <w:pPr>
              <w:jc w:val="center"/>
              <w:rPr>
                <w:rFonts w:hint="eastAsia" w:ascii="等线" w:hAnsi="等线" w:eastAsia="等线" w:cs="等线"/>
                <w:i w:val="0"/>
                <w:iCs w:val="0"/>
                <w:color w:val="000000"/>
                <w:sz w:val="18"/>
                <w:szCs w:val="18"/>
                <w:u w:val="none"/>
              </w:rPr>
            </w:pPr>
          </w:p>
        </w:tc>
      </w:tr>
      <w:tr w14:paraId="1D5DC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326BCD">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042670">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3E2036E6">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在智能票据柜投递时进行了人工匹配操作的流程，需要在后台进行人工二次复核。</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3DF4CE">
            <w:pPr>
              <w:jc w:val="center"/>
              <w:rPr>
                <w:rFonts w:hint="eastAsia" w:ascii="等线" w:hAnsi="等线" w:eastAsia="等线" w:cs="等线"/>
                <w:i w:val="0"/>
                <w:iCs w:val="0"/>
                <w:color w:val="000000"/>
                <w:sz w:val="18"/>
                <w:szCs w:val="18"/>
                <w:u w:val="none"/>
              </w:rPr>
            </w:pPr>
          </w:p>
        </w:tc>
      </w:tr>
      <w:tr w14:paraId="2A48A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D4F345">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FE643A">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608A2C1A">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支持两种驳回：1.驳回到上一个流程节点；2.驳回此次投递操作，重新投递</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B01AB3">
            <w:pPr>
              <w:jc w:val="center"/>
              <w:rPr>
                <w:rFonts w:hint="eastAsia" w:ascii="等线" w:hAnsi="等线" w:eastAsia="等线" w:cs="等线"/>
                <w:i w:val="0"/>
                <w:iCs w:val="0"/>
                <w:color w:val="000000"/>
                <w:sz w:val="18"/>
                <w:szCs w:val="18"/>
                <w:u w:val="none"/>
              </w:rPr>
            </w:pPr>
          </w:p>
        </w:tc>
      </w:tr>
      <w:tr w14:paraId="7B30C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C3824E">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4FE3A9">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6273910E">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对报销影像解析失败的影像再次进行OCR识别，重新生成结构化数据。</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4A1863">
            <w:pPr>
              <w:jc w:val="center"/>
              <w:rPr>
                <w:rFonts w:hint="eastAsia" w:ascii="等线" w:hAnsi="等线" w:eastAsia="等线" w:cs="等线"/>
                <w:i w:val="0"/>
                <w:iCs w:val="0"/>
                <w:color w:val="000000"/>
                <w:sz w:val="18"/>
                <w:szCs w:val="18"/>
                <w:u w:val="none"/>
              </w:rPr>
            </w:pPr>
          </w:p>
        </w:tc>
      </w:tr>
      <w:tr w14:paraId="48CD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97C50B">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0E72B1">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151C49E2">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查询投递的记录及影像，包括报销影像和投递影像。</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3273DB">
            <w:pPr>
              <w:jc w:val="center"/>
              <w:rPr>
                <w:rFonts w:hint="eastAsia" w:ascii="等线" w:hAnsi="等线" w:eastAsia="等线" w:cs="等线"/>
                <w:i w:val="0"/>
                <w:iCs w:val="0"/>
                <w:color w:val="000000"/>
                <w:sz w:val="18"/>
                <w:szCs w:val="18"/>
                <w:u w:val="none"/>
              </w:rPr>
            </w:pPr>
          </w:p>
        </w:tc>
      </w:tr>
      <w:tr w14:paraId="4AFE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428356">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27050C">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4A9FE895">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电子专票的抵扣联进行集中打印，打印后标记 “已打印”。</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6C0C85">
            <w:pPr>
              <w:jc w:val="center"/>
              <w:rPr>
                <w:rFonts w:hint="eastAsia" w:ascii="等线" w:hAnsi="等线" w:eastAsia="等线" w:cs="等线"/>
                <w:i w:val="0"/>
                <w:iCs w:val="0"/>
                <w:color w:val="000000"/>
                <w:sz w:val="18"/>
                <w:szCs w:val="18"/>
                <w:u w:val="none"/>
              </w:rPr>
            </w:pPr>
          </w:p>
        </w:tc>
      </w:tr>
      <w:tr w14:paraId="2FE24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838532">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1D5765">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56BFEFAB">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对电子发票进行统计。</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C9EB32">
            <w:pPr>
              <w:jc w:val="center"/>
              <w:rPr>
                <w:rFonts w:hint="eastAsia" w:ascii="等线" w:hAnsi="等线" w:eastAsia="等线" w:cs="等线"/>
                <w:i w:val="0"/>
                <w:iCs w:val="0"/>
                <w:color w:val="000000"/>
                <w:sz w:val="18"/>
                <w:szCs w:val="18"/>
                <w:u w:val="none"/>
              </w:rPr>
            </w:pPr>
          </w:p>
        </w:tc>
      </w:tr>
      <w:tr w14:paraId="321A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17DF1F">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3DE0FF">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2A392DFB">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对电子发票进行登记。</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480621">
            <w:pPr>
              <w:jc w:val="center"/>
              <w:rPr>
                <w:rFonts w:hint="eastAsia" w:ascii="等线" w:hAnsi="等线" w:eastAsia="等线" w:cs="等线"/>
                <w:i w:val="0"/>
                <w:iCs w:val="0"/>
                <w:color w:val="000000"/>
                <w:sz w:val="18"/>
                <w:szCs w:val="18"/>
                <w:u w:val="none"/>
              </w:rPr>
            </w:pPr>
          </w:p>
        </w:tc>
      </w:tr>
      <w:tr w14:paraId="5DA4D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15712A">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F57FFD">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62B02FD9">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设备的运行状态，收集仓的使用情况，钉子的使用情况等。</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EC5CAF">
            <w:pPr>
              <w:jc w:val="center"/>
              <w:rPr>
                <w:rFonts w:hint="eastAsia" w:ascii="等线" w:hAnsi="等线" w:eastAsia="等线" w:cs="等线"/>
                <w:i w:val="0"/>
                <w:iCs w:val="0"/>
                <w:color w:val="000000"/>
                <w:sz w:val="18"/>
                <w:szCs w:val="18"/>
                <w:u w:val="none"/>
              </w:rPr>
            </w:pPr>
          </w:p>
        </w:tc>
      </w:tr>
      <w:tr w14:paraId="1EA53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4185A5">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1B2E4B0">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43D83F0D">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该收单系统的用户进行管理，支持多用户使用。</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DDAADD">
            <w:pPr>
              <w:jc w:val="center"/>
              <w:rPr>
                <w:rFonts w:hint="eastAsia" w:ascii="等线" w:hAnsi="等线" w:eastAsia="等线" w:cs="等线"/>
                <w:i w:val="0"/>
                <w:iCs w:val="0"/>
                <w:color w:val="000000"/>
                <w:sz w:val="18"/>
                <w:szCs w:val="18"/>
                <w:u w:val="none"/>
              </w:rPr>
            </w:pPr>
          </w:p>
        </w:tc>
      </w:tr>
      <w:tr w14:paraId="43647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AB0A54">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65772D">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70EB026A">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该收单系统的组织进行管理，支持多组织使用。</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CB4719">
            <w:pPr>
              <w:jc w:val="center"/>
              <w:rPr>
                <w:rFonts w:hint="eastAsia" w:ascii="等线" w:hAnsi="等线" w:eastAsia="等线" w:cs="等线"/>
                <w:i w:val="0"/>
                <w:iCs w:val="0"/>
                <w:color w:val="000000"/>
                <w:sz w:val="18"/>
                <w:szCs w:val="18"/>
                <w:u w:val="none"/>
              </w:rPr>
            </w:pPr>
          </w:p>
        </w:tc>
      </w:tr>
      <w:tr w14:paraId="00809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3F19DB">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C49F34">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252123D1">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管理报销人的联系电话，便于短信通知。</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E4C4BA">
            <w:pPr>
              <w:jc w:val="center"/>
              <w:rPr>
                <w:rFonts w:hint="eastAsia" w:ascii="等线" w:hAnsi="等线" w:eastAsia="等线" w:cs="等线"/>
                <w:i w:val="0"/>
                <w:iCs w:val="0"/>
                <w:color w:val="000000"/>
                <w:sz w:val="18"/>
                <w:szCs w:val="18"/>
                <w:u w:val="none"/>
              </w:rPr>
            </w:pPr>
          </w:p>
        </w:tc>
      </w:tr>
      <w:tr w14:paraId="687E5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D349A8">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2E8506">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316966F3">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短信通知时，可进行模板化编辑短信内容。</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42696B">
            <w:pPr>
              <w:jc w:val="center"/>
              <w:rPr>
                <w:rFonts w:hint="eastAsia" w:ascii="等线" w:hAnsi="等线" w:eastAsia="等线" w:cs="等线"/>
                <w:i w:val="0"/>
                <w:iCs w:val="0"/>
                <w:color w:val="000000"/>
                <w:sz w:val="18"/>
                <w:szCs w:val="18"/>
                <w:u w:val="none"/>
              </w:rPr>
            </w:pPr>
          </w:p>
        </w:tc>
      </w:tr>
      <w:tr w14:paraId="46D9A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519F2E">
            <w:pPr>
              <w:jc w:val="center"/>
              <w:rPr>
                <w:rFonts w:hint="eastAsia" w:ascii="等线" w:hAnsi="等线" w:eastAsia="等线" w:cs="等线"/>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9BE872">
            <w:pPr>
              <w:jc w:val="center"/>
              <w:rPr>
                <w:rFonts w:hint="eastAsia" w:ascii="等线" w:hAnsi="等线" w:eastAsia="等线" w:cs="等线"/>
                <w:i w:val="0"/>
                <w:iCs w:val="0"/>
                <w:color w:val="000000"/>
                <w:sz w:val="18"/>
                <w:szCs w:val="18"/>
                <w:u w:val="none"/>
              </w:rPr>
            </w:pP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705250C4">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采集报销系统的各项数据进入收单机器人系统，并把比对结果回写</w:t>
            </w: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039E35">
            <w:pPr>
              <w:jc w:val="center"/>
              <w:rPr>
                <w:rFonts w:hint="eastAsia" w:ascii="等线" w:hAnsi="等线" w:eastAsia="等线" w:cs="等线"/>
                <w:i w:val="0"/>
                <w:iCs w:val="0"/>
                <w:color w:val="000000"/>
                <w:sz w:val="18"/>
                <w:szCs w:val="18"/>
                <w:u w:val="none"/>
              </w:rPr>
            </w:pPr>
          </w:p>
        </w:tc>
      </w:tr>
      <w:tr w14:paraId="6A968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F54A8A">
            <w:pPr>
              <w:jc w:val="center"/>
              <w:rPr>
                <w:rFonts w:hint="eastAsia" w:ascii="等线" w:hAnsi="等线" w:eastAsia="等线" w:cs="等线"/>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14:paraId="2F91CFB1">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其他</w:t>
            </w:r>
          </w:p>
        </w:tc>
        <w:tc>
          <w:tcPr>
            <w:tcW w:w="6885" w:type="dxa"/>
            <w:tcBorders>
              <w:top w:val="single" w:color="000000" w:sz="4" w:space="0"/>
              <w:left w:val="single" w:color="000000" w:sz="4" w:space="0"/>
              <w:bottom w:val="single" w:color="000000" w:sz="4" w:space="0"/>
              <w:right w:val="single" w:color="000000" w:sz="4" w:space="0"/>
            </w:tcBorders>
            <w:shd w:val="clear"/>
            <w:vAlign w:val="center"/>
          </w:tcPr>
          <w:p w14:paraId="4BD89297">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运输、安装、调试全包，质保期不少于三年</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E6EAD85">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1项</w:t>
            </w:r>
          </w:p>
        </w:tc>
      </w:tr>
    </w:tbl>
    <w:p w14:paraId="084584E2">
      <w:pPr>
        <w:numPr>
          <w:ilvl w:val="0"/>
          <w:numId w:val="0"/>
        </w:numPr>
        <w:spacing w:line="240" w:lineRule="auto"/>
        <w:rPr>
          <w:rFonts w:hint="eastAsia" w:ascii="仿宋" w:hAnsi="仿宋" w:eastAsia="仿宋" w:cs="宋体"/>
          <w:b/>
          <w:bCs/>
          <w:color w:val="auto"/>
          <w:sz w:val="21"/>
          <w:szCs w:val="21"/>
          <w:lang w:val="en-US" w:eastAsia="zh-CN"/>
        </w:rPr>
      </w:pPr>
    </w:p>
    <w:p w14:paraId="11C02C52">
      <w:pPr>
        <w:numPr>
          <w:ilvl w:val="0"/>
          <w:numId w:val="0"/>
        </w:numPr>
        <w:spacing w:line="240" w:lineRule="auto"/>
        <w:rPr>
          <w:rFonts w:hint="eastAsia" w:ascii="仿宋" w:hAnsi="仿宋" w:eastAsia="仿宋" w:cs="宋体"/>
          <w:b/>
          <w:bCs/>
          <w:color w:val="auto"/>
          <w:sz w:val="21"/>
          <w:szCs w:val="21"/>
          <w:lang w:val="en-US" w:eastAsia="zh-CN"/>
        </w:rPr>
      </w:pPr>
    </w:p>
    <w:p w14:paraId="30B118CC">
      <w:pPr>
        <w:numPr>
          <w:ilvl w:val="0"/>
          <w:numId w:val="0"/>
        </w:numPr>
        <w:spacing w:line="560" w:lineRule="exac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附件2：报价模板</w:t>
      </w:r>
    </w:p>
    <w:tbl>
      <w:tblPr>
        <w:tblStyle w:val="6"/>
        <w:tblW w:w="10080"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5"/>
        <w:gridCol w:w="1373"/>
        <w:gridCol w:w="2032"/>
        <w:gridCol w:w="825"/>
        <w:gridCol w:w="1080"/>
        <w:gridCol w:w="1140"/>
        <w:gridCol w:w="1425"/>
      </w:tblGrid>
      <w:tr w14:paraId="7473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50" w:type="dxa"/>
            <w:noWrap w:val="0"/>
            <w:vAlign w:val="center"/>
          </w:tcPr>
          <w:p w14:paraId="5747E3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455" w:type="dxa"/>
            <w:noWrap w:val="0"/>
            <w:vAlign w:val="center"/>
          </w:tcPr>
          <w:p w14:paraId="1DA6A1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名称</w:t>
            </w:r>
          </w:p>
        </w:tc>
        <w:tc>
          <w:tcPr>
            <w:tcW w:w="1373" w:type="dxa"/>
            <w:noWrap w:val="0"/>
            <w:vAlign w:val="center"/>
          </w:tcPr>
          <w:p w14:paraId="7C2B47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品牌型号</w:t>
            </w:r>
          </w:p>
        </w:tc>
        <w:tc>
          <w:tcPr>
            <w:tcW w:w="2032" w:type="dxa"/>
            <w:noWrap w:val="0"/>
            <w:vAlign w:val="center"/>
          </w:tcPr>
          <w:p w14:paraId="63667F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参数</w:t>
            </w:r>
          </w:p>
        </w:tc>
        <w:tc>
          <w:tcPr>
            <w:tcW w:w="825" w:type="dxa"/>
            <w:noWrap w:val="0"/>
            <w:vAlign w:val="center"/>
          </w:tcPr>
          <w:p w14:paraId="620294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080" w:type="dxa"/>
            <w:noWrap w:val="0"/>
            <w:vAlign w:val="center"/>
          </w:tcPr>
          <w:p w14:paraId="06512C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单价</w:t>
            </w:r>
            <w:r>
              <w:rPr>
                <w:rFonts w:hint="eastAsia" w:ascii="仿宋" w:hAnsi="仿宋" w:eastAsia="仿宋" w:cs="仿宋"/>
                <w:b/>
                <w:bCs/>
                <w:sz w:val="24"/>
                <w:szCs w:val="24"/>
                <w:lang w:val="en-US" w:eastAsia="zh-CN"/>
              </w:rPr>
              <w:t>（元）</w:t>
            </w:r>
          </w:p>
        </w:tc>
        <w:tc>
          <w:tcPr>
            <w:tcW w:w="1140" w:type="dxa"/>
            <w:noWrap w:val="0"/>
            <w:vAlign w:val="center"/>
          </w:tcPr>
          <w:p w14:paraId="071B07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总价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元</w:t>
            </w:r>
            <w:r>
              <w:rPr>
                <w:rFonts w:hint="eastAsia" w:ascii="仿宋" w:hAnsi="仿宋" w:eastAsia="仿宋" w:cs="仿宋"/>
                <w:b/>
                <w:bCs/>
                <w:sz w:val="24"/>
                <w:szCs w:val="24"/>
                <w:lang w:eastAsia="zh-CN"/>
              </w:rPr>
              <w:t>）</w:t>
            </w:r>
          </w:p>
        </w:tc>
        <w:tc>
          <w:tcPr>
            <w:tcW w:w="1425" w:type="dxa"/>
            <w:noWrap w:val="0"/>
            <w:vAlign w:val="center"/>
          </w:tcPr>
          <w:p w14:paraId="352F2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质保期</w:t>
            </w:r>
            <w:bookmarkStart w:id="0" w:name="_GoBack"/>
            <w:bookmarkEnd w:id="0"/>
          </w:p>
        </w:tc>
      </w:tr>
      <w:tr w14:paraId="0125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50" w:type="dxa"/>
            <w:vMerge w:val="restart"/>
            <w:noWrap w:val="0"/>
            <w:vAlign w:val="center"/>
          </w:tcPr>
          <w:p w14:paraId="08F92B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55" w:type="dxa"/>
            <w:vMerge w:val="restart"/>
            <w:noWrap w:val="0"/>
            <w:vAlign w:val="center"/>
          </w:tcPr>
          <w:p w14:paraId="5A36E4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智能票据柜</w:t>
            </w:r>
          </w:p>
        </w:tc>
        <w:tc>
          <w:tcPr>
            <w:tcW w:w="1373" w:type="dxa"/>
            <w:noWrap w:val="0"/>
            <w:vAlign w:val="center"/>
          </w:tcPr>
          <w:p w14:paraId="1AE512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硬件：</w:t>
            </w:r>
          </w:p>
        </w:tc>
        <w:tc>
          <w:tcPr>
            <w:tcW w:w="2032" w:type="dxa"/>
            <w:noWrap w:val="0"/>
            <w:vAlign w:val="center"/>
          </w:tcPr>
          <w:p w14:paraId="65E3DF0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825" w:type="dxa"/>
            <w:noWrap w:val="0"/>
            <w:vAlign w:val="center"/>
          </w:tcPr>
          <w:p w14:paraId="14E29F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2台</w:t>
            </w:r>
          </w:p>
        </w:tc>
        <w:tc>
          <w:tcPr>
            <w:tcW w:w="1080" w:type="dxa"/>
            <w:noWrap w:val="0"/>
            <w:vAlign w:val="center"/>
          </w:tcPr>
          <w:p w14:paraId="2D1C00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1140" w:type="dxa"/>
            <w:noWrap w:val="0"/>
            <w:vAlign w:val="center"/>
          </w:tcPr>
          <w:p w14:paraId="532B3B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rPr>
            </w:pPr>
          </w:p>
        </w:tc>
        <w:tc>
          <w:tcPr>
            <w:tcW w:w="1425" w:type="dxa"/>
            <w:noWrap w:val="0"/>
            <w:vAlign w:val="top"/>
          </w:tcPr>
          <w:p w14:paraId="2DB507E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rPr>
            </w:pPr>
          </w:p>
        </w:tc>
      </w:tr>
      <w:tr w14:paraId="592A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50" w:type="dxa"/>
            <w:vMerge w:val="continue"/>
            <w:tcBorders/>
            <w:noWrap w:val="0"/>
            <w:vAlign w:val="center"/>
          </w:tcPr>
          <w:p w14:paraId="6072A1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1455" w:type="dxa"/>
            <w:vMerge w:val="continue"/>
            <w:tcBorders/>
            <w:noWrap w:val="0"/>
            <w:vAlign w:val="center"/>
          </w:tcPr>
          <w:p w14:paraId="28CAAF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rPr>
            </w:pPr>
          </w:p>
        </w:tc>
        <w:tc>
          <w:tcPr>
            <w:tcW w:w="1373" w:type="dxa"/>
            <w:noWrap w:val="0"/>
            <w:vAlign w:val="center"/>
          </w:tcPr>
          <w:p w14:paraId="483EE0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软件：</w:t>
            </w:r>
          </w:p>
        </w:tc>
        <w:tc>
          <w:tcPr>
            <w:tcW w:w="2032" w:type="dxa"/>
            <w:noWrap w:val="0"/>
            <w:vAlign w:val="center"/>
          </w:tcPr>
          <w:p w14:paraId="73BDCC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825" w:type="dxa"/>
            <w:noWrap w:val="0"/>
            <w:vAlign w:val="center"/>
          </w:tcPr>
          <w:p w14:paraId="59C5DA4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080" w:type="dxa"/>
            <w:noWrap w:val="0"/>
            <w:vAlign w:val="center"/>
          </w:tcPr>
          <w:p w14:paraId="195EE3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1140" w:type="dxa"/>
            <w:noWrap w:val="0"/>
            <w:vAlign w:val="center"/>
          </w:tcPr>
          <w:p w14:paraId="2F082D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rPr>
            </w:pPr>
          </w:p>
        </w:tc>
        <w:tc>
          <w:tcPr>
            <w:tcW w:w="1425" w:type="dxa"/>
            <w:noWrap w:val="0"/>
            <w:vAlign w:val="top"/>
          </w:tcPr>
          <w:p w14:paraId="5CBC52D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highlight w:val="none"/>
                <w:lang w:val="en-US" w:eastAsia="zh-CN"/>
              </w:rPr>
            </w:pPr>
          </w:p>
        </w:tc>
      </w:tr>
      <w:tr w14:paraId="7941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515" w:type="dxa"/>
            <w:gridSpan w:val="6"/>
            <w:shd w:val="clear" w:color="auto" w:fill="auto"/>
            <w:noWrap w:val="0"/>
            <w:vAlign w:val="center"/>
          </w:tcPr>
          <w:p w14:paraId="22B9F9A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小计</w:t>
            </w:r>
          </w:p>
        </w:tc>
        <w:tc>
          <w:tcPr>
            <w:tcW w:w="1140" w:type="dxa"/>
            <w:shd w:val="clear" w:color="auto" w:fill="auto"/>
            <w:noWrap w:val="0"/>
            <w:vAlign w:val="center"/>
          </w:tcPr>
          <w:p w14:paraId="3621DE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kern w:val="2"/>
                <w:sz w:val="24"/>
                <w:szCs w:val="24"/>
                <w:lang w:val="en-US" w:eastAsia="zh-CN" w:bidi="ar-SA"/>
              </w:rPr>
            </w:pPr>
          </w:p>
        </w:tc>
        <w:tc>
          <w:tcPr>
            <w:tcW w:w="1425" w:type="dxa"/>
            <w:shd w:val="clear" w:color="auto" w:fill="auto"/>
            <w:noWrap w:val="0"/>
            <w:vAlign w:val="top"/>
          </w:tcPr>
          <w:p w14:paraId="4C9541C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bCs/>
                <w:sz w:val="24"/>
                <w:szCs w:val="24"/>
                <w:highlight w:val="yellow"/>
                <w:lang w:val="en-US" w:eastAsia="zh-CN"/>
              </w:rPr>
            </w:pPr>
          </w:p>
        </w:tc>
      </w:tr>
    </w:tbl>
    <w:p w14:paraId="1D4D3701">
      <w:pPr>
        <w:numPr>
          <w:ilvl w:val="0"/>
          <w:numId w:val="0"/>
        </w:numPr>
        <w:spacing w:line="560" w:lineRule="exact"/>
        <w:rPr>
          <w:rFonts w:hint="default" w:ascii="仿宋" w:hAnsi="仿宋" w:eastAsia="仿宋" w:cs="宋体"/>
          <w:b/>
          <w:bCs/>
          <w:color w:val="auto"/>
          <w:sz w:val="24"/>
          <w:szCs w:val="24"/>
          <w:lang w:val="en-US" w:eastAsia="zh-CN"/>
        </w:rPr>
      </w:pPr>
    </w:p>
    <w:sectPr>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1" w:fontKey="{97779DB8-D1BB-4075-9638-BA9DEFAEBC7F}"/>
  </w:font>
  <w:font w:name="方正大标宋简体">
    <w:panose1 w:val="02000000000000000000"/>
    <w:charset w:val="86"/>
    <w:family w:val="auto"/>
    <w:pitch w:val="default"/>
    <w:sig w:usb0="A00002BF" w:usb1="184F6CFA" w:usb2="00000012" w:usb3="00000000" w:csb0="00040001" w:csb1="00000000"/>
    <w:embedRegular r:id="rId2" w:fontKey="{B8D90668-7DE4-4CC9-A778-DE2F2E4C6BCB}"/>
  </w:font>
  <w:font w:name="等线">
    <w:panose1 w:val="02010600030101010101"/>
    <w:charset w:val="86"/>
    <w:family w:val="auto"/>
    <w:pitch w:val="default"/>
    <w:sig w:usb0="A00002BF" w:usb1="38CF7CFA" w:usb2="00000016" w:usb3="00000000" w:csb0="0004000F" w:csb1="00000000"/>
    <w:embedRegular r:id="rId3" w:fontKey="{84A85537-3CDD-4B2F-802F-1BBE557F2E8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769E1"/>
    <w:multiLevelType w:val="singleLevel"/>
    <w:tmpl w:val="F8F769E1"/>
    <w:lvl w:ilvl="0" w:tentative="0">
      <w:start w:val="4"/>
      <w:numFmt w:val="chineseCounting"/>
      <w:suff w:val="nothing"/>
      <w:lvlText w:val="%1、"/>
      <w:lvlJc w:val="left"/>
      <w:rPr>
        <w:rFonts w:hint="eastAsia"/>
      </w:rPr>
    </w:lvl>
  </w:abstractNum>
  <w:abstractNum w:abstractNumId="1">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2">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ZGY4YTJjNTMyY2VmNjgwMmU5MmJkM2U0ZDJjNmUifQ=="/>
  </w:docVars>
  <w:rsids>
    <w:rsidRoot w:val="00000000"/>
    <w:rsid w:val="01D77DD3"/>
    <w:rsid w:val="057B460B"/>
    <w:rsid w:val="05827A9F"/>
    <w:rsid w:val="07436627"/>
    <w:rsid w:val="076A07D0"/>
    <w:rsid w:val="09D816B5"/>
    <w:rsid w:val="0AC16348"/>
    <w:rsid w:val="0C2F1B4D"/>
    <w:rsid w:val="0D9F053B"/>
    <w:rsid w:val="118F08F7"/>
    <w:rsid w:val="12315A0C"/>
    <w:rsid w:val="12A81E0B"/>
    <w:rsid w:val="13B3116D"/>
    <w:rsid w:val="15C31693"/>
    <w:rsid w:val="195262CB"/>
    <w:rsid w:val="196B3831"/>
    <w:rsid w:val="1BF738CC"/>
    <w:rsid w:val="1C5A7DD5"/>
    <w:rsid w:val="21532B3C"/>
    <w:rsid w:val="21B44766"/>
    <w:rsid w:val="21F46E37"/>
    <w:rsid w:val="25187CFB"/>
    <w:rsid w:val="28C564BC"/>
    <w:rsid w:val="2B84320A"/>
    <w:rsid w:val="2BB5612C"/>
    <w:rsid w:val="2E953036"/>
    <w:rsid w:val="2FFA5A1D"/>
    <w:rsid w:val="358A7369"/>
    <w:rsid w:val="366F684B"/>
    <w:rsid w:val="36F24E08"/>
    <w:rsid w:val="3E740EBA"/>
    <w:rsid w:val="3EAF238B"/>
    <w:rsid w:val="3F624C2A"/>
    <w:rsid w:val="40FC0E31"/>
    <w:rsid w:val="443D4D86"/>
    <w:rsid w:val="45886D5E"/>
    <w:rsid w:val="48D974E5"/>
    <w:rsid w:val="4CD7788D"/>
    <w:rsid w:val="4F6A288A"/>
    <w:rsid w:val="5016109C"/>
    <w:rsid w:val="50C63B11"/>
    <w:rsid w:val="53735520"/>
    <w:rsid w:val="5604291B"/>
    <w:rsid w:val="56BD1CF7"/>
    <w:rsid w:val="577F6B71"/>
    <w:rsid w:val="57EF08E0"/>
    <w:rsid w:val="58326A3C"/>
    <w:rsid w:val="59821F89"/>
    <w:rsid w:val="5A205A4D"/>
    <w:rsid w:val="5DFD6725"/>
    <w:rsid w:val="6362054B"/>
    <w:rsid w:val="638004A4"/>
    <w:rsid w:val="66B0041C"/>
    <w:rsid w:val="69D6694F"/>
    <w:rsid w:val="6C80565D"/>
    <w:rsid w:val="6D0D3798"/>
    <w:rsid w:val="6D94770D"/>
    <w:rsid w:val="6E354A83"/>
    <w:rsid w:val="769D3E02"/>
    <w:rsid w:val="781E5AAD"/>
    <w:rsid w:val="7B8702B0"/>
    <w:rsid w:val="7B8A32AA"/>
    <w:rsid w:val="7BE6404E"/>
    <w:rsid w:val="7D4D1F10"/>
    <w:rsid w:val="7D54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lang w:val="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styleId="10">
    <w:name w:val="List Paragraph"/>
    <w:basedOn w:val="1"/>
    <w:unhideWhenUsed/>
    <w:qFormat/>
    <w:uiPriority w:val="0"/>
    <w:pPr>
      <w:ind w:firstLine="420" w:firstLineChars="200"/>
    </w:pPr>
  </w:style>
  <w:style w:type="character" w:customStyle="1" w:styleId="11">
    <w:name w:val="font41"/>
    <w:basedOn w:val="8"/>
    <w:qFormat/>
    <w:uiPriority w:val="0"/>
    <w:rPr>
      <w:rFonts w:hint="eastAsia" w:ascii="宋体" w:hAnsi="宋体" w:eastAsia="宋体" w:cs="宋体"/>
      <w:color w:val="000000"/>
      <w:sz w:val="24"/>
      <w:szCs w:val="24"/>
      <w:u w:val="none"/>
    </w:rPr>
  </w:style>
  <w:style w:type="character" w:customStyle="1" w:styleId="12">
    <w:name w:val="font71"/>
    <w:basedOn w:val="8"/>
    <w:qFormat/>
    <w:uiPriority w:val="0"/>
    <w:rPr>
      <w:rFonts w:hint="eastAsia" w:ascii="宋体" w:hAnsi="宋体" w:eastAsia="宋体" w:cs="宋体"/>
      <w:b/>
      <w:bCs/>
      <w:color w:val="000000"/>
      <w:sz w:val="24"/>
      <w:szCs w:val="24"/>
      <w:u w:val="none"/>
    </w:rPr>
  </w:style>
  <w:style w:type="character" w:customStyle="1" w:styleId="13">
    <w:name w:val="font21"/>
    <w:basedOn w:val="8"/>
    <w:qFormat/>
    <w:uiPriority w:val="0"/>
    <w:rPr>
      <w:rFonts w:hint="eastAsia" w:ascii="仿宋" w:hAnsi="仿宋" w:eastAsia="仿宋" w:cs="仿宋"/>
      <w:b/>
      <w:bCs/>
      <w:color w:val="000000"/>
      <w:sz w:val="22"/>
      <w:szCs w:val="22"/>
      <w:u w:val="none"/>
    </w:rPr>
  </w:style>
  <w:style w:type="character" w:customStyle="1" w:styleId="14">
    <w:name w:val="font11"/>
    <w:basedOn w:val="8"/>
    <w:qFormat/>
    <w:uiPriority w:val="0"/>
    <w:rPr>
      <w:rFonts w:hint="eastAsia" w:ascii="仿宋" w:hAnsi="仿宋" w:eastAsia="仿宋" w:cs="仿宋"/>
      <w:color w:val="000000"/>
      <w:sz w:val="22"/>
      <w:szCs w:val="22"/>
      <w:u w:val="none"/>
    </w:rPr>
  </w:style>
  <w:style w:type="character" w:customStyle="1" w:styleId="15">
    <w:name w:val="font61"/>
    <w:basedOn w:val="8"/>
    <w:qFormat/>
    <w:uiPriority w:val="0"/>
    <w:rPr>
      <w:rFonts w:hint="eastAsia" w:ascii="仿宋" w:hAnsi="仿宋" w:eastAsia="仿宋" w:cs="仿宋"/>
      <w:color w:val="000000"/>
      <w:sz w:val="22"/>
      <w:szCs w:val="22"/>
      <w:u w:val="none"/>
    </w:rPr>
  </w:style>
  <w:style w:type="character" w:customStyle="1" w:styleId="16">
    <w:name w:val="font81"/>
    <w:basedOn w:val="8"/>
    <w:qFormat/>
    <w:uiPriority w:val="0"/>
    <w:rPr>
      <w:rFonts w:hint="eastAsia" w:ascii="宋体" w:hAnsi="宋体" w:eastAsia="宋体" w:cs="宋体"/>
      <w:color w:val="FF0000"/>
      <w:sz w:val="20"/>
      <w:szCs w:val="20"/>
      <w:u w:val="none"/>
    </w:rPr>
  </w:style>
  <w:style w:type="character" w:customStyle="1" w:styleId="17">
    <w:name w:val="font31"/>
    <w:basedOn w:val="8"/>
    <w:qFormat/>
    <w:uiPriority w:val="0"/>
    <w:rPr>
      <w:rFonts w:hint="eastAsia" w:ascii="仿宋" w:hAnsi="仿宋" w:eastAsia="仿宋" w:cs="仿宋"/>
      <w:color w:val="FF0000"/>
      <w:sz w:val="20"/>
      <w:szCs w:val="20"/>
      <w:u w:val="none"/>
    </w:rPr>
  </w:style>
  <w:style w:type="character" w:customStyle="1" w:styleId="18">
    <w:name w:val="font91"/>
    <w:basedOn w:val="8"/>
    <w:qFormat/>
    <w:uiPriority w:val="0"/>
    <w:rPr>
      <w:rFonts w:hint="default" w:ascii="Times New Roman" w:hAnsi="Times New Roman" w:cs="Times New Roman"/>
      <w:color w:val="FF0000"/>
      <w:sz w:val="20"/>
      <w:szCs w:val="20"/>
      <w:u w:val="none"/>
    </w:rPr>
  </w:style>
  <w:style w:type="character" w:customStyle="1" w:styleId="19">
    <w:name w:val="font5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3330</Words>
  <Characters>3884</Characters>
  <Lines>0</Lines>
  <Paragraphs>0</Paragraphs>
  <TotalTime>2</TotalTime>
  <ScaleCrop>false</ScaleCrop>
  <LinksUpToDate>false</LinksUpToDate>
  <CharactersWithSpaces>4050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qzuser</cp:lastModifiedBy>
  <cp:lastPrinted>2022-05-26T01:23:00Z</cp:lastPrinted>
  <dcterms:modified xsi:type="dcterms:W3CDTF">2025-03-12T09:07:34Z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671F82057E9149EFAA4A1EC87F83BE2D</vt:lpwstr>
  </property>
  <property fmtid="{D5CDD505-2E9C-101B-9397-08002B2CF9AE}" pid="4" name="KSOTemplateDocerSaveRecord">
    <vt:lpwstr>eyJoZGlkIjoiN2RiZGY4YTJjNTMyY2VmNjgwMmU5MmJkM2U0ZDJjNmUiLCJ1c2VySWQiOiIyMTQwNjA2MDMifQ==</vt:lpwstr>
  </property>
</Properties>
</file>